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1C5C2F" w14:textId="21B86CD8" w:rsidR="00CC17F8" w:rsidRPr="00CC17F8" w:rsidRDefault="00CC17F8" w:rsidP="00CC17F8">
      <w:pPr>
        <w:pStyle w:val="Nzev"/>
        <w:rPr>
          <w:rFonts w:ascii="Calibri" w:hAnsi="Calibri" w:cs="Calibri"/>
        </w:rPr>
      </w:pPr>
      <w:r w:rsidRPr="00CC17F8">
        <w:rPr>
          <w:rFonts w:ascii="Calibri" w:hAnsi="Calibri" w:cs="Calibri"/>
          <w:noProof/>
        </w:rPr>
        <w:drawing>
          <wp:anchor distT="0" distB="0" distL="114300" distR="114300" simplePos="0" relativeHeight="251988992" behindDoc="0" locked="0" layoutInCell="1" allowOverlap="1" wp14:anchorId="04CB2378" wp14:editId="6F7C39EB">
            <wp:simplePos x="0" y="0"/>
            <wp:positionH relativeFrom="margin">
              <wp:posOffset>-1127760</wp:posOffset>
            </wp:positionH>
            <wp:positionV relativeFrom="margin">
              <wp:posOffset>-1033145</wp:posOffset>
            </wp:positionV>
            <wp:extent cx="7834630" cy="10946130"/>
            <wp:effectExtent l="0" t="0" r="0" b="7620"/>
            <wp:wrapSquare wrapText="bothSides"/>
            <wp:docPr id="255356317" name="Image 90" descr="Une image contenant texte, capture d’écran, Police,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356317" name="Image 90" descr="Une image contenant texte, capture d’écran, Police, graphisme&#10;&#10;Description générée automatiquemen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834630" cy="109461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1DE9BDD" w14:textId="307FB77B" w:rsidR="00C15B1F" w:rsidRPr="00D81BE8" w:rsidRDefault="00D81BE8" w:rsidP="00207CC1">
      <w:pPr>
        <w:rPr>
          <w:rFonts w:ascii="Calibri" w:eastAsiaTheme="majorEastAsia" w:hAnsi="Calibri" w:cs="Calibri"/>
          <w:spacing w:val="-10"/>
          <w:kern w:val="28"/>
          <w:sz w:val="56"/>
          <w:szCs w:val="56"/>
        </w:rPr>
      </w:pPr>
      <w:r>
        <w:rPr>
          <w:rFonts w:ascii="Calibri" w:hAnsi="Calibri" w:cs="Calibri"/>
          <w:b/>
          <w:bCs/>
          <w:noProof/>
          <w:color w:val="000000" w:themeColor="text1"/>
          <w:lang w:val="fr-FR"/>
          <w14:ligatures w14:val="standardContextual"/>
        </w:rPr>
        <w:lastRenderedPageBreak/>
        <mc:AlternateContent>
          <mc:Choice Requires="wps">
            <w:drawing>
              <wp:anchor distT="0" distB="0" distL="114300" distR="114300" simplePos="0" relativeHeight="251828224" behindDoc="0" locked="0" layoutInCell="1" allowOverlap="1" wp14:anchorId="1A39E26F" wp14:editId="157B9054">
                <wp:simplePos x="0" y="0"/>
                <wp:positionH relativeFrom="column">
                  <wp:posOffset>515126</wp:posOffset>
                </wp:positionH>
                <wp:positionV relativeFrom="paragraph">
                  <wp:posOffset>448310</wp:posOffset>
                </wp:positionV>
                <wp:extent cx="586740" cy="45719"/>
                <wp:effectExtent l="38100" t="38100" r="60960" b="88265"/>
                <wp:wrapNone/>
                <wp:docPr id="1649942076" name="Rectangle 63"/>
                <wp:cNvGraphicFramePr/>
                <a:graphic xmlns:a="http://schemas.openxmlformats.org/drawingml/2006/main">
                  <a:graphicData uri="http://schemas.microsoft.com/office/word/2010/wordprocessingShape">
                    <wps:wsp>
                      <wps:cNvSpPr/>
                      <wps:spPr>
                        <a:xfrm>
                          <a:off x="0" y="0"/>
                          <a:ext cx="586740" cy="45719"/>
                        </a:xfrm>
                        <a:prstGeom prst="rect">
                          <a:avLst/>
                        </a:prstGeom>
                        <a:solidFill>
                          <a:srgbClr val="B6A04C"/>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9B76717" id="Rectangle 63" o:spid="_x0000_s1026" style="position:absolute;margin-left:40.55pt;margin-top:35.3pt;width:46.2pt;height:3.6pt;z-index:251828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KKN0wIAABIGAAAOAAAAZHJzL2Uyb0RvYy54bWysVMFu2zAMvQ/YPwi6r7aztE2DOkWWosOA&#10;Yi2aDj0rshwLkyWNUuJkXz9Kcpys7WlYDopoko/kE8nrm12ryFaAk0aXtDjLKRGam0rqdUl/PN99&#10;mlDiPNMVU0aLku6Fozezjx+uOzsVI9MYVQkgCKLdtLMlbby30yxzvBEtc2fGCo3K2kDLPIqwzipg&#10;HaK3Khvl+UXWGagsGC6cw6+3SUlnEb+uBfcPde2EJ6qkmJuPJ8RzFc5sds2ma2C2kbxPg/1DFi2T&#10;GoMOULfMM7IB+QaqlRyMM7U/46bNTF1LLmINWE2Rv6pm2TArYi1IjrMDTe7/wfLv26V9BKShs27q&#10;8Bqq2NXQhn/Mj+wiWfuBLLHzhOPH88nF5Rgp5agan18WV4HL7OhrwfmvwrQkXEoK+BSRIba9dz6Z&#10;HkxCKGeUrO6kUlGA9WqhgGwZPtuXi3k+XvTof5kpHYy1CW4JMX0R8eExTKxh4wUsm6ojK7WBJ1Zh&#10;6vkkx8wrGRL7PCmSgF0xuszDjxKm1tjOXlECxr9I38SnCBwEyJD3kN5KMf4zVaZsw1LO4whzrBKt&#10;IznmkEyUTvLMjvTHm98rEUIp/SRqIiskfBSDxMkQQ3TGudC+SKqGVSLFL85DGSn+4BFjRsCAXCNp&#10;A3YPEKbuLXaC6e2Da8p7cE6kDGFSBofEkvPgESMb7QfnVmoD71WmsKo+crLH9E+oCdeVqfaPEJ4o&#10;9qiz/E7i09wz5x8Z4BzjS+Ju8g941Mp0JTX9jZLGwO/3vgd7HC/UUtLhXiip+7VhIChR3zQO3lUx&#10;Dl3vo4B9P0IBTjWrU43etAuDPVzgFrQ8XoO9V4drDaZ9wRU2D1FRxTTH2CXlHg7Cwqd9hUuQi/k8&#10;muHysMzf66XlATywGpryeffCwPYT53FSv5vDDmHTV4OXbIOnNvONN7WMU3nktecbF09snH5Jhs12&#10;Kker4yqf/QEAAP//AwBQSwMEFAAGAAgAAAAhAONXGVnaAAAACAEAAA8AAABkcnMvZG93bnJldi54&#10;bWxMj81ugzAQhO+R8g7WVuotsWl+QBQTRY1Qz0n7AA7eAipeI+wE+vbdnNrj7Ixmvi0Os+vFHcfQ&#10;edKQrBUIpNrbjhoNnx/VKgMRoiFrek+o4QcDHMrlojC59ROd8X6JjeASCrnR0MY45FKGukVnwtoP&#10;SOx9+dGZyHJspB3NxOWuly9K7aUzHfFCawZ8a7H+vtychvdpW1lVb6XDTXqOVXbaVfak9fPTfHwF&#10;EXGOf2F44DM6lMx09TeyQfQasiThpIZU7UE8/HSzA3HlQ5qBLAv5/4HyFwAA//8DAFBLAQItABQA&#10;BgAIAAAAIQC2gziS/gAAAOEBAAATAAAAAAAAAAAAAAAAAAAAAABbQ29udGVudF9UeXBlc10ueG1s&#10;UEsBAi0AFAAGAAgAAAAhADj9If/WAAAAlAEAAAsAAAAAAAAAAAAAAAAALwEAAF9yZWxzLy5yZWxz&#10;UEsBAi0AFAAGAAgAAAAhAB4koo3TAgAAEgYAAA4AAAAAAAAAAAAAAAAALgIAAGRycy9lMm9Eb2Mu&#10;eG1sUEsBAi0AFAAGAAgAAAAhAONXGVnaAAAACAEAAA8AAAAAAAAAAAAAAAAALQUAAGRycy9kb3du&#10;cmV2LnhtbFBLBQYAAAAABAAEAPMAAAA0BgAAAAA=&#10;" fillcolor="#b6a04c" stroked="f" strokeweight="1pt">
                <v:shadow on="t" color="black" opacity="26214f" origin="-.5,-.5" offset=".74836mm,.74836mm"/>
              </v:rect>
            </w:pict>
          </mc:Fallback>
        </mc:AlternateContent>
      </w:r>
      <w:r w:rsidR="00E868B5">
        <w:rPr>
          <w:rFonts w:ascii="Calibri" w:hAnsi="Calibri" w:cs="Calibri"/>
          <w:b/>
          <w:bCs/>
          <w:color w:val="FFFFFF" w:themeColor="background1"/>
          <w:sz w:val="56"/>
          <w:szCs w:val="56"/>
          <w:lang w:val="fr-FR"/>
          <w14:shadow w14:blurRad="50800" w14:dist="38100" w14:dir="2700000" w14:sx="100000" w14:sy="100000" w14:kx="0" w14:ky="0" w14:algn="tl">
            <w14:srgbClr w14:val="000000">
              <w14:alpha w14:val="60000"/>
            </w14:srgbClr>
          </w14:shadow>
        </w:rPr>
        <w:t>OBSAH</w:t>
      </w:r>
      <w:r w:rsidR="00C15B1F" w:rsidRPr="00D81BE8">
        <w:rPr>
          <w:rFonts w:ascii="Calibri" w:hAnsi="Calibri" w:cs="Calibri"/>
          <w:b/>
          <w:bCs/>
          <w:color w:val="FFFFFF" w:themeColor="background1"/>
          <w:sz w:val="56"/>
          <w:szCs w:val="56"/>
          <w:lang w:val="fr-FR"/>
          <w14:shadow w14:blurRad="50800" w14:dist="38100" w14:dir="2700000" w14:sx="100000" w14:sy="100000" w14:kx="0" w14:ky="0" w14:algn="tl">
            <w14:srgbClr w14:val="000000">
              <w14:alpha w14:val="60000"/>
            </w14:srgbClr>
          </w14:shadow>
        </w:rPr>
        <w:t xml:space="preserve"> </w:t>
      </w:r>
    </w:p>
    <w:p w14:paraId="5F5184D9" w14:textId="28CDEEB3" w:rsidR="00C15B1F" w:rsidRPr="00E744C3" w:rsidRDefault="00C15B1F" w:rsidP="00FA658A">
      <w:pPr>
        <w:spacing w:line="276" w:lineRule="auto"/>
        <w:jc w:val="center"/>
        <w:rPr>
          <w:rFonts w:ascii="Calibri" w:hAnsi="Calibri" w:cs="Calibri"/>
          <w:b/>
          <w:bCs/>
          <w:color w:val="000000" w:themeColor="text1"/>
          <w:lang w:val="fr-FR"/>
        </w:rPr>
      </w:pPr>
    </w:p>
    <w:p w14:paraId="63A4E68E" w14:textId="77777777" w:rsidR="003730B8" w:rsidRPr="00E744C3" w:rsidRDefault="003730B8" w:rsidP="00FA658A">
      <w:pPr>
        <w:spacing w:line="276" w:lineRule="auto"/>
        <w:jc w:val="center"/>
        <w:rPr>
          <w:rFonts w:ascii="Calibri" w:hAnsi="Calibri" w:cs="Calibri"/>
          <w:b/>
          <w:bCs/>
          <w:color w:val="000000" w:themeColor="text1"/>
          <w:lang w:val="fr-FR"/>
        </w:rPr>
      </w:pPr>
    </w:p>
    <w:sdt>
      <w:sdtPr>
        <w:rPr>
          <w:rFonts w:ascii="Times New Roman" w:eastAsia="Times New Roman" w:hAnsi="Times New Roman" w:cs="Times New Roman"/>
          <w:color w:val="auto"/>
          <w:sz w:val="24"/>
          <w:szCs w:val="24"/>
          <w:lang w:val="en-GB" w:eastAsia="es-ES_tradnl"/>
        </w:rPr>
        <w:id w:val="-1937902680"/>
        <w:docPartObj>
          <w:docPartGallery w:val="Table of Contents"/>
          <w:docPartUnique/>
        </w:docPartObj>
      </w:sdtPr>
      <w:sdtEndPr>
        <w:rPr>
          <w:b/>
          <w:bCs/>
        </w:rPr>
      </w:sdtEndPr>
      <w:sdtContent>
        <w:p w14:paraId="07078848" w14:textId="72018472" w:rsidR="00E744C3" w:rsidRDefault="00E744C3">
          <w:pPr>
            <w:pStyle w:val="Nadpisobsahu"/>
          </w:pPr>
        </w:p>
        <w:p w14:paraId="4F7B507A" w14:textId="5B58D296" w:rsidR="006670A9" w:rsidRPr="002B60D0" w:rsidRDefault="00E744C3" w:rsidP="008A7603">
          <w:pPr>
            <w:pStyle w:val="Obsah1"/>
            <w:rPr>
              <w:color w:val="2C2D5B"/>
            </w:rPr>
          </w:pPr>
          <w:r w:rsidRPr="002B60D0">
            <w:rPr>
              <w:color w:val="2C2D5B"/>
            </w:rPr>
            <w:fldChar w:fldCharType="begin"/>
          </w:r>
          <w:r w:rsidRPr="002B60D0">
            <w:rPr>
              <w:color w:val="2C2D5B"/>
            </w:rPr>
            <w:instrText xml:space="preserve"> TOC \o "1-3" \h \z \u </w:instrText>
          </w:r>
          <w:r w:rsidRPr="002B60D0">
            <w:rPr>
              <w:color w:val="2C2D5B"/>
            </w:rPr>
            <w:fldChar w:fldCharType="separate"/>
          </w:r>
          <w:hyperlink w:anchor="_Toc188457857" w:history="1">
            <w:r w:rsidR="006670A9" w:rsidRPr="002B60D0">
              <w:rPr>
                <w:rStyle w:val="Hypertextovodkaz"/>
                <w:rFonts w:asciiTheme="minorHAnsi" w:hAnsiTheme="minorHAnsi" w:cstheme="minorHAnsi"/>
                <w:color w:val="2C2D5B"/>
              </w:rPr>
              <w:t>Acronyms and Abbreviations</w:t>
            </w:r>
            <w:r w:rsidR="006670A9" w:rsidRPr="002B60D0">
              <w:rPr>
                <w:webHidden/>
                <w:color w:val="2C2D5B"/>
              </w:rPr>
              <w:tab/>
            </w:r>
            <w:r w:rsidR="00D81BE8" w:rsidRPr="002B60D0">
              <w:rPr>
                <w:webHidden/>
                <w:color w:val="2C2D5B"/>
              </w:rPr>
              <w:t>3</w:t>
            </w:r>
          </w:hyperlink>
        </w:p>
        <w:p w14:paraId="3152FBDA" w14:textId="77777777" w:rsidR="00D81BE8" w:rsidRPr="002B60D0" w:rsidRDefault="00D81BE8" w:rsidP="00D81BE8">
          <w:pPr>
            <w:rPr>
              <w:rFonts w:asciiTheme="majorHAnsi" w:eastAsiaTheme="minorEastAsia" w:hAnsiTheme="majorHAnsi" w:cstheme="majorHAnsi"/>
              <w:color w:val="2C2D5B"/>
            </w:rPr>
          </w:pPr>
        </w:p>
        <w:p w14:paraId="359548F9" w14:textId="7B84A818" w:rsidR="006670A9" w:rsidRPr="002B60D0" w:rsidRDefault="006670A9" w:rsidP="008A7603">
          <w:pPr>
            <w:pStyle w:val="Obsah1"/>
            <w:rPr>
              <w:color w:val="2C2D5B"/>
            </w:rPr>
          </w:pPr>
          <w:hyperlink w:anchor="_Toc188457859" w:history="1">
            <w:r w:rsidRPr="002B60D0">
              <w:rPr>
                <w:rStyle w:val="Hypertextovodkaz"/>
                <w:color w:val="2C2D5B"/>
              </w:rPr>
              <w:t>1.</w:t>
            </w:r>
            <w:r w:rsidR="00D81BE8" w:rsidRPr="002B60D0">
              <w:rPr>
                <w:rFonts w:eastAsiaTheme="minorEastAsia"/>
                <w:color w:val="2C2D5B"/>
                <w:kern w:val="2"/>
                <w:lang w:eastAsia="en-GB"/>
                <w14:ligatures w14:val="standardContextual"/>
              </w:rPr>
              <w:t xml:space="preserve"> </w:t>
            </w:r>
            <w:r w:rsidRPr="002B60D0">
              <w:rPr>
                <w:rStyle w:val="Hypertextovodkaz"/>
                <w:color w:val="2C2D5B"/>
              </w:rPr>
              <w:t>Introduction and Overview</w:t>
            </w:r>
            <w:r w:rsidRPr="002B60D0">
              <w:rPr>
                <w:webHidden/>
                <w:color w:val="2C2D5B"/>
              </w:rPr>
              <w:tab/>
            </w:r>
            <w:r w:rsidR="008A7603" w:rsidRPr="002B60D0">
              <w:rPr>
                <w:webHidden/>
                <w:color w:val="2C2D5B"/>
              </w:rPr>
              <w:t>4</w:t>
            </w:r>
          </w:hyperlink>
        </w:p>
        <w:p w14:paraId="7BC371DB" w14:textId="77777777" w:rsidR="00D81BE8" w:rsidRPr="002B60D0" w:rsidRDefault="00D81BE8" w:rsidP="00D81BE8">
          <w:pPr>
            <w:rPr>
              <w:rFonts w:asciiTheme="majorHAnsi" w:eastAsiaTheme="minorEastAsia" w:hAnsiTheme="majorHAnsi" w:cstheme="majorHAnsi"/>
              <w:color w:val="2C2D5B"/>
            </w:rPr>
          </w:pPr>
        </w:p>
        <w:p w14:paraId="3B1D512C" w14:textId="22B0ABAD" w:rsidR="006670A9" w:rsidRPr="002B60D0" w:rsidRDefault="006670A9" w:rsidP="008A7603">
          <w:pPr>
            <w:pStyle w:val="Obsah1"/>
            <w:rPr>
              <w:rFonts w:eastAsiaTheme="minorEastAsia"/>
              <w:color w:val="2C2D5B"/>
              <w:kern w:val="2"/>
              <w:lang w:eastAsia="en-GB"/>
              <w14:ligatures w14:val="standardContextual"/>
            </w:rPr>
          </w:pPr>
          <w:hyperlink w:anchor="_Toc188457860" w:history="1">
            <w:r w:rsidRPr="002B60D0">
              <w:rPr>
                <w:rStyle w:val="Hypertextovodkaz"/>
                <w:color w:val="2C2D5B"/>
              </w:rPr>
              <w:t>2.</w:t>
            </w:r>
            <w:r w:rsidR="00D81BE8" w:rsidRPr="002B60D0">
              <w:rPr>
                <w:rFonts w:eastAsiaTheme="minorEastAsia"/>
                <w:color w:val="2C2D5B"/>
                <w:kern w:val="2"/>
                <w:lang w:eastAsia="en-GB"/>
                <w14:ligatures w14:val="standardContextual"/>
              </w:rPr>
              <w:t xml:space="preserve"> </w:t>
            </w:r>
            <w:r w:rsidRPr="002B60D0">
              <w:rPr>
                <w:rStyle w:val="Hypertextovodkaz"/>
                <w:color w:val="2C2D5B"/>
              </w:rPr>
              <w:t>Historical background of the EChFR</w:t>
            </w:r>
            <w:r w:rsidRPr="002B60D0">
              <w:rPr>
                <w:webHidden/>
                <w:color w:val="2C2D5B"/>
              </w:rPr>
              <w:tab/>
            </w:r>
            <w:r w:rsidR="009D370E" w:rsidRPr="002B60D0">
              <w:rPr>
                <w:webHidden/>
                <w:color w:val="2C2D5B"/>
              </w:rPr>
              <w:t>6</w:t>
            </w:r>
          </w:hyperlink>
        </w:p>
        <w:p w14:paraId="6EBFE138" w14:textId="5EB21D77" w:rsidR="006670A9" w:rsidRPr="002B60D0" w:rsidRDefault="006670A9">
          <w:pPr>
            <w:pStyle w:val="Obsah2"/>
            <w:rPr>
              <w:rFonts w:asciiTheme="majorHAnsi" w:eastAsiaTheme="minorEastAsia" w:hAnsiTheme="majorHAnsi" w:cstheme="majorHAnsi"/>
              <w:color w:val="2C2D5B"/>
              <w:kern w:val="2"/>
              <w:lang w:eastAsia="en-GB"/>
              <w14:ligatures w14:val="standardContextual"/>
            </w:rPr>
          </w:pPr>
          <w:hyperlink w:anchor="_Toc188457861" w:history="1">
            <w:r w:rsidRPr="002B60D0">
              <w:rPr>
                <w:rStyle w:val="Hypertextovodkaz"/>
                <w:rFonts w:asciiTheme="majorHAnsi" w:hAnsiTheme="majorHAnsi" w:cstheme="majorHAnsi"/>
                <w:color w:val="2C2D5B"/>
              </w:rPr>
              <w:t>2.1 Origins and motivations for the Charter</w:t>
            </w:r>
            <w:r w:rsidRPr="002B60D0">
              <w:rPr>
                <w:rFonts w:asciiTheme="majorHAnsi" w:hAnsiTheme="majorHAnsi" w:cstheme="majorHAnsi"/>
                <w:webHidden/>
                <w:color w:val="2C2D5B"/>
              </w:rPr>
              <w:tab/>
            </w:r>
            <w:r w:rsidR="00941491">
              <w:rPr>
                <w:rFonts w:asciiTheme="majorHAnsi" w:hAnsiTheme="majorHAnsi" w:cstheme="majorHAnsi"/>
                <w:webHidden/>
                <w:color w:val="2C2D5B"/>
              </w:rPr>
              <w:t>7</w:t>
            </w:r>
          </w:hyperlink>
        </w:p>
        <w:p w14:paraId="5230122F" w14:textId="39D4D951" w:rsidR="006670A9" w:rsidRPr="002B60D0" w:rsidRDefault="006670A9">
          <w:pPr>
            <w:pStyle w:val="Obsah2"/>
            <w:rPr>
              <w:rFonts w:asciiTheme="majorHAnsi" w:hAnsiTheme="majorHAnsi" w:cstheme="majorHAnsi"/>
              <w:color w:val="2C2D5B"/>
            </w:rPr>
          </w:pPr>
          <w:hyperlink w:anchor="_Toc188457862" w:history="1">
            <w:r w:rsidRPr="002B60D0">
              <w:rPr>
                <w:rStyle w:val="Hypertextovodkaz"/>
                <w:rFonts w:asciiTheme="majorHAnsi" w:hAnsiTheme="majorHAnsi" w:cstheme="majorHAnsi"/>
                <w:color w:val="2C2D5B"/>
              </w:rPr>
              <w:t>2.2 From the proclamation to its full legal status with the Lisbon Treaty</w:t>
            </w:r>
            <w:r w:rsidRPr="002B60D0">
              <w:rPr>
                <w:rFonts w:asciiTheme="majorHAnsi" w:hAnsiTheme="majorHAnsi" w:cstheme="majorHAnsi"/>
                <w:webHidden/>
                <w:color w:val="2C2D5B"/>
              </w:rPr>
              <w:tab/>
            </w:r>
            <w:r w:rsidR="00941491">
              <w:rPr>
                <w:rFonts w:asciiTheme="majorHAnsi" w:hAnsiTheme="majorHAnsi" w:cstheme="majorHAnsi"/>
                <w:webHidden/>
                <w:color w:val="2C2D5B"/>
              </w:rPr>
              <w:t>10</w:t>
            </w:r>
          </w:hyperlink>
        </w:p>
        <w:p w14:paraId="0DAA311B" w14:textId="77777777" w:rsidR="00D81BE8" w:rsidRPr="002B60D0" w:rsidRDefault="00D81BE8" w:rsidP="00D81BE8">
          <w:pPr>
            <w:rPr>
              <w:rFonts w:asciiTheme="majorHAnsi" w:eastAsiaTheme="minorEastAsia" w:hAnsiTheme="majorHAnsi" w:cstheme="majorHAnsi"/>
              <w:color w:val="2C2D5B"/>
            </w:rPr>
          </w:pPr>
        </w:p>
        <w:p w14:paraId="19368432" w14:textId="2EAD8A50" w:rsidR="006670A9" w:rsidRPr="002B60D0" w:rsidRDefault="006670A9" w:rsidP="008A7603">
          <w:pPr>
            <w:pStyle w:val="Obsah1"/>
            <w:rPr>
              <w:rFonts w:eastAsiaTheme="minorEastAsia"/>
              <w:color w:val="2C2D5B"/>
              <w:kern w:val="2"/>
              <w:lang w:eastAsia="en-GB"/>
              <w14:ligatures w14:val="standardContextual"/>
            </w:rPr>
          </w:pPr>
          <w:hyperlink w:anchor="_Toc188457863" w:history="1">
            <w:r w:rsidRPr="002B60D0">
              <w:rPr>
                <w:rStyle w:val="Hypertextovodkaz"/>
                <w:color w:val="2C2D5B"/>
              </w:rPr>
              <w:t>3.</w:t>
            </w:r>
            <w:r w:rsidR="00D81BE8" w:rsidRPr="002B60D0">
              <w:rPr>
                <w:rFonts w:eastAsiaTheme="minorEastAsia"/>
                <w:color w:val="2C2D5B"/>
                <w:kern w:val="2"/>
                <w:lang w:eastAsia="en-GB"/>
                <w14:ligatures w14:val="standardContextual"/>
              </w:rPr>
              <w:t xml:space="preserve"> </w:t>
            </w:r>
            <w:r w:rsidRPr="002B60D0">
              <w:rPr>
                <w:rStyle w:val="Hypertextovodkaz"/>
                <w:color w:val="2C2D5B"/>
              </w:rPr>
              <w:t>Structure and content of the Charter</w:t>
            </w:r>
            <w:r w:rsidRPr="002B60D0">
              <w:rPr>
                <w:webHidden/>
                <w:color w:val="2C2D5B"/>
              </w:rPr>
              <w:tab/>
            </w:r>
            <w:r w:rsidR="00941491">
              <w:rPr>
                <w:webHidden/>
                <w:color w:val="2C2D5B"/>
              </w:rPr>
              <w:t>11</w:t>
            </w:r>
          </w:hyperlink>
        </w:p>
        <w:p w14:paraId="5B7A33F3" w14:textId="1E374739" w:rsidR="006670A9" w:rsidRPr="002B60D0" w:rsidRDefault="006670A9">
          <w:pPr>
            <w:pStyle w:val="Obsah2"/>
            <w:tabs>
              <w:tab w:val="left" w:pos="960"/>
            </w:tabs>
            <w:rPr>
              <w:rFonts w:asciiTheme="majorHAnsi" w:eastAsiaTheme="minorEastAsia" w:hAnsiTheme="majorHAnsi" w:cstheme="majorHAnsi"/>
              <w:color w:val="2C2D5B"/>
              <w:kern w:val="2"/>
              <w:lang w:eastAsia="en-GB"/>
              <w14:ligatures w14:val="standardContextual"/>
            </w:rPr>
          </w:pPr>
          <w:hyperlink w:anchor="_Toc188457864" w:history="1">
            <w:r w:rsidRPr="002B60D0">
              <w:rPr>
                <w:rStyle w:val="Hypertextovodkaz"/>
                <w:rFonts w:asciiTheme="majorHAnsi" w:hAnsiTheme="majorHAnsi" w:cstheme="majorHAnsi"/>
                <w:color w:val="2C2D5B"/>
              </w:rPr>
              <w:t>3.1</w:t>
            </w:r>
            <w:r w:rsidR="008A7603" w:rsidRPr="002B60D0">
              <w:rPr>
                <w:rFonts w:asciiTheme="majorHAnsi" w:eastAsiaTheme="minorEastAsia" w:hAnsiTheme="majorHAnsi" w:cstheme="majorHAnsi"/>
                <w:color w:val="2C2D5B"/>
                <w:kern w:val="2"/>
                <w:lang w:eastAsia="en-GB"/>
                <w14:ligatures w14:val="standardContextual"/>
              </w:rPr>
              <w:t xml:space="preserve"> </w:t>
            </w:r>
            <w:r w:rsidRPr="002B60D0">
              <w:rPr>
                <w:rStyle w:val="Hypertextovodkaz"/>
                <w:rFonts w:asciiTheme="majorHAnsi" w:hAnsiTheme="majorHAnsi" w:cstheme="majorHAnsi"/>
                <w:color w:val="2C2D5B"/>
              </w:rPr>
              <w:t>The unique contributions and scope of the European Charter of Fundamental Rights</w:t>
            </w:r>
            <w:r w:rsidR="008A7603" w:rsidRPr="002B60D0">
              <w:rPr>
                <w:rStyle w:val="Hypertextovodkaz"/>
                <w:rFonts w:asciiTheme="majorHAnsi" w:hAnsiTheme="majorHAnsi" w:cstheme="majorHAnsi"/>
                <w:color w:val="2C2D5B"/>
              </w:rPr>
              <w:tab/>
            </w:r>
            <w:r w:rsidR="008A7603" w:rsidRPr="002B60D0">
              <w:rPr>
                <w:rStyle w:val="Hypertextovodkaz"/>
                <w:rFonts w:asciiTheme="majorHAnsi" w:hAnsiTheme="majorHAnsi" w:cstheme="majorHAnsi"/>
                <w:color w:val="2C2D5B"/>
              </w:rPr>
              <w:tab/>
            </w:r>
            <w:r w:rsidRPr="002B60D0">
              <w:rPr>
                <w:rFonts w:asciiTheme="majorHAnsi" w:hAnsiTheme="majorHAnsi" w:cstheme="majorHAnsi"/>
                <w:webHidden/>
                <w:color w:val="2C2D5B"/>
              </w:rPr>
              <w:fldChar w:fldCharType="begin"/>
            </w:r>
            <w:r w:rsidRPr="002B60D0">
              <w:rPr>
                <w:rFonts w:asciiTheme="majorHAnsi" w:hAnsiTheme="majorHAnsi" w:cstheme="majorHAnsi"/>
                <w:webHidden/>
                <w:color w:val="2C2D5B"/>
              </w:rPr>
              <w:instrText xml:space="preserve"> PAGEREF _Toc188457864 \h </w:instrText>
            </w:r>
            <w:r w:rsidRPr="002B60D0">
              <w:rPr>
                <w:rFonts w:asciiTheme="majorHAnsi" w:hAnsiTheme="majorHAnsi" w:cstheme="majorHAnsi"/>
                <w:webHidden/>
                <w:color w:val="2C2D5B"/>
              </w:rPr>
            </w:r>
            <w:r w:rsidRPr="002B60D0">
              <w:rPr>
                <w:rFonts w:asciiTheme="majorHAnsi" w:hAnsiTheme="majorHAnsi" w:cstheme="majorHAnsi"/>
                <w:webHidden/>
                <w:color w:val="2C2D5B"/>
              </w:rPr>
              <w:fldChar w:fldCharType="separate"/>
            </w:r>
            <w:r w:rsidR="006D4428">
              <w:rPr>
                <w:rFonts w:asciiTheme="majorHAnsi" w:hAnsiTheme="majorHAnsi" w:cstheme="majorHAnsi"/>
                <w:webHidden/>
                <w:color w:val="2C2D5B"/>
              </w:rPr>
              <w:t>11</w:t>
            </w:r>
            <w:r w:rsidRPr="002B60D0">
              <w:rPr>
                <w:rFonts w:asciiTheme="majorHAnsi" w:hAnsiTheme="majorHAnsi" w:cstheme="majorHAnsi"/>
                <w:webHidden/>
                <w:color w:val="2C2D5B"/>
              </w:rPr>
              <w:fldChar w:fldCharType="end"/>
            </w:r>
          </w:hyperlink>
        </w:p>
        <w:p w14:paraId="7A27DD8C" w14:textId="7E89D8F4" w:rsidR="006670A9" w:rsidRPr="002B60D0" w:rsidRDefault="006670A9">
          <w:pPr>
            <w:pStyle w:val="Obsah2"/>
            <w:rPr>
              <w:rFonts w:asciiTheme="majorHAnsi" w:eastAsiaTheme="minorEastAsia" w:hAnsiTheme="majorHAnsi" w:cstheme="majorHAnsi"/>
              <w:color w:val="2C2D5B"/>
              <w:kern w:val="2"/>
              <w:lang w:eastAsia="en-GB"/>
              <w14:ligatures w14:val="standardContextual"/>
            </w:rPr>
          </w:pPr>
          <w:hyperlink w:anchor="_Toc188457865" w:history="1">
            <w:r w:rsidRPr="002B60D0">
              <w:rPr>
                <w:rStyle w:val="Hypertextovodkaz"/>
                <w:rFonts w:asciiTheme="majorHAnsi" w:hAnsiTheme="majorHAnsi" w:cstheme="majorHAnsi"/>
                <w:color w:val="2C2D5B"/>
              </w:rPr>
              <w:t>3.2</w:t>
            </w:r>
            <w:r w:rsidR="008A7603" w:rsidRPr="002B60D0">
              <w:rPr>
                <w:rStyle w:val="Hypertextovodkaz"/>
                <w:rFonts w:asciiTheme="majorHAnsi" w:hAnsiTheme="majorHAnsi" w:cstheme="majorHAnsi"/>
                <w:color w:val="2C2D5B"/>
              </w:rPr>
              <w:t xml:space="preserve"> </w:t>
            </w:r>
            <w:r w:rsidRPr="002B60D0">
              <w:rPr>
                <w:rStyle w:val="Hypertextovodkaz"/>
                <w:rFonts w:asciiTheme="majorHAnsi" w:hAnsiTheme="majorHAnsi" w:cstheme="majorHAnsi"/>
                <w:color w:val="2C2D5B"/>
              </w:rPr>
              <w:t>General Overview of the Charter</w:t>
            </w:r>
            <w:r w:rsidRPr="002B60D0">
              <w:rPr>
                <w:rFonts w:asciiTheme="majorHAnsi" w:hAnsiTheme="majorHAnsi" w:cstheme="majorHAnsi"/>
                <w:webHidden/>
                <w:color w:val="2C2D5B"/>
              </w:rPr>
              <w:tab/>
            </w:r>
            <w:r w:rsidRPr="002B60D0">
              <w:rPr>
                <w:rFonts w:asciiTheme="majorHAnsi" w:hAnsiTheme="majorHAnsi" w:cstheme="majorHAnsi"/>
                <w:webHidden/>
                <w:color w:val="2C2D5B"/>
              </w:rPr>
              <w:fldChar w:fldCharType="begin"/>
            </w:r>
            <w:r w:rsidRPr="002B60D0">
              <w:rPr>
                <w:rFonts w:asciiTheme="majorHAnsi" w:hAnsiTheme="majorHAnsi" w:cstheme="majorHAnsi"/>
                <w:webHidden/>
                <w:color w:val="2C2D5B"/>
              </w:rPr>
              <w:instrText xml:space="preserve"> PAGEREF _Toc188457865 \h </w:instrText>
            </w:r>
            <w:r w:rsidRPr="002B60D0">
              <w:rPr>
                <w:rFonts w:asciiTheme="majorHAnsi" w:hAnsiTheme="majorHAnsi" w:cstheme="majorHAnsi"/>
                <w:webHidden/>
                <w:color w:val="2C2D5B"/>
              </w:rPr>
            </w:r>
            <w:r w:rsidRPr="002B60D0">
              <w:rPr>
                <w:rFonts w:asciiTheme="majorHAnsi" w:hAnsiTheme="majorHAnsi" w:cstheme="majorHAnsi"/>
                <w:webHidden/>
                <w:color w:val="2C2D5B"/>
              </w:rPr>
              <w:fldChar w:fldCharType="separate"/>
            </w:r>
            <w:r w:rsidR="006D4428">
              <w:rPr>
                <w:rFonts w:asciiTheme="majorHAnsi" w:hAnsiTheme="majorHAnsi" w:cstheme="majorHAnsi"/>
                <w:webHidden/>
                <w:color w:val="2C2D5B"/>
              </w:rPr>
              <w:t>13</w:t>
            </w:r>
            <w:r w:rsidRPr="002B60D0">
              <w:rPr>
                <w:rFonts w:asciiTheme="majorHAnsi" w:hAnsiTheme="majorHAnsi" w:cstheme="majorHAnsi"/>
                <w:webHidden/>
                <w:color w:val="2C2D5B"/>
              </w:rPr>
              <w:fldChar w:fldCharType="end"/>
            </w:r>
          </w:hyperlink>
        </w:p>
        <w:p w14:paraId="666B2FC1" w14:textId="1BD1545B" w:rsidR="006670A9" w:rsidRPr="002B60D0" w:rsidRDefault="006670A9">
          <w:pPr>
            <w:pStyle w:val="Obsah2"/>
            <w:tabs>
              <w:tab w:val="left" w:pos="960"/>
            </w:tabs>
            <w:rPr>
              <w:rFonts w:asciiTheme="majorHAnsi" w:hAnsiTheme="majorHAnsi" w:cstheme="majorHAnsi"/>
              <w:color w:val="2C2D5B"/>
            </w:rPr>
          </w:pPr>
          <w:hyperlink w:anchor="_Toc188457866" w:history="1">
            <w:r w:rsidRPr="002B60D0">
              <w:rPr>
                <w:rStyle w:val="Hypertextovodkaz"/>
                <w:rFonts w:asciiTheme="majorHAnsi" w:hAnsiTheme="majorHAnsi" w:cstheme="majorHAnsi"/>
                <w:color w:val="2C2D5B"/>
              </w:rPr>
              <w:t>3.3</w:t>
            </w:r>
            <w:r w:rsidR="008A7603" w:rsidRPr="002B60D0">
              <w:rPr>
                <w:rFonts w:asciiTheme="majorHAnsi" w:eastAsiaTheme="minorEastAsia" w:hAnsiTheme="majorHAnsi" w:cstheme="majorHAnsi"/>
                <w:color w:val="2C2D5B"/>
                <w:kern w:val="2"/>
                <w:lang w:eastAsia="en-GB"/>
                <w14:ligatures w14:val="standardContextual"/>
              </w:rPr>
              <w:t xml:space="preserve"> </w:t>
            </w:r>
            <w:r w:rsidRPr="002B60D0">
              <w:rPr>
                <w:rStyle w:val="Hypertextovodkaz"/>
                <w:rFonts w:asciiTheme="majorHAnsi" w:hAnsiTheme="majorHAnsi" w:cstheme="majorHAnsi"/>
                <w:color w:val="2C2D5B"/>
              </w:rPr>
              <w:t>Analysis of Key rights most relevant to legal practice</w:t>
            </w:r>
            <w:r w:rsidRPr="002B60D0">
              <w:rPr>
                <w:rFonts w:asciiTheme="majorHAnsi" w:hAnsiTheme="majorHAnsi" w:cstheme="majorHAnsi"/>
                <w:webHidden/>
                <w:color w:val="2C2D5B"/>
              </w:rPr>
              <w:tab/>
            </w:r>
            <w:r w:rsidRPr="002B60D0">
              <w:rPr>
                <w:rFonts w:asciiTheme="majorHAnsi" w:hAnsiTheme="majorHAnsi" w:cstheme="majorHAnsi"/>
                <w:webHidden/>
                <w:color w:val="2C2D5B"/>
              </w:rPr>
              <w:fldChar w:fldCharType="begin"/>
            </w:r>
            <w:r w:rsidRPr="002B60D0">
              <w:rPr>
                <w:rFonts w:asciiTheme="majorHAnsi" w:hAnsiTheme="majorHAnsi" w:cstheme="majorHAnsi"/>
                <w:webHidden/>
                <w:color w:val="2C2D5B"/>
              </w:rPr>
              <w:instrText xml:space="preserve"> PAGEREF _Toc188457866 \h </w:instrText>
            </w:r>
            <w:r w:rsidRPr="002B60D0">
              <w:rPr>
                <w:rFonts w:asciiTheme="majorHAnsi" w:hAnsiTheme="majorHAnsi" w:cstheme="majorHAnsi"/>
                <w:webHidden/>
                <w:color w:val="2C2D5B"/>
              </w:rPr>
            </w:r>
            <w:r w:rsidRPr="002B60D0">
              <w:rPr>
                <w:rFonts w:asciiTheme="majorHAnsi" w:hAnsiTheme="majorHAnsi" w:cstheme="majorHAnsi"/>
                <w:webHidden/>
                <w:color w:val="2C2D5B"/>
              </w:rPr>
              <w:fldChar w:fldCharType="separate"/>
            </w:r>
            <w:r w:rsidR="006D4428">
              <w:rPr>
                <w:rFonts w:asciiTheme="majorHAnsi" w:hAnsiTheme="majorHAnsi" w:cstheme="majorHAnsi"/>
                <w:webHidden/>
                <w:color w:val="2C2D5B"/>
              </w:rPr>
              <w:t>15</w:t>
            </w:r>
            <w:r w:rsidRPr="002B60D0">
              <w:rPr>
                <w:rFonts w:asciiTheme="majorHAnsi" w:hAnsiTheme="majorHAnsi" w:cstheme="majorHAnsi"/>
                <w:webHidden/>
                <w:color w:val="2C2D5B"/>
              </w:rPr>
              <w:fldChar w:fldCharType="end"/>
            </w:r>
          </w:hyperlink>
        </w:p>
        <w:p w14:paraId="5FC7167D" w14:textId="77777777" w:rsidR="00D81BE8" w:rsidRPr="002B60D0" w:rsidRDefault="00D81BE8" w:rsidP="00D81BE8">
          <w:pPr>
            <w:rPr>
              <w:rFonts w:asciiTheme="majorHAnsi" w:eastAsiaTheme="minorEastAsia" w:hAnsiTheme="majorHAnsi" w:cstheme="majorHAnsi"/>
              <w:color w:val="2C2D5B"/>
            </w:rPr>
          </w:pPr>
        </w:p>
        <w:p w14:paraId="3913EE88" w14:textId="6EA3FF99" w:rsidR="006670A9" w:rsidRPr="002B60D0" w:rsidRDefault="006670A9" w:rsidP="008A7603">
          <w:pPr>
            <w:pStyle w:val="Obsah1"/>
            <w:rPr>
              <w:rFonts w:eastAsiaTheme="minorEastAsia"/>
              <w:color w:val="2C2D5B"/>
              <w:kern w:val="2"/>
              <w:lang w:eastAsia="en-GB"/>
              <w14:ligatures w14:val="standardContextual"/>
            </w:rPr>
          </w:pPr>
          <w:hyperlink w:anchor="_Toc188457867" w:history="1">
            <w:r w:rsidRPr="002B60D0">
              <w:rPr>
                <w:rStyle w:val="Hypertextovodkaz"/>
                <w:color w:val="2C2D5B"/>
              </w:rPr>
              <w:t>4. Applying the Charter : scope, principles and limitations</w:t>
            </w:r>
            <w:r w:rsidRPr="002B60D0">
              <w:rPr>
                <w:webHidden/>
                <w:color w:val="2C2D5B"/>
              </w:rPr>
              <w:tab/>
            </w:r>
            <w:r w:rsidRPr="002B60D0">
              <w:rPr>
                <w:webHidden/>
                <w:color w:val="2C2D5B"/>
              </w:rPr>
              <w:fldChar w:fldCharType="begin"/>
            </w:r>
            <w:r w:rsidRPr="002B60D0">
              <w:rPr>
                <w:webHidden/>
                <w:color w:val="2C2D5B"/>
              </w:rPr>
              <w:instrText xml:space="preserve"> PAGEREF _Toc188457867 \h </w:instrText>
            </w:r>
            <w:r w:rsidRPr="002B60D0">
              <w:rPr>
                <w:webHidden/>
                <w:color w:val="2C2D5B"/>
              </w:rPr>
            </w:r>
            <w:r w:rsidRPr="002B60D0">
              <w:rPr>
                <w:webHidden/>
                <w:color w:val="2C2D5B"/>
              </w:rPr>
              <w:fldChar w:fldCharType="separate"/>
            </w:r>
            <w:r w:rsidR="006D4428">
              <w:rPr>
                <w:webHidden/>
                <w:color w:val="2C2D5B"/>
              </w:rPr>
              <w:t>18</w:t>
            </w:r>
            <w:r w:rsidRPr="002B60D0">
              <w:rPr>
                <w:webHidden/>
                <w:color w:val="2C2D5B"/>
              </w:rPr>
              <w:fldChar w:fldCharType="end"/>
            </w:r>
          </w:hyperlink>
        </w:p>
        <w:p w14:paraId="4CB2B511" w14:textId="7CF6BD03" w:rsidR="006670A9" w:rsidRPr="002B60D0" w:rsidRDefault="006670A9">
          <w:pPr>
            <w:pStyle w:val="Obsah2"/>
            <w:rPr>
              <w:rFonts w:asciiTheme="majorHAnsi" w:eastAsiaTheme="minorEastAsia" w:hAnsiTheme="majorHAnsi" w:cstheme="majorHAnsi"/>
              <w:color w:val="2C2D5B"/>
              <w:kern w:val="2"/>
              <w:lang w:eastAsia="en-GB"/>
              <w14:ligatures w14:val="standardContextual"/>
            </w:rPr>
          </w:pPr>
          <w:hyperlink w:anchor="_Toc188457868" w:history="1">
            <w:r w:rsidRPr="002B60D0">
              <w:rPr>
                <w:rStyle w:val="Hypertextovodkaz"/>
                <w:rFonts w:asciiTheme="majorHAnsi" w:hAnsiTheme="majorHAnsi" w:cstheme="majorHAnsi"/>
                <w:color w:val="2C2D5B"/>
              </w:rPr>
              <w:t>4.1 When does the Charter Apply ? Understanding the scope and Trigger Rule</w:t>
            </w:r>
            <w:r w:rsidRPr="002B60D0">
              <w:rPr>
                <w:rFonts w:asciiTheme="majorHAnsi" w:hAnsiTheme="majorHAnsi" w:cstheme="majorHAnsi"/>
                <w:webHidden/>
                <w:color w:val="2C2D5B"/>
              </w:rPr>
              <w:tab/>
            </w:r>
            <w:r w:rsidRPr="002B60D0">
              <w:rPr>
                <w:rFonts w:asciiTheme="majorHAnsi" w:hAnsiTheme="majorHAnsi" w:cstheme="majorHAnsi"/>
                <w:webHidden/>
                <w:color w:val="2C2D5B"/>
              </w:rPr>
              <w:fldChar w:fldCharType="begin"/>
            </w:r>
            <w:r w:rsidRPr="002B60D0">
              <w:rPr>
                <w:rFonts w:asciiTheme="majorHAnsi" w:hAnsiTheme="majorHAnsi" w:cstheme="majorHAnsi"/>
                <w:webHidden/>
                <w:color w:val="2C2D5B"/>
              </w:rPr>
              <w:instrText xml:space="preserve"> PAGEREF _Toc188457868 \h </w:instrText>
            </w:r>
            <w:r w:rsidRPr="002B60D0">
              <w:rPr>
                <w:rFonts w:asciiTheme="majorHAnsi" w:hAnsiTheme="majorHAnsi" w:cstheme="majorHAnsi"/>
                <w:webHidden/>
                <w:color w:val="2C2D5B"/>
              </w:rPr>
            </w:r>
            <w:r w:rsidRPr="002B60D0">
              <w:rPr>
                <w:rFonts w:asciiTheme="majorHAnsi" w:hAnsiTheme="majorHAnsi" w:cstheme="majorHAnsi"/>
                <w:webHidden/>
                <w:color w:val="2C2D5B"/>
              </w:rPr>
              <w:fldChar w:fldCharType="separate"/>
            </w:r>
            <w:r w:rsidR="006D4428">
              <w:rPr>
                <w:rFonts w:asciiTheme="majorHAnsi" w:hAnsiTheme="majorHAnsi" w:cstheme="majorHAnsi"/>
                <w:webHidden/>
                <w:color w:val="2C2D5B"/>
              </w:rPr>
              <w:t>18</w:t>
            </w:r>
            <w:r w:rsidRPr="002B60D0">
              <w:rPr>
                <w:rFonts w:asciiTheme="majorHAnsi" w:hAnsiTheme="majorHAnsi" w:cstheme="majorHAnsi"/>
                <w:webHidden/>
                <w:color w:val="2C2D5B"/>
              </w:rPr>
              <w:fldChar w:fldCharType="end"/>
            </w:r>
          </w:hyperlink>
        </w:p>
        <w:p w14:paraId="7ED928F6" w14:textId="35847B45" w:rsidR="006670A9" w:rsidRPr="002B60D0" w:rsidRDefault="006670A9">
          <w:pPr>
            <w:pStyle w:val="Obsah2"/>
            <w:rPr>
              <w:rFonts w:asciiTheme="majorHAnsi" w:eastAsiaTheme="minorEastAsia" w:hAnsiTheme="majorHAnsi" w:cstheme="majorHAnsi"/>
              <w:color w:val="2C2D5B"/>
              <w:kern w:val="2"/>
              <w:lang w:eastAsia="en-GB"/>
              <w14:ligatures w14:val="standardContextual"/>
            </w:rPr>
          </w:pPr>
          <w:hyperlink w:anchor="_Toc188457869" w:history="1">
            <w:r w:rsidRPr="002B60D0">
              <w:rPr>
                <w:rStyle w:val="Hypertextovodkaz"/>
                <w:rFonts w:asciiTheme="majorHAnsi" w:hAnsiTheme="majorHAnsi" w:cstheme="majorHAnsi"/>
                <w:color w:val="2C2D5B"/>
              </w:rPr>
              <w:t>4.3 Rights vs Principles: what can be directly invoked ?</w:t>
            </w:r>
            <w:r w:rsidRPr="002B60D0">
              <w:rPr>
                <w:rFonts w:asciiTheme="majorHAnsi" w:hAnsiTheme="majorHAnsi" w:cstheme="majorHAnsi"/>
                <w:webHidden/>
                <w:color w:val="2C2D5B"/>
              </w:rPr>
              <w:tab/>
            </w:r>
            <w:r w:rsidRPr="002B60D0">
              <w:rPr>
                <w:rFonts w:asciiTheme="majorHAnsi" w:hAnsiTheme="majorHAnsi" w:cstheme="majorHAnsi"/>
                <w:webHidden/>
                <w:color w:val="2C2D5B"/>
              </w:rPr>
              <w:fldChar w:fldCharType="begin"/>
            </w:r>
            <w:r w:rsidRPr="002B60D0">
              <w:rPr>
                <w:rFonts w:asciiTheme="majorHAnsi" w:hAnsiTheme="majorHAnsi" w:cstheme="majorHAnsi"/>
                <w:webHidden/>
                <w:color w:val="2C2D5B"/>
              </w:rPr>
              <w:instrText xml:space="preserve"> PAGEREF _Toc188457869 \h </w:instrText>
            </w:r>
            <w:r w:rsidRPr="002B60D0">
              <w:rPr>
                <w:rFonts w:asciiTheme="majorHAnsi" w:hAnsiTheme="majorHAnsi" w:cstheme="majorHAnsi"/>
                <w:webHidden/>
                <w:color w:val="2C2D5B"/>
              </w:rPr>
            </w:r>
            <w:r w:rsidRPr="002B60D0">
              <w:rPr>
                <w:rFonts w:asciiTheme="majorHAnsi" w:hAnsiTheme="majorHAnsi" w:cstheme="majorHAnsi"/>
                <w:webHidden/>
                <w:color w:val="2C2D5B"/>
              </w:rPr>
              <w:fldChar w:fldCharType="separate"/>
            </w:r>
            <w:r w:rsidR="006D4428">
              <w:rPr>
                <w:rFonts w:asciiTheme="majorHAnsi" w:hAnsiTheme="majorHAnsi" w:cstheme="majorHAnsi"/>
                <w:webHidden/>
                <w:color w:val="2C2D5B"/>
              </w:rPr>
              <w:t>26</w:t>
            </w:r>
            <w:r w:rsidRPr="002B60D0">
              <w:rPr>
                <w:rFonts w:asciiTheme="majorHAnsi" w:hAnsiTheme="majorHAnsi" w:cstheme="majorHAnsi"/>
                <w:webHidden/>
                <w:color w:val="2C2D5B"/>
              </w:rPr>
              <w:fldChar w:fldCharType="end"/>
            </w:r>
          </w:hyperlink>
        </w:p>
        <w:p w14:paraId="6C0552C3" w14:textId="7D22325B" w:rsidR="006670A9" w:rsidRPr="002B60D0" w:rsidRDefault="006670A9">
          <w:pPr>
            <w:pStyle w:val="Obsah2"/>
            <w:rPr>
              <w:rFonts w:asciiTheme="majorHAnsi" w:eastAsiaTheme="minorEastAsia" w:hAnsiTheme="majorHAnsi" w:cstheme="majorHAnsi"/>
              <w:color w:val="2C2D5B"/>
              <w:kern w:val="2"/>
              <w:lang w:eastAsia="en-GB"/>
              <w14:ligatures w14:val="standardContextual"/>
            </w:rPr>
          </w:pPr>
          <w:hyperlink w:anchor="_Toc188457870" w:history="1">
            <w:r w:rsidRPr="002B60D0">
              <w:rPr>
                <w:rStyle w:val="Hypertextovodkaz"/>
                <w:rFonts w:asciiTheme="majorHAnsi" w:hAnsiTheme="majorHAnsi" w:cstheme="majorHAnsi"/>
                <w:color w:val="2C2D5B"/>
              </w:rPr>
              <w:t>4.4 Interaction between the Charter and national constitutions</w:t>
            </w:r>
            <w:r w:rsidRPr="002B60D0">
              <w:rPr>
                <w:rFonts w:asciiTheme="majorHAnsi" w:hAnsiTheme="majorHAnsi" w:cstheme="majorHAnsi"/>
                <w:webHidden/>
                <w:color w:val="2C2D5B"/>
              </w:rPr>
              <w:tab/>
            </w:r>
            <w:r w:rsidRPr="002B60D0">
              <w:rPr>
                <w:rFonts w:asciiTheme="majorHAnsi" w:hAnsiTheme="majorHAnsi" w:cstheme="majorHAnsi"/>
                <w:webHidden/>
                <w:color w:val="2C2D5B"/>
              </w:rPr>
              <w:fldChar w:fldCharType="begin"/>
            </w:r>
            <w:r w:rsidRPr="002B60D0">
              <w:rPr>
                <w:rFonts w:asciiTheme="majorHAnsi" w:hAnsiTheme="majorHAnsi" w:cstheme="majorHAnsi"/>
                <w:webHidden/>
                <w:color w:val="2C2D5B"/>
              </w:rPr>
              <w:instrText xml:space="preserve"> PAGEREF _Toc188457870 \h </w:instrText>
            </w:r>
            <w:r w:rsidRPr="002B60D0">
              <w:rPr>
                <w:rFonts w:asciiTheme="majorHAnsi" w:hAnsiTheme="majorHAnsi" w:cstheme="majorHAnsi"/>
                <w:webHidden/>
                <w:color w:val="2C2D5B"/>
              </w:rPr>
            </w:r>
            <w:r w:rsidRPr="002B60D0">
              <w:rPr>
                <w:rFonts w:asciiTheme="majorHAnsi" w:hAnsiTheme="majorHAnsi" w:cstheme="majorHAnsi"/>
                <w:webHidden/>
                <w:color w:val="2C2D5B"/>
              </w:rPr>
              <w:fldChar w:fldCharType="separate"/>
            </w:r>
            <w:r w:rsidR="006D4428">
              <w:rPr>
                <w:rFonts w:asciiTheme="majorHAnsi" w:hAnsiTheme="majorHAnsi" w:cstheme="majorHAnsi"/>
                <w:webHidden/>
                <w:color w:val="2C2D5B"/>
              </w:rPr>
              <w:t>29</w:t>
            </w:r>
            <w:r w:rsidRPr="002B60D0">
              <w:rPr>
                <w:rFonts w:asciiTheme="majorHAnsi" w:hAnsiTheme="majorHAnsi" w:cstheme="majorHAnsi"/>
                <w:webHidden/>
                <w:color w:val="2C2D5B"/>
              </w:rPr>
              <w:fldChar w:fldCharType="end"/>
            </w:r>
          </w:hyperlink>
        </w:p>
        <w:p w14:paraId="2344E42C" w14:textId="3665794F" w:rsidR="006670A9" w:rsidRPr="002B60D0" w:rsidRDefault="006670A9">
          <w:pPr>
            <w:pStyle w:val="Obsah2"/>
            <w:rPr>
              <w:rFonts w:asciiTheme="majorHAnsi" w:hAnsiTheme="majorHAnsi" w:cstheme="majorHAnsi"/>
              <w:color w:val="2C2D5B"/>
            </w:rPr>
          </w:pPr>
          <w:hyperlink w:anchor="_Toc188457871" w:history="1">
            <w:r w:rsidRPr="002B60D0">
              <w:rPr>
                <w:rStyle w:val="Hypertextovodkaz"/>
                <w:rFonts w:asciiTheme="majorHAnsi" w:hAnsiTheme="majorHAnsi" w:cstheme="majorHAnsi"/>
                <w:color w:val="2C2D5B"/>
              </w:rPr>
              <w:t>4.5 Framework for Rights Limitations and Absolute Guarantees</w:t>
            </w:r>
            <w:r w:rsidRPr="002B60D0">
              <w:rPr>
                <w:rFonts w:asciiTheme="majorHAnsi" w:hAnsiTheme="majorHAnsi" w:cstheme="majorHAnsi"/>
                <w:webHidden/>
                <w:color w:val="2C2D5B"/>
              </w:rPr>
              <w:tab/>
            </w:r>
            <w:r w:rsidR="00941491">
              <w:rPr>
                <w:rFonts w:asciiTheme="majorHAnsi" w:hAnsiTheme="majorHAnsi" w:cstheme="majorHAnsi"/>
                <w:webHidden/>
                <w:color w:val="2C2D5B"/>
              </w:rPr>
              <w:t>30</w:t>
            </w:r>
          </w:hyperlink>
        </w:p>
        <w:p w14:paraId="3E4A2F47" w14:textId="77777777" w:rsidR="00D81BE8" w:rsidRPr="002B60D0" w:rsidRDefault="00D81BE8" w:rsidP="00D81BE8">
          <w:pPr>
            <w:rPr>
              <w:rFonts w:asciiTheme="majorHAnsi" w:eastAsiaTheme="minorEastAsia" w:hAnsiTheme="majorHAnsi" w:cstheme="majorHAnsi"/>
              <w:color w:val="2C2D5B"/>
            </w:rPr>
          </w:pPr>
        </w:p>
        <w:p w14:paraId="24F24407" w14:textId="6D1C3E8D" w:rsidR="006670A9" w:rsidRPr="002B60D0" w:rsidRDefault="006670A9" w:rsidP="008A7603">
          <w:pPr>
            <w:pStyle w:val="Obsah1"/>
            <w:rPr>
              <w:rFonts w:eastAsiaTheme="minorEastAsia"/>
              <w:color w:val="2C2D5B"/>
              <w:kern w:val="2"/>
              <w:lang w:eastAsia="en-GB"/>
              <w14:ligatures w14:val="standardContextual"/>
            </w:rPr>
          </w:pPr>
          <w:hyperlink w:anchor="_Toc188457872" w:history="1">
            <w:r w:rsidRPr="002B60D0">
              <w:rPr>
                <w:rStyle w:val="Hypertextovodkaz"/>
                <w:color w:val="2C2D5B"/>
              </w:rPr>
              <w:t>5.</w:t>
            </w:r>
            <w:r w:rsidR="008A7603" w:rsidRPr="002B60D0">
              <w:rPr>
                <w:rFonts w:eastAsiaTheme="minorEastAsia"/>
                <w:color w:val="2C2D5B"/>
                <w:kern w:val="2"/>
                <w:lang w:eastAsia="en-GB"/>
                <w14:ligatures w14:val="standardContextual"/>
              </w:rPr>
              <w:t xml:space="preserve"> </w:t>
            </w:r>
            <w:r w:rsidRPr="002B60D0">
              <w:rPr>
                <w:rStyle w:val="Hypertextovodkaz"/>
                <w:color w:val="2C2D5B"/>
              </w:rPr>
              <w:t>Relationship and convergence of the EU Charter and the European Convention on Human Rights</w:t>
            </w:r>
            <w:r w:rsidRPr="002B60D0">
              <w:rPr>
                <w:webHidden/>
                <w:color w:val="2C2D5B"/>
              </w:rPr>
              <w:tab/>
            </w:r>
            <w:r w:rsidR="00941491">
              <w:rPr>
                <w:webHidden/>
                <w:color w:val="2C2D5B"/>
              </w:rPr>
              <w:t>33</w:t>
            </w:r>
          </w:hyperlink>
        </w:p>
        <w:p w14:paraId="7D28846D" w14:textId="31E7D579" w:rsidR="006670A9" w:rsidRPr="002B60D0" w:rsidRDefault="006670A9">
          <w:pPr>
            <w:pStyle w:val="Obsah2"/>
            <w:rPr>
              <w:rFonts w:asciiTheme="majorHAnsi" w:eastAsiaTheme="minorEastAsia" w:hAnsiTheme="majorHAnsi" w:cstheme="majorHAnsi"/>
              <w:color w:val="2C2D5B"/>
              <w:kern w:val="2"/>
              <w:lang w:eastAsia="en-GB"/>
              <w14:ligatures w14:val="standardContextual"/>
            </w:rPr>
          </w:pPr>
          <w:hyperlink w:anchor="_Toc188457873" w:history="1">
            <w:r w:rsidRPr="002B60D0">
              <w:rPr>
                <w:rStyle w:val="Hypertextovodkaz"/>
                <w:rFonts w:asciiTheme="majorHAnsi" w:hAnsiTheme="majorHAnsi" w:cstheme="majorHAnsi"/>
                <w:color w:val="2C2D5B"/>
              </w:rPr>
              <w:t>5.1 Overview of the EU Charter and the European Convention on Human Rights</w:t>
            </w:r>
            <w:r w:rsidRPr="002B60D0">
              <w:rPr>
                <w:rFonts w:asciiTheme="majorHAnsi" w:hAnsiTheme="majorHAnsi" w:cstheme="majorHAnsi"/>
                <w:webHidden/>
                <w:color w:val="2C2D5B"/>
              </w:rPr>
              <w:tab/>
            </w:r>
            <w:r w:rsidRPr="002B60D0">
              <w:rPr>
                <w:rFonts w:asciiTheme="majorHAnsi" w:hAnsiTheme="majorHAnsi" w:cstheme="majorHAnsi"/>
                <w:webHidden/>
                <w:color w:val="2C2D5B"/>
              </w:rPr>
              <w:fldChar w:fldCharType="begin"/>
            </w:r>
            <w:r w:rsidRPr="002B60D0">
              <w:rPr>
                <w:rFonts w:asciiTheme="majorHAnsi" w:hAnsiTheme="majorHAnsi" w:cstheme="majorHAnsi"/>
                <w:webHidden/>
                <w:color w:val="2C2D5B"/>
              </w:rPr>
              <w:instrText xml:space="preserve"> PAGEREF _Toc188457873 \h </w:instrText>
            </w:r>
            <w:r w:rsidRPr="002B60D0">
              <w:rPr>
                <w:rFonts w:asciiTheme="majorHAnsi" w:hAnsiTheme="majorHAnsi" w:cstheme="majorHAnsi"/>
                <w:webHidden/>
                <w:color w:val="2C2D5B"/>
              </w:rPr>
            </w:r>
            <w:r w:rsidRPr="002B60D0">
              <w:rPr>
                <w:rFonts w:asciiTheme="majorHAnsi" w:hAnsiTheme="majorHAnsi" w:cstheme="majorHAnsi"/>
                <w:webHidden/>
                <w:color w:val="2C2D5B"/>
              </w:rPr>
              <w:fldChar w:fldCharType="separate"/>
            </w:r>
            <w:r w:rsidR="006D4428">
              <w:rPr>
                <w:rFonts w:asciiTheme="majorHAnsi" w:hAnsiTheme="majorHAnsi" w:cstheme="majorHAnsi"/>
                <w:webHidden/>
                <w:color w:val="2C2D5B"/>
              </w:rPr>
              <w:t>33</w:t>
            </w:r>
            <w:r w:rsidRPr="002B60D0">
              <w:rPr>
                <w:rFonts w:asciiTheme="majorHAnsi" w:hAnsiTheme="majorHAnsi" w:cstheme="majorHAnsi"/>
                <w:webHidden/>
                <w:color w:val="2C2D5B"/>
              </w:rPr>
              <w:fldChar w:fldCharType="end"/>
            </w:r>
          </w:hyperlink>
        </w:p>
        <w:p w14:paraId="166D392B" w14:textId="50ADF303" w:rsidR="006670A9" w:rsidRPr="002B60D0" w:rsidRDefault="006670A9">
          <w:pPr>
            <w:pStyle w:val="Obsah2"/>
            <w:rPr>
              <w:rFonts w:asciiTheme="majorHAnsi" w:eastAsiaTheme="minorEastAsia" w:hAnsiTheme="majorHAnsi" w:cstheme="majorHAnsi"/>
              <w:color w:val="2C2D5B"/>
              <w:kern w:val="2"/>
              <w:lang w:eastAsia="en-GB"/>
              <w14:ligatures w14:val="standardContextual"/>
            </w:rPr>
          </w:pPr>
          <w:hyperlink w:anchor="_Toc188457874" w:history="1">
            <w:r w:rsidRPr="002B60D0">
              <w:rPr>
                <w:rStyle w:val="Hypertextovodkaz"/>
                <w:rFonts w:asciiTheme="majorHAnsi" w:hAnsiTheme="majorHAnsi" w:cstheme="majorHAnsi"/>
                <w:color w:val="2C2D5B"/>
              </w:rPr>
              <w:t>5.2 EU Accession to the European Convention on Human Rights</w:t>
            </w:r>
            <w:r w:rsidRPr="002B60D0">
              <w:rPr>
                <w:rFonts w:asciiTheme="majorHAnsi" w:hAnsiTheme="majorHAnsi" w:cstheme="majorHAnsi"/>
                <w:webHidden/>
                <w:color w:val="2C2D5B"/>
              </w:rPr>
              <w:tab/>
            </w:r>
            <w:r w:rsidRPr="002B60D0">
              <w:rPr>
                <w:rFonts w:asciiTheme="majorHAnsi" w:hAnsiTheme="majorHAnsi" w:cstheme="majorHAnsi"/>
                <w:webHidden/>
                <w:color w:val="2C2D5B"/>
              </w:rPr>
              <w:fldChar w:fldCharType="begin"/>
            </w:r>
            <w:r w:rsidRPr="002B60D0">
              <w:rPr>
                <w:rFonts w:asciiTheme="majorHAnsi" w:hAnsiTheme="majorHAnsi" w:cstheme="majorHAnsi"/>
                <w:webHidden/>
                <w:color w:val="2C2D5B"/>
              </w:rPr>
              <w:instrText xml:space="preserve"> PAGEREF _Toc188457874 \h </w:instrText>
            </w:r>
            <w:r w:rsidRPr="002B60D0">
              <w:rPr>
                <w:rFonts w:asciiTheme="majorHAnsi" w:hAnsiTheme="majorHAnsi" w:cstheme="majorHAnsi"/>
                <w:webHidden/>
                <w:color w:val="2C2D5B"/>
              </w:rPr>
            </w:r>
            <w:r w:rsidRPr="002B60D0">
              <w:rPr>
                <w:rFonts w:asciiTheme="majorHAnsi" w:hAnsiTheme="majorHAnsi" w:cstheme="majorHAnsi"/>
                <w:webHidden/>
                <w:color w:val="2C2D5B"/>
              </w:rPr>
              <w:fldChar w:fldCharType="separate"/>
            </w:r>
            <w:r w:rsidR="006D4428">
              <w:rPr>
                <w:rFonts w:asciiTheme="majorHAnsi" w:hAnsiTheme="majorHAnsi" w:cstheme="majorHAnsi"/>
                <w:webHidden/>
                <w:color w:val="2C2D5B"/>
              </w:rPr>
              <w:t>33</w:t>
            </w:r>
            <w:r w:rsidRPr="002B60D0">
              <w:rPr>
                <w:rFonts w:asciiTheme="majorHAnsi" w:hAnsiTheme="majorHAnsi" w:cstheme="majorHAnsi"/>
                <w:webHidden/>
                <w:color w:val="2C2D5B"/>
              </w:rPr>
              <w:fldChar w:fldCharType="end"/>
            </w:r>
          </w:hyperlink>
        </w:p>
        <w:p w14:paraId="7736EBED" w14:textId="7E279683" w:rsidR="006670A9" w:rsidRPr="002B60D0" w:rsidRDefault="006670A9">
          <w:pPr>
            <w:pStyle w:val="Obsah2"/>
            <w:rPr>
              <w:rFonts w:asciiTheme="majorHAnsi" w:hAnsiTheme="majorHAnsi" w:cstheme="majorHAnsi"/>
              <w:color w:val="2C2D5B"/>
            </w:rPr>
          </w:pPr>
          <w:hyperlink w:anchor="_Toc188457875" w:history="1">
            <w:r w:rsidRPr="002B60D0">
              <w:rPr>
                <w:rStyle w:val="Hypertextovodkaz"/>
                <w:rFonts w:asciiTheme="majorHAnsi" w:hAnsiTheme="majorHAnsi" w:cstheme="majorHAnsi"/>
                <w:color w:val="2C2D5B"/>
              </w:rPr>
              <w:t>5.3 Interplay between the Charter and the European Convention on Human Rights: Articles 6(3) TEU and 52(3) EChFR</w:t>
            </w:r>
            <w:r w:rsidRPr="002B60D0">
              <w:rPr>
                <w:rFonts w:asciiTheme="majorHAnsi" w:hAnsiTheme="majorHAnsi" w:cstheme="majorHAnsi"/>
                <w:webHidden/>
                <w:color w:val="2C2D5B"/>
              </w:rPr>
              <w:tab/>
            </w:r>
            <w:r w:rsidRPr="002B60D0">
              <w:rPr>
                <w:rFonts w:asciiTheme="majorHAnsi" w:hAnsiTheme="majorHAnsi" w:cstheme="majorHAnsi"/>
                <w:webHidden/>
                <w:color w:val="2C2D5B"/>
              </w:rPr>
              <w:fldChar w:fldCharType="begin"/>
            </w:r>
            <w:r w:rsidRPr="002B60D0">
              <w:rPr>
                <w:rFonts w:asciiTheme="majorHAnsi" w:hAnsiTheme="majorHAnsi" w:cstheme="majorHAnsi"/>
                <w:webHidden/>
                <w:color w:val="2C2D5B"/>
              </w:rPr>
              <w:instrText xml:space="preserve"> PAGEREF _Toc188457875 \h </w:instrText>
            </w:r>
            <w:r w:rsidRPr="002B60D0">
              <w:rPr>
                <w:rFonts w:asciiTheme="majorHAnsi" w:hAnsiTheme="majorHAnsi" w:cstheme="majorHAnsi"/>
                <w:webHidden/>
                <w:color w:val="2C2D5B"/>
              </w:rPr>
            </w:r>
            <w:r w:rsidRPr="002B60D0">
              <w:rPr>
                <w:rFonts w:asciiTheme="majorHAnsi" w:hAnsiTheme="majorHAnsi" w:cstheme="majorHAnsi"/>
                <w:webHidden/>
                <w:color w:val="2C2D5B"/>
              </w:rPr>
              <w:fldChar w:fldCharType="separate"/>
            </w:r>
            <w:r w:rsidR="006D4428">
              <w:rPr>
                <w:rFonts w:asciiTheme="majorHAnsi" w:hAnsiTheme="majorHAnsi" w:cstheme="majorHAnsi"/>
                <w:webHidden/>
                <w:color w:val="2C2D5B"/>
              </w:rPr>
              <w:t>34</w:t>
            </w:r>
            <w:r w:rsidRPr="002B60D0">
              <w:rPr>
                <w:rFonts w:asciiTheme="majorHAnsi" w:hAnsiTheme="majorHAnsi" w:cstheme="majorHAnsi"/>
                <w:webHidden/>
                <w:color w:val="2C2D5B"/>
              </w:rPr>
              <w:fldChar w:fldCharType="end"/>
            </w:r>
          </w:hyperlink>
        </w:p>
        <w:p w14:paraId="2A088CBC" w14:textId="77777777" w:rsidR="00D81BE8" w:rsidRPr="002B60D0" w:rsidRDefault="00D81BE8" w:rsidP="00D81BE8">
          <w:pPr>
            <w:rPr>
              <w:rFonts w:asciiTheme="majorHAnsi" w:eastAsiaTheme="minorEastAsia" w:hAnsiTheme="majorHAnsi" w:cstheme="majorHAnsi"/>
              <w:color w:val="2C2D5B"/>
            </w:rPr>
          </w:pPr>
        </w:p>
        <w:p w14:paraId="1105E3FA" w14:textId="7E542559" w:rsidR="006670A9" w:rsidRPr="002B60D0" w:rsidRDefault="006670A9" w:rsidP="008A7603">
          <w:pPr>
            <w:pStyle w:val="Obsah1"/>
            <w:rPr>
              <w:color w:val="2C2D5B"/>
            </w:rPr>
          </w:pPr>
          <w:hyperlink w:anchor="_Toc188457876" w:history="1">
            <w:r w:rsidRPr="002B60D0">
              <w:rPr>
                <w:rStyle w:val="Hypertextovodkaz"/>
                <w:color w:val="2C2D5B"/>
              </w:rPr>
              <w:t>6.</w:t>
            </w:r>
            <w:r w:rsidR="008A7603" w:rsidRPr="002B60D0">
              <w:rPr>
                <w:rFonts w:eastAsiaTheme="minorEastAsia"/>
                <w:color w:val="2C2D5B"/>
                <w:kern w:val="2"/>
                <w:lang w:eastAsia="en-GB"/>
                <w14:ligatures w14:val="standardContextual"/>
              </w:rPr>
              <w:t xml:space="preserve"> </w:t>
            </w:r>
            <w:r w:rsidRPr="002B60D0">
              <w:rPr>
                <w:rStyle w:val="Hypertextovodkaz"/>
                <w:color w:val="2C2D5B"/>
              </w:rPr>
              <w:t>Invocability of the Charter before EU and National Courts</w:t>
            </w:r>
            <w:r w:rsidRPr="002B60D0">
              <w:rPr>
                <w:webHidden/>
                <w:color w:val="2C2D5B"/>
              </w:rPr>
              <w:tab/>
            </w:r>
            <w:r w:rsidRPr="002B60D0">
              <w:rPr>
                <w:webHidden/>
                <w:color w:val="2C2D5B"/>
              </w:rPr>
              <w:fldChar w:fldCharType="begin"/>
            </w:r>
            <w:r w:rsidRPr="002B60D0">
              <w:rPr>
                <w:webHidden/>
                <w:color w:val="2C2D5B"/>
              </w:rPr>
              <w:instrText xml:space="preserve"> PAGEREF _Toc188457876 \h </w:instrText>
            </w:r>
            <w:r w:rsidRPr="002B60D0">
              <w:rPr>
                <w:webHidden/>
                <w:color w:val="2C2D5B"/>
              </w:rPr>
            </w:r>
            <w:r w:rsidRPr="002B60D0">
              <w:rPr>
                <w:webHidden/>
                <w:color w:val="2C2D5B"/>
              </w:rPr>
              <w:fldChar w:fldCharType="separate"/>
            </w:r>
            <w:r w:rsidR="006D4428">
              <w:rPr>
                <w:webHidden/>
                <w:color w:val="2C2D5B"/>
              </w:rPr>
              <w:t>39</w:t>
            </w:r>
            <w:r w:rsidRPr="002B60D0">
              <w:rPr>
                <w:webHidden/>
                <w:color w:val="2C2D5B"/>
              </w:rPr>
              <w:fldChar w:fldCharType="end"/>
            </w:r>
          </w:hyperlink>
        </w:p>
        <w:p w14:paraId="5450E5FD" w14:textId="77777777" w:rsidR="00D81BE8" w:rsidRPr="002B60D0" w:rsidRDefault="00D81BE8" w:rsidP="00D81BE8">
          <w:pPr>
            <w:rPr>
              <w:rFonts w:asciiTheme="majorHAnsi" w:eastAsiaTheme="minorEastAsia" w:hAnsiTheme="majorHAnsi" w:cstheme="majorHAnsi"/>
              <w:color w:val="2C2D5B"/>
            </w:rPr>
          </w:pPr>
        </w:p>
        <w:p w14:paraId="2A07B17B" w14:textId="0260F0AC" w:rsidR="006670A9" w:rsidRPr="002B60D0" w:rsidRDefault="006670A9" w:rsidP="008A7603">
          <w:pPr>
            <w:pStyle w:val="Obsah1"/>
            <w:rPr>
              <w:rFonts w:eastAsiaTheme="minorEastAsia"/>
              <w:color w:val="2C2D5B"/>
              <w:kern w:val="2"/>
              <w:lang w:eastAsia="en-GB"/>
              <w14:ligatures w14:val="standardContextual"/>
            </w:rPr>
          </w:pPr>
          <w:hyperlink w:anchor="_Toc188457877" w:history="1">
            <w:r w:rsidRPr="002B60D0">
              <w:rPr>
                <w:rStyle w:val="Hypertextovodkaz"/>
                <w:color w:val="2C2D5B"/>
              </w:rPr>
              <w:t>7.</w:t>
            </w:r>
            <w:r w:rsidR="008A7603" w:rsidRPr="002B60D0">
              <w:rPr>
                <w:rFonts w:eastAsiaTheme="minorEastAsia"/>
                <w:color w:val="2C2D5B"/>
                <w:kern w:val="2"/>
                <w:lang w:eastAsia="en-GB"/>
                <w14:ligatures w14:val="standardContextual"/>
              </w:rPr>
              <w:t xml:space="preserve"> </w:t>
            </w:r>
            <w:r w:rsidRPr="002B60D0">
              <w:rPr>
                <w:rStyle w:val="Hypertextovodkaz"/>
                <w:color w:val="2C2D5B"/>
              </w:rPr>
              <w:t>A</w:t>
            </w:r>
            <w:r w:rsidR="008A7603" w:rsidRPr="002B60D0">
              <w:rPr>
                <w:rStyle w:val="Hypertextovodkaz"/>
                <w:color w:val="2C2D5B"/>
              </w:rPr>
              <w:t>ppendices : national perspectives on the Charter</w:t>
            </w:r>
            <w:r w:rsidRPr="002B60D0">
              <w:rPr>
                <w:webHidden/>
                <w:color w:val="2C2D5B"/>
              </w:rPr>
              <w:tab/>
            </w:r>
            <w:r w:rsidR="00941491">
              <w:rPr>
                <w:webHidden/>
                <w:color w:val="2C2D5B"/>
              </w:rPr>
              <w:t>5</w:t>
            </w:r>
            <w:r w:rsidR="00F36E90">
              <w:rPr>
                <w:webHidden/>
                <w:color w:val="2C2D5B"/>
              </w:rPr>
              <w:t>1</w:t>
            </w:r>
          </w:hyperlink>
        </w:p>
        <w:p w14:paraId="4703E808" w14:textId="0430965A" w:rsidR="00E744C3" w:rsidRDefault="00E744C3">
          <w:r w:rsidRPr="002B60D0">
            <w:rPr>
              <w:rFonts w:asciiTheme="majorHAnsi" w:hAnsiTheme="majorHAnsi" w:cstheme="majorHAnsi"/>
              <w:b/>
              <w:bCs/>
              <w:color w:val="2C2D5B"/>
              <w:lang w:val="fr-FR"/>
            </w:rPr>
            <w:fldChar w:fldCharType="end"/>
          </w:r>
        </w:p>
      </w:sdtContent>
    </w:sdt>
    <w:p w14:paraId="18CC3BD4" w14:textId="77777777" w:rsidR="00CC27F3" w:rsidRDefault="00CC27F3" w:rsidP="00327D5A">
      <w:pPr>
        <w:spacing w:line="276" w:lineRule="auto"/>
        <w:rPr>
          <w:rFonts w:ascii="Calibri" w:hAnsi="Calibri" w:cs="Calibri"/>
          <w:b/>
          <w:bCs/>
          <w:color w:val="000000" w:themeColor="text1"/>
        </w:rPr>
      </w:pPr>
    </w:p>
    <w:p w14:paraId="243CE3A4" w14:textId="77777777" w:rsidR="00516C61" w:rsidRPr="00D81BE8" w:rsidRDefault="00516C61" w:rsidP="00516C61">
      <w:pPr>
        <w:ind w:firstLine="708"/>
        <w:rPr>
          <w:rFonts w:ascii="Calibri" w:hAnsi="Calibri" w:cs="Calibri"/>
          <w:b/>
          <w:bCs/>
          <w:color w:val="FFFFFF" w:themeColor="background1"/>
          <w:sz w:val="16"/>
          <w:szCs w:val="16"/>
          <w:lang w:val="fr-FR"/>
          <w14:shadow w14:blurRad="50800" w14:dist="38100" w14:dir="2700000" w14:sx="100000" w14:sy="100000" w14:kx="0" w14:ky="0" w14:algn="tl">
            <w14:srgbClr w14:val="000000">
              <w14:alpha w14:val="60000"/>
            </w14:srgbClr>
          </w14:shadow>
        </w:rPr>
      </w:pPr>
    </w:p>
    <w:p w14:paraId="43AF6277" w14:textId="77777777" w:rsidR="00516C61" w:rsidRPr="00516C61" w:rsidRDefault="00516C61" w:rsidP="00516C61">
      <w:pPr>
        <w:spacing w:line="276" w:lineRule="auto"/>
        <w:rPr>
          <w:rFonts w:ascii="Calibri" w:hAnsi="Calibri" w:cs="Calibri"/>
          <w:b/>
          <w:bCs/>
          <w:color w:val="FFFFFF" w:themeColor="background1"/>
          <w:sz w:val="16"/>
          <w:szCs w:val="16"/>
          <w:lang w:val="fr-FR"/>
          <w14:shadow w14:blurRad="50800" w14:dist="38100" w14:dir="2700000" w14:sx="100000" w14:sy="100000" w14:kx="0" w14:ky="0" w14:algn="tl">
            <w14:srgbClr w14:val="000000">
              <w14:alpha w14:val="60000"/>
            </w14:srgbClr>
          </w14:shadow>
        </w:rPr>
      </w:pPr>
    </w:p>
    <w:p w14:paraId="53B4511D" w14:textId="2A7DEF3F" w:rsidR="00D81BE8" w:rsidRDefault="00516C61" w:rsidP="00516C61">
      <w:pPr>
        <w:spacing w:line="276" w:lineRule="auto"/>
        <w:ind w:firstLine="708"/>
        <w:rPr>
          <w:rFonts w:ascii="Calibri" w:hAnsi="Calibri" w:cs="Calibri"/>
          <w:b/>
          <w:bCs/>
          <w:color w:val="000000" w:themeColor="text1"/>
        </w:rPr>
      </w:pPr>
      <w:r>
        <w:rPr>
          <w:rFonts w:ascii="Calibri" w:hAnsi="Calibri" w:cs="Calibri"/>
          <w:b/>
          <w:bCs/>
          <w:noProof/>
          <w:color w:val="000000" w:themeColor="text1"/>
          <w:lang w:val="fr-FR"/>
          <w14:ligatures w14:val="standardContextual"/>
        </w:rPr>
        <w:lastRenderedPageBreak/>
        <mc:AlternateContent>
          <mc:Choice Requires="wps">
            <w:drawing>
              <wp:anchor distT="0" distB="0" distL="114300" distR="114300" simplePos="0" relativeHeight="251830272" behindDoc="0" locked="0" layoutInCell="1" allowOverlap="1" wp14:anchorId="4574A627" wp14:editId="271706E7">
                <wp:simplePos x="0" y="0"/>
                <wp:positionH relativeFrom="column">
                  <wp:posOffset>515126</wp:posOffset>
                </wp:positionH>
                <wp:positionV relativeFrom="paragraph">
                  <wp:posOffset>448310</wp:posOffset>
                </wp:positionV>
                <wp:extent cx="586740" cy="45719"/>
                <wp:effectExtent l="38100" t="38100" r="60960" b="88265"/>
                <wp:wrapNone/>
                <wp:docPr id="1363280463" name="Rectangle 63"/>
                <wp:cNvGraphicFramePr/>
                <a:graphic xmlns:a="http://schemas.openxmlformats.org/drawingml/2006/main">
                  <a:graphicData uri="http://schemas.microsoft.com/office/word/2010/wordprocessingShape">
                    <wps:wsp>
                      <wps:cNvSpPr/>
                      <wps:spPr>
                        <a:xfrm>
                          <a:off x="0" y="0"/>
                          <a:ext cx="586740" cy="45719"/>
                        </a:xfrm>
                        <a:prstGeom prst="rect">
                          <a:avLst/>
                        </a:prstGeom>
                        <a:solidFill>
                          <a:srgbClr val="B6A04C"/>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4876DC5" id="Rectangle 63" o:spid="_x0000_s1026" style="position:absolute;margin-left:40.55pt;margin-top:35.3pt;width:46.2pt;height:3.6pt;z-index:2518302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KKN0wIAABIGAAAOAAAAZHJzL2Uyb0RvYy54bWysVMFu2zAMvQ/YPwi6r7aztE2DOkWWosOA&#10;Yi2aDj0rshwLkyWNUuJkXz9Kcpys7WlYDopoko/kE8nrm12ryFaAk0aXtDjLKRGam0rqdUl/PN99&#10;mlDiPNMVU0aLku6Fozezjx+uOzsVI9MYVQkgCKLdtLMlbby30yxzvBEtc2fGCo3K2kDLPIqwzipg&#10;HaK3Khvl+UXWGagsGC6cw6+3SUlnEb+uBfcPde2EJ6qkmJuPJ8RzFc5sds2ma2C2kbxPg/1DFi2T&#10;GoMOULfMM7IB+QaqlRyMM7U/46bNTF1LLmINWE2Rv6pm2TArYi1IjrMDTe7/wfLv26V9BKShs27q&#10;8Bqq2NXQhn/Mj+wiWfuBLLHzhOPH88nF5Rgp5agan18WV4HL7OhrwfmvwrQkXEoK+BSRIba9dz6Z&#10;HkxCKGeUrO6kUlGA9WqhgGwZPtuXi3k+XvTof5kpHYy1CW4JMX0R8eExTKxh4wUsm6ojK7WBJ1Zh&#10;6vkkx8wrGRL7PCmSgF0xuszDjxKm1tjOXlECxr9I38SnCBwEyJD3kN5KMf4zVaZsw1LO4whzrBKt&#10;IznmkEyUTvLMjvTHm98rEUIp/SRqIiskfBSDxMkQQ3TGudC+SKqGVSLFL85DGSn+4BFjRsCAXCNp&#10;A3YPEKbuLXaC6e2Da8p7cE6kDGFSBofEkvPgESMb7QfnVmoD71WmsKo+crLH9E+oCdeVqfaPEJ4o&#10;9qiz/E7i09wz5x8Z4BzjS+Ju8g941Mp0JTX9jZLGwO/3vgd7HC/UUtLhXiip+7VhIChR3zQO3lUx&#10;Dl3vo4B9P0IBTjWrU43etAuDPVzgFrQ8XoO9V4drDaZ9wRU2D1FRxTTH2CXlHg7Cwqd9hUuQi/k8&#10;muHysMzf66XlATywGpryeffCwPYT53FSv5vDDmHTV4OXbIOnNvONN7WMU3nktecbF09snH5Jhs12&#10;Kker4yqf/QEAAP//AwBQSwMEFAAGAAgAAAAhAONXGVnaAAAACAEAAA8AAABkcnMvZG93bnJldi54&#10;bWxMj81ugzAQhO+R8g7WVuotsWl+QBQTRY1Qz0n7AA7eAipeI+wE+vbdnNrj7Ixmvi0Os+vFHcfQ&#10;edKQrBUIpNrbjhoNnx/VKgMRoiFrek+o4QcDHMrlojC59ROd8X6JjeASCrnR0MY45FKGukVnwtoP&#10;SOx9+dGZyHJspB3NxOWuly9K7aUzHfFCawZ8a7H+vtychvdpW1lVb6XDTXqOVXbaVfak9fPTfHwF&#10;EXGOf2F44DM6lMx09TeyQfQasiThpIZU7UE8/HSzA3HlQ5qBLAv5/4HyFwAA//8DAFBLAQItABQA&#10;BgAIAAAAIQC2gziS/gAAAOEBAAATAAAAAAAAAAAAAAAAAAAAAABbQ29udGVudF9UeXBlc10ueG1s&#10;UEsBAi0AFAAGAAgAAAAhADj9If/WAAAAlAEAAAsAAAAAAAAAAAAAAAAALwEAAF9yZWxzLy5yZWxz&#10;UEsBAi0AFAAGAAgAAAAhAB4koo3TAgAAEgYAAA4AAAAAAAAAAAAAAAAALgIAAGRycy9lMm9Eb2Mu&#10;eG1sUEsBAi0AFAAGAAgAAAAhAONXGVnaAAAACAEAAA8AAAAAAAAAAAAAAAAALQUAAGRycy9kb3du&#10;cmV2LnhtbFBLBQYAAAAABAAEAPMAAAA0BgAAAAA=&#10;" fillcolor="#b6a04c" stroked="f" strokeweight="1pt">
                <v:shadow on="t" color="black" opacity="26214f" origin="-.5,-.5" offset=".74836mm,.74836mm"/>
              </v:rect>
            </w:pict>
          </mc:Fallback>
        </mc:AlternateContent>
      </w:r>
      <w:r w:rsidRPr="00516C61">
        <w:rPr>
          <w:rFonts w:ascii="Calibri" w:hAnsi="Calibri" w:cs="Calibri"/>
          <w:b/>
          <w:bCs/>
          <w:color w:val="FFFFFF" w:themeColor="background1"/>
          <w:sz w:val="56"/>
          <w:szCs w:val="56"/>
          <w:lang w:val="fr-FR"/>
          <w14:shadow w14:blurRad="50800" w14:dist="38100" w14:dir="2700000" w14:sx="100000" w14:sy="100000" w14:kx="0" w14:ky="0" w14:algn="tl">
            <w14:srgbClr w14:val="000000">
              <w14:alpha w14:val="60000"/>
            </w14:srgbClr>
          </w14:shadow>
        </w:rPr>
        <w:t>Acronyms and Abbreviations</w:t>
      </w:r>
    </w:p>
    <w:p w14:paraId="5AE0A8D9" w14:textId="77777777" w:rsidR="00CC27F3" w:rsidRPr="005A6959" w:rsidRDefault="00CC27F3" w:rsidP="00327D5A">
      <w:pPr>
        <w:spacing w:line="276" w:lineRule="auto"/>
        <w:rPr>
          <w:rFonts w:ascii="Calibri" w:hAnsi="Calibri" w:cs="Calibri"/>
          <w:b/>
          <w:bCs/>
          <w:color w:val="000000" w:themeColor="text1"/>
        </w:rPr>
      </w:pPr>
    </w:p>
    <w:p w14:paraId="6EFCB019" w14:textId="0F202A27" w:rsidR="00C71FDE" w:rsidRDefault="00C71FDE" w:rsidP="00C71FDE">
      <w:pPr>
        <w:rPr>
          <w:rFonts w:ascii="Calibri" w:hAnsi="Calibri" w:cs="Calibri"/>
        </w:rPr>
      </w:pPr>
    </w:p>
    <w:p w14:paraId="13A10185" w14:textId="77777777" w:rsidR="00753CFC" w:rsidRDefault="00753CFC" w:rsidP="00C71FDE">
      <w:pPr>
        <w:rPr>
          <w:rFonts w:ascii="Calibri" w:hAnsi="Calibri" w:cs="Calibri"/>
        </w:rPr>
      </w:pPr>
    </w:p>
    <w:p w14:paraId="52C5126B" w14:textId="77777777" w:rsidR="00753CFC" w:rsidRDefault="00753CFC" w:rsidP="00C71FDE">
      <w:pPr>
        <w:rPr>
          <w:rFonts w:ascii="Calibri" w:hAnsi="Calibri" w:cs="Calibri"/>
        </w:rPr>
      </w:pPr>
    </w:p>
    <w:p w14:paraId="29CC760C" w14:textId="77777777" w:rsidR="00753CFC" w:rsidRPr="005A6959" w:rsidRDefault="00753CFC" w:rsidP="00C71FDE">
      <w:pPr>
        <w:rPr>
          <w:rFonts w:ascii="Calibri" w:hAnsi="Calibri" w:cs="Calibri"/>
        </w:rPr>
      </w:pPr>
    </w:p>
    <w:tbl>
      <w:tblPr>
        <w:tblStyle w:val="Prosttabulka4"/>
        <w:tblW w:w="8647" w:type="dxa"/>
        <w:tblLook w:val="04A0" w:firstRow="1" w:lastRow="0" w:firstColumn="1" w:lastColumn="0" w:noHBand="0" w:noVBand="1"/>
      </w:tblPr>
      <w:tblGrid>
        <w:gridCol w:w="1418"/>
        <w:gridCol w:w="7229"/>
      </w:tblGrid>
      <w:tr w:rsidR="00C71FDE" w:rsidRPr="005A6959" w14:paraId="0E3EE1C3" w14:textId="77777777" w:rsidTr="00730CE2">
        <w:trPr>
          <w:cnfStyle w:val="100000000000" w:firstRow="1" w:lastRow="0" w:firstColumn="0" w:lastColumn="0" w:oddVBand="0" w:evenVBand="0" w:oddHBand="0"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418" w:type="dxa"/>
            <w:shd w:val="clear" w:color="auto" w:fill="B6A04C"/>
            <w:vAlign w:val="center"/>
          </w:tcPr>
          <w:p w14:paraId="224BB310" w14:textId="49819023" w:rsidR="00516C61" w:rsidRPr="00730CE2" w:rsidRDefault="00C71FDE" w:rsidP="00516C61">
            <w:pPr>
              <w:jc w:val="center"/>
              <w:rPr>
                <w:rFonts w:ascii="Calibri" w:hAnsi="Calibri" w:cs="Calibri"/>
                <w:b w:val="0"/>
                <w:bCs w:val="0"/>
                <w:color w:val="FFFFFF" w:themeColor="background1"/>
                <w:sz w:val="32"/>
                <w:szCs w:val="32"/>
              </w:rPr>
            </w:pPr>
            <w:r w:rsidRPr="00730CE2">
              <w:rPr>
                <w:rFonts w:ascii="Calibri" w:hAnsi="Calibri" w:cs="Calibri"/>
                <w:color w:val="FFFFFF" w:themeColor="background1"/>
                <w:sz w:val="32"/>
                <w:szCs w:val="32"/>
              </w:rPr>
              <w:t>EU</w:t>
            </w:r>
          </w:p>
        </w:tc>
        <w:tc>
          <w:tcPr>
            <w:tcW w:w="7229" w:type="dxa"/>
            <w:shd w:val="clear" w:color="auto" w:fill="B6A04C"/>
            <w:vAlign w:val="center"/>
          </w:tcPr>
          <w:p w14:paraId="4D2136C4" w14:textId="137BC36D" w:rsidR="00C71FDE" w:rsidRPr="00730CE2" w:rsidRDefault="00C71FDE" w:rsidP="00516C61">
            <w:pP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32"/>
                <w:szCs w:val="32"/>
              </w:rPr>
            </w:pPr>
            <w:r w:rsidRPr="00730CE2">
              <w:rPr>
                <w:rFonts w:ascii="Calibri" w:hAnsi="Calibri" w:cs="Calibri"/>
                <w:b w:val="0"/>
                <w:bCs w:val="0"/>
                <w:color w:val="FFFFFF" w:themeColor="background1"/>
                <w:sz w:val="32"/>
                <w:szCs w:val="32"/>
              </w:rPr>
              <w:t xml:space="preserve">European Union </w:t>
            </w:r>
          </w:p>
        </w:tc>
      </w:tr>
      <w:tr w:rsidR="00C71FDE" w:rsidRPr="005A6959" w14:paraId="4F19D3CF" w14:textId="77777777" w:rsidTr="00730CE2">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418" w:type="dxa"/>
            <w:shd w:val="clear" w:color="auto" w:fill="FFFFFF" w:themeFill="background1"/>
            <w:vAlign w:val="center"/>
          </w:tcPr>
          <w:p w14:paraId="1D67A02D" w14:textId="0A837A04" w:rsidR="004C02F7" w:rsidRPr="00516C61" w:rsidRDefault="00C71FDE" w:rsidP="00516C61">
            <w:pPr>
              <w:jc w:val="center"/>
              <w:rPr>
                <w:rFonts w:ascii="Calibri" w:hAnsi="Calibri" w:cs="Calibri"/>
                <w:b w:val="0"/>
                <w:bCs w:val="0"/>
                <w:color w:val="201A3F"/>
                <w:sz w:val="32"/>
                <w:szCs w:val="32"/>
              </w:rPr>
            </w:pPr>
            <w:r w:rsidRPr="00516C61">
              <w:rPr>
                <w:rFonts w:ascii="Calibri" w:hAnsi="Calibri" w:cs="Calibri"/>
                <w:color w:val="201A3F"/>
                <w:sz w:val="32"/>
                <w:szCs w:val="32"/>
              </w:rPr>
              <w:t>TEU</w:t>
            </w:r>
          </w:p>
        </w:tc>
        <w:tc>
          <w:tcPr>
            <w:tcW w:w="7229" w:type="dxa"/>
            <w:shd w:val="clear" w:color="auto" w:fill="FFFFFF" w:themeFill="background1"/>
            <w:vAlign w:val="center"/>
          </w:tcPr>
          <w:p w14:paraId="2B78A9E1" w14:textId="2E6083D4" w:rsidR="00C71FDE" w:rsidRPr="00516C61" w:rsidRDefault="00C71FDE" w:rsidP="00516C61">
            <w:pPr>
              <w:cnfStyle w:val="000000100000" w:firstRow="0" w:lastRow="0" w:firstColumn="0" w:lastColumn="0" w:oddVBand="0" w:evenVBand="0" w:oddHBand="1" w:evenHBand="0" w:firstRowFirstColumn="0" w:firstRowLastColumn="0" w:lastRowFirstColumn="0" w:lastRowLastColumn="0"/>
              <w:rPr>
                <w:rFonts w:ascii="Calibri" w:hAnsi="Calibri" w:cs="Calibri"/>
                <w:color w:val="201A3F"/>
                <w:sz w:val="32"/>
                <w:szCs w:val="32"/>
              </w:rPr>
            </w:pPr>
            <w:r w:rsidRPr="00516C61">
              <w:rPr>
                <w:rFonts w:ascii="Calibri" w:hAnsi="Calibri" w:cs="Calibri"/>
                <w:color w:val="201A3F"/>
                <w:sz w:val="32"/>
                <w:szCs w:val="32"/>
              </w:rPr>
              <w:t xml:space="preserve">Treaty on European Union </w:t>
            </w:r>
          </w:p>
        </w:tc>
      </w:tr>
      <w:tr w:rsidR="00730CE2" w:rsidRPr="005A6959" w14:paraId="5BFD4E68" w14:textId="77777777" w:rsidTr="00730CE2">
        <w:trPr>
          <w:trHeight w:val="1134"/>
        </w:trPr>
        <w:tc>
          <w:tcPr>
            <w:cnfStyle w:val="001000000000" w:firstRow="0" w:lastRow="0" w:firstColumn="1" w:lastColumn="0" w:oddVBand="0" w:evenVBand="0" w:oddHBand="0" w:evenHBand="0" w:firstRowFirstColumn="0" w:firstRowLastColumn="0" w:lastRowFirstColumn="0" w:lastRowLastColumn="0"/>
            <w:tcW w:w="1418" w:type="dxa"/>
            <w:shd w:val="clear" w:color="auto" w:fill="B6A04C"/>
            <w:vAlign w:val="center"/>
          </w:tcPr>
          <w:p w14:paraId="2CDF9972" w14:textId="5EA65751" w:rsidR="00C71FDE" w:rsidRPr="00730CE2" w:rsidRDefault="00C71FDE" w:rsidP="00516C61">
            <w:pPr>
              <w:jc w:val="center"/>
              <w:rPr>
                <w:rFonts w:ascii="Calibri" w:hAnsi="Calibri" w:cs="Calibri"/>
                <w:b w:val="0"/>
                <w:bCs w:val="0"/>
                <w:color w:val="FFFFFF" w:themeColor="background1"/>
                <w:sz w:val="32"/>
                <w:szCs w:val="32"/>
              </w:rPr>
            </w:pPr>
            <w:r w:rsidRPr="00730CE2">
              <w:rPr>
                <w:rFonts w:ascii="Calibri" w:hAnsi="Calibri" w:cs="Calibri"/>
                <w:color w:val="FFFFFF" w:themeColor="background1"/>
                <w:sz w:val="32"/>
                <w:szCs w:val="32"/>
              </w:rPr>
              <w:t>TFEU</w:t>
            </w:r>
          </w:p>
        </w:tc>
        <w:tc>
          <w:tcPr>
            <w:tcW w:w="7229" w:type="dxa"/>
            <w:shd w:val="clear" w:color="auto" w:fill="B6A04C"/>
            <w:vAlign w:val="center"/>
          </w:tcPr>
          <w:p w14:paraId="190E7DD0" w14:textId="70ECA31F" w:rsidR="004C02F7" w:rsidRPr="00730CE2" w:rsidRDefault="00C71FDE" w:rsidP="00516C61">
            <w:pPr>
              <w:ind w:firstLine="39"/>
              <w:cnfStyle w:val="000000000000" w:firstRow="0" w:lastRow="0" w:firstColumn="0" w:lastColumn="0" w:oddVBand="0" w:evenVBand="0" w:oddHBand="0" w:evenHBand="0" w:firstRowFirstColumn="0" w:firstRowLastColumn="0" w:lastRowFirstColumn="0" w:lastRowLastColumn="0"/>
              <w:rPr>
                <w:rFonts w:ascii="Calibri" w:hAnsi="Calibri" w:cs="Calibri"/>
                <w:color w:val="FFFFFF" w:themeColor="background1"/>
                <w:sz w:val="32"/>
                <w:szCs w:val="32"/>
              </w:rPr>
            </w:pPr>
            <w:r w:rsidRPr="00730CE2">
              <w:rPr>
                <w:rFonts w:ascii="Calibri" w:hAnsi="Calibri" w:cs="Calibri"/>
                <w:color w:val="FFFFFF" w:themeColor="background1"/>
                <w:sz w:val="32"/>
                <w:szCs w:val="32"/>
              </w:rPr>
              <w:t>Treaty on the Functioning of th</w:t>
            </w:r>
            <w:r w:rsidR="004C02F7" w:rsidRPr="00730CE2">
              <w:rPr>
                <w:rFonts w:ascii="Calibri" w:hAnsi="Calibri" w:cs="Calibri"/>
                <w:color w:val="FFFFFF" w:themeColor="background1"/>
                <w:sz w:val="32"/>
                <w:szCs w:val="32"/>
              </w:rPr>
              <w:t xml:space="preserve">e European Union </w:t>
            </w:r>
          </w:p>
        </w:tc>
      </w:tr>
      <w:tr w:rsidR="00C71FDE" w:rsidRPr="005A6959" w14:paraId="72FC1507" w14:textId="77777777" w:rsidTr="00730CE2">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418" w:type="dxa"/>
            <w:shd w:val="clear" w:color="auto" w:fill="FFFFFF" w:themeFill="background1"/>
            <w:vAlign w:val="center"/>
          </w:tcPr>
          <w:p w14:paraId="1FB5CE50" w14:textId="413ADAE4" w:rsidR="004C02F7" w:rsidRPr="00516C61" w:rsidRDefault="004C02F7" w:rsidP="00516C61">
            <w:pPr>
              <w:jc w:val="center"/>
              <w:rPr>
                <w:rFonts w:ascii="Calibri" w:hAnsi="Calibri" w:cs="Calibri"/>
                <w:b w:val="0"/>
                <w:bCs w:val="0"/>
                <w:color w:val="201A3F"/>
                <w:sz w:val="32"/>
                <w:szCs w:val="32"/>
              </w:rPr>
            </w:pPr>
            <w:r w:rsidRPr="00516C61">
              <w:rPr>
                <w:rFonts w:ascii="Calibri" w:hAnsi="Calibri" w:cs="Calibri"/>
                <w:color w:val="201A3F"/>
                <w:sz w:val="32"/>
                <w:szCs w:val="32"/>
              </w:rPr>
              <w:t>EChFR</w:t>
            </w:r>
          </w:p>
        </w:tc>
        <w:tc>
          <w:tcPr>
            <w:tcW w:w="7229" w:type="dxa"/>
            <w:shd w:val="clear" w:color="auto" w:fill="FFFFFF" w:themeFill="background1"/>
            <w:vAlign w:val="center"/>
          </w:tcPr>
          <w:p w14:paraId="1CB8A76F" w14:textId="75ADD74B" w:rsidR="00C71FDE" w:rsidRPr="00516C61" w:rsidRDefault="004C02F7" w:rsidP="00516C61">
            <w:pPr>
              <w:cnfStyle w:val="000000100000" w:firstRow="0" w:lastRow="0" w:firstColumn="0" w:lastColumn="0" w:oddVBand="0" w:evenVBand="0" w:oddHBand="1" w:evenHBand="0" w:firstRowFirstColumn="0" w:firstRowLastColumn="0" w:lastRowFirstColumn="0" w:lastRowLastColumn="0"/>
              <w:rPr>
                <w:rFonts w:ascii="Calibri" w:hAnsi="Calibri" w:cs="Calibri"/>
                <w:color w:val="201A3F"/>
                <w:sz w:val="32"/>
                <w:szCs w:val="32"/>
              </w:rPr>
            </w:pPr>
            <w:r w:rsidRPr="00516C61">
              <w:rPr>
                <w:rFonts w:ascii="Calibri" w:hAnsi="Calibri" w:cs="Calibri"/>
                <w:color w:val="201A3F"/>
                <w:sz w:val="32"/>
                <w:szCs w:val="32"/>
              </w:rPr>
              <w:t xml:space="preserve">European Charter of Fundamental Rights </w:t>
            </w:r>
          </w:p>
        </w:tc>
      </w:tr>
      <w:tr w:rsidR="00C71FDE" w:rsidRPr="005A6959" w14:paraId="352CFE5A" w14:textId="77777777" w:rsidTr="00730CE2">
        <w:trPr>
          <w:trHeight w:val="1134"/>
        </w:trPr>
        <w:tc>
          <w:tcPr>
            <w:cnfStyle w:val="001000000000" w:firstRow="0" w:lastRow="0" w:firstColumn="1" w:lastColumn="0" w:oddVBand="0" w:evenVBand="0" w:oddHBand="0" w:evenHBand="0" w:firstRowFirstColumn="0" w:firstRowLastColumn="0" w:lastRowFirstColumn="0" w:lastRowLastColumn="0"/>
            <w:tcW w:w="1418" w:type="dxa"/>
            <w:shd w:val="clear" w:color="auto" w:fill="B6A04C"/>
            <w:vAlign w:val="center"/>
          </w:tcPr>
          <w:p w14:paraId="4BBFA73A" w14:textId="09EC35C6" w:rsidR="004C02F7" w:rsidRPr="00730CE2" w:rsidRDefault="004C02F7" w:rsidP="00516C61">
            <w:pPr>
              <w:jc w:val="center"/>
              <w:rPr>
                <w:rFonts w:ascii="Calibri" w:hAnsi="Calibri" w:cs="Calibri"/>
                <w:b w:val="0"/>
                <w:bCs w:val="0"/>
                <w:color w:val="FFFFFF" w:themeColor="background1"/>
                <w:sz w:val="32"/>
                <w:szCs w:val="32"/>
              </w:rPr>
            </w:pPr>
            <w:r w:rsidRPr="00730CE2">
              <w:rPr>
                <w:rFonts w:ascii="Calibri" w:hAnsi="Calibri" w:cs="Calibri"/>
                <w:color w:val="FFFFFF" w:themeColor="background1"/>
                <w:sz w:val="32"/>
                <w:szCs w:val="32"/>
              </w:rPr>
              <w:t>ECHR</w:t>
            </w:r>
          </w:p>
        </w:tc>
        <w:tc>
          <w:tcPr>
            <w:tcW w:w="7229" w:type="dxa"/>
            <w:shd w:val="clear" w:color="auto" w:fill="B6A04C"/>
            <w:vAlign w:val="center"/>
          </w:tcPr>
          <w:p w14:paraId="127F3550" w14:textId="22C21BF1" w:rsidR="00C71FDE" w:rsidRPr="00730CE2" w:rsidRDefault="004C02F7" w:rsidP="00516C61">
            <w:pPr>
              <w:cnfStyle w:val="000000000000" w:firstRow="0" w:lastRow="0" w:firstColumn="0" w:lastColumn="0" w:oddVBand="0" w:evenVBand="0" w:oddHBand="0" w:evenHBand="0" w:firstRowFirstColumn="0" w:firstRowLastColumn="0" w:lastRowFirstColumn="0" w:lastRowLastColumn="0"/>
              <w:rPr>
                <w:rFonts w:ascii="Calibri" w:hAnsi="Calibri" w:cs="Calibri"/>
                <w:color w:val="FFFFFF" w:themeColor="background1"/>
                <w:sz w:val="32"/>
                <w:szCs w:val="32"/>
              </w:rPr>
            </w:pPr>
            <w:r w:rsidRPr="00730CE2">
              <w:rPr>
                <w:rFonts w:ascii="Calibri" w:hAnsi="Calibri" w:cs="Calibri"/>
                <w:color w:val="FFFFFF" w:themeColor="background1"/>
                <w:sz w:val="32"/>
                <w:szCs w:val="32"/>
              </w:rPr>
              <w:t xml:space="preserve">European Convention on Human Rights </w:t>
            </w:r>
          </w:p>
        </w:tc>
      </w:tr>
      <w:tr w:rsidR="00C71FDE" w:rsidRPr="005A6959" w14:paraId="3D7955F8" w14:textId="77777777" w:rsidTr="00730CE2">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418" w:type="dxa"/>
            <w:shd w:val="clear" w:color="auto" w:fill="FFFFFF" w:themeFill="background1"/>
            <w:vAlign w:val="center"/>
          </w:tcPr>
          <w:p w14:paraId="1A2696B1" w14:textId="45D79158" w:rsidR="004C02F7" w:rsidRPr="00516C61" w:rsidRDefault="004C02F7" w:rsidP="00516C61">
            <w:pPr>
              <w:jc w:val="center"/>
              <w:rPr>
                <w:rFonts w:ascii="Calibri" w:hAnsi="Calibri" w:cs="Calibri"/>
                <w:b w:val="0"/>
                <w:bCs w:val="0"/>
                <w:color w:val="201A3F"/>
                <w:sz w:val="32"/>
                <w:szCs w:val="32"/>
              </w:rPr>
            </w:pPr>
            <w:r w:rsidRPr="00516C61">
              <w:rPr>
                <w:rFonts w:ascii="Calibri" w:hAnsi="Calibri" w:cs="Calibri"/>
                <w:color w:val="201A3F"/>
                <w:sz w:val="32"/>
                <w:szCs w:val="32"/>
              </w:rPr>
              <w:t>ECtHR</w:t>
            </w:r>
          </w:p>
        </w:tc>
        <w:tc>
          <w:tcPr>
            <w:tcW w:w="7229" w:type="dxa"/>
            <w:shd w:val="clear" w:color="auto" w:fill="FFFFFF" w:themeFill="background1"/>
            <w:vAlign w:val="center"/>
          </w:tcPr>
          <w:p w14:paraId="556FCF87" w14:textId="1F96FF19" w:rsidR="00C71FDE" w:rsidRPr="00516C61" w:rsidRDefault="004C02F7" w:rsidP="00516C61">
            <w:pPr>
              <w:cnfStyle w:val="000000100000" w:firstRow="0" w:lastRow="0" w:firstColumn="0" w:lastColumn="0" w:oddVBand="0" w:evenVBand="0" w:oddHBand="1" w:evenHBand="0" w:firstRowFirstColumn="0" w:firstRowLastColumn="0" w:lastRowFirstColumn="0" w:lastRowLastColumn="0"/>
              <w:rPr>
                <w:rFonts w:ascii="Calibri" w:hAnsi="Calibri" w:cs="Calibri"/>
                <w:color w:val="201A3F"/>
                <w:sz w:val="32"/>
                <w:szCs w:val="32"/>
              </w:rPr>
            </w:pPr>
            <w:r w:rsidRPr="00516C61">
              <w:rPr>
                <w:rFonts w:ascii="Calibri" w:hAnsi="Calibri" w:cs="Calibri"/>
                <w:color w:val="201A3F"/>
                <w:sz w:val="32"/>
                <w:szCs w:val="32"/>
              </w:rPr>
              <w:t xml:space="preserve">European Court of Human Rights </w:t>
            </w:r>
          </w:p>
        </w:tc>
      </w:tr>
      <w:tr w:rsidR="00C71FDE" w:rsidRPr="005A6959" w14:paraId="0D051936" w14:textId="77777777" w:rsidTr="00730CE2">
        <w:trPr>
          <w:trHeight w:val="1134"/>
        </w:trPr>
        <w:tc>
          <w:tcPr>
            <w:cnfStyle w:val="001000000000" w:firstRow="0" w:lastRow="0" w:firstColumn="1" w:lastColumn="0" w:oddVBand="0" w:evenVBand="0" w:oddHBand="0" w:evenHBand="0" w:firstRowFirstColumn="0" w:firstRowLastColumn="0" w:lastRowFirstColumn="0" w:lastRowLastColumn="0"/>
            <w:tcW w:w="1418" w:type="dxa"/>
            <w:shd w:val="clear" w:color="auto" w:fill="B6A04C"/>
            <w:vAlign w:val="center"/>
          </w:tcPr>
          <w:p w14:paraId="72E3E275" w14:textId="79EFC172" w:rsidR="004C02F7" w:rsidRPr="00730CE2" w:rsidRDefault="004C02F7" w:rsidP="00516C61">
            <w:pPr>
              <w:jc w:val="center"/>
              <w:rPr>
                <w:rFonts w:ascii="Calibri" w:hAnsi="Calibri" w:cs="Calibri"/>
                <w:b w:val="0"/>
                <w:bCs w:val="0"/>
                <w:color w:val="FFFFFF" w:themeColor="background1"/>
                <w:sz w:val="32"/>
                <w:szCs w:val="32"/>
              </w:rPr>
            </w:pPr>
            <w:r w:rsidRPr="00730CE2">
              <w:rPr>
                <w:rFonts w:ascii="Calibri" w:hAnsi="Calibri" w:cs="Calibri"/>
                <w:color w:val="FFFFFF" w:themeColor="background1"/>
                <w:sz w:val="32"/>
                <w:szCs w:val="32"/>
              </w:rPr>
              <w:t>CJEU</w:t>
            </w:r>
          </w:p>
        </w:tc>
        <w:tc>
          <w:tcPr>
            <w:tcW w:w="7229" w:type="dxa"/>
            <w:shd w:val="clear" w:color="auto" w:fill="B6A04C"/>
            <w:vAlign w:val="center"/>
          </w:tcPr>
          <w:p w14:paraId="2B739AC4" w14:textId="64ABC9CE" w:rsidR="00C71FDE" w:rsidRPr="00730CE2" w:rsidRDefault="004C02F7" w:rsidP="00516C61">
            <w:pPr>
              <w:cnfStyle w:val="000000000000" w:firstRow="0" w:lastRow="0" w:firstColumn="0" w:lastColumn="0" w:oddVBand="0" w:evenVBand="0" w:oddHBand="0" w:evenHBand="0" w:firstRowFirstColumn="0" w:firstRowLastColumn="0" w:lastRowFirstColumn="0" w:lastRowLastColumn="0"/>
              <w:rPr>
                <w:rFonts w:ascii="Calibri" w:hAnsi="Calibri" w:cs="Calibri"/>
                <w:color w:val="FFFFFF" w:themeColor="background1"/>
                <w:sz w:val="32"/>
                <w:szCs w:val="32"/>
              </w:rPr>
            </w:pPr>
            <w:r w:rsidRPr="00730CE2">
              <w:rPr>
                <w:rFonts w:ascii="Calibri" w:hAnsi="Calibri" w:cs="Calibri"/>
                <w:color w:val="FFFFFF" w:themeColor="background1"/>
                <w:sz w:val="32"/>
                <w:szCs w:val="32"/>
              </w:rPr>
              <w:t xml:space="preserve">Court of Justice of the European Union </w:t>
            </w:r>
          </w:p>
        </w:tc>
      </w:tr>
      <w:tr w:rsidR="00C71FDE" w:rsidRPr="005A6959" w14:paraId="0E061A8F" w14:textId="77777777" w:rsidTr="00730CE2">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418" w:type="dxa"/>
            <w:tcBorders>
              <w:bottom w:val="single" w:sz="12" w:space="0" w:color="B6A04C"/>
            </w:tcBorders>
            <w:shd w:val="clear" w:color="auto" w:fill="FFFFFF" w:themeFill="background1"/>
            <w:vAlign w:val="center"/>
          </w:tcPr>
          <w:p w14:paraId="17A4F573" w14:textId="7DDD2281" w:rsidR="004C02F7" w:rsidRPr="00516C61" w:rsidRDefault="004C02F7" w:rsidP="00516C61">
            <w:pPr>
              <w:jc w:val="center"/>
              <w:rPr>
                <w:rFonts w:ascii="Calibri" w:hAnsi="Calibri" w:cs="Calibri"/>
                <w:b w:val="0"/>
                <w:bCs w:val="0"/>
                <w:color w:val="201A3F"/>
                <w:sz w:val="32"/>
                <w:szCs w:val="32"/>
              </w:rPr>
            </w:pPr>
            <w:r w:rsidRPr="00516C61">
              <w:rPr>
                <w:rFonts w:ascii="Calibri" w:hAnsi="Calibri" w:cs="Calibri"/>
                <w:color w:val="201A3F"/>
                <w:sz w:val="32"/>
                <w:szCs w:val="32"/>
              </w:rPr>
              <w:t>ECLI</w:t>
            </w:r>
          </w:p>
        </w:tc>
        <w:tc>
          <w:tcPr>
            <w:tcW w:w="7229" w:type="dxa"/>
            <w:tcBorders>
              <w:bottom w:val="single" w:sz="12" w:space="0" w:color="B6A04C"/>
            </w:tcBorders>
            <w:shd w:val="clear" w:color="auto" w:fill="FFFFFF" w:themeFill="background1"/>
            <w:vAlign w:val="center"/>
          </w:tcPr>
          <w:p w14:paraId="2E690589" w14:textId="2781A4E1" w:rsidR="00E52B12" w:rsidRPr="00516C61" w:rsidRDefault="004C02F7" w:rsidP="00516C61">
            <w:pPr>
              <w:cnfStyle w:val="000000100000" w:firstRow="0" w:lastRow="0" w:firstColumn="0" w:lastColumn="0" w:oddVBand="0" w:evenVBand="0" w:oddHBand="1" w:evenHBand="0" w:firstRowFirstColumn="0" w:firstRowLastColumn="0" w:lastRowFirstColumn="0" w:lastRowLastColumn="0"/>
              <w:rPr>
                <w:rFonts w:ascii="Calibri" w:hAnsi="Calibri" w:cs="Calibri"/>
                <w:color w:val="201A3F"/>
                <w:sz w:val="32"/>
                <w:szCs w:val="32"/>
              </w:rPr>
            </w:pPr>
            <w:r w:rsidRPr="00516C61">
              <w:rPr>
                <w:rFonts w:ascii="Calibri" w:hAnsi="Calibri" w:cs="Calibri"/>
                <w:color w:val="201A3F"/>
                <w:sz w:val="32"/>
                <w:szCs w:val="32"/>
              </w:rPr>
              <w:t>European Case Law Identifier</w:t>
            </w:r>
          </w:p>
        </w:tc>
      </w:tr>
    </w:tbl>
    <w:p w14:paraId="7CC02FC9" w14:textId="6DEB74A2" w:rsidR="00E52B12" w:rsidRDefault="00E52B12" w:rsidP="00E52B12"/>
    <w:p w14:paraId="2B221263" w14:textId="77777777" w:rsidR="00BE2184" w:rsidRDefault="00BE2184" w:rsidP="00E52B12"/>
    <w:p w14:paraId="0D4A4B2C" w14:textId="5A31497F" w:rsidR="00BE2184" w:rsidRPr="00336C6F" w:rsidRDefault="00071D61" w:rsidP="00E52B12">
      <w:r>
        <w:br w:type="page"/>
      </w:r>
    </w:p>
    <w:p w14:paraId="2242E696" w14:textId="77777777" w:rsidR="00AA300E" w:rsidRPr="00AA300E" w:rsidRDefault="00AA300E" w:rsidP="00AA300E">
      <w:pPr>
        <w:pStyle w:val="Nadpis1"/>
        <w:ind w:left="795"/>
        <w:rPr>
          <w:rFonts w:ascii="Calibri" w:hAnsi="Calibri" w:cs="Calibri"/>
          <w:color w:val="FFFFFF" w:themeColor="background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bookmarkStart w:id="0" w:name="_Toc188457859"/>
    </w:p>
    <w:p w14:paraId="126F102E" w14:textId="29CAAC83" w:rsidR="00FA658A" w:rsidRPr="00AA300E" w:rsidRDefault="001C2E69" w:rsidP="001C2E69">
      <w:pPr>
        <w:pStyle w:val="Nadpis1"/>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A300E">
        <w:rPr>
          <w:rFonts w:ascii="Calibri" w:hAnsi="Calibri" w:cs="Calibri"/>
          <w:b/>
          <w:bCs/>
          <w:noProof/>
          <w:color w:val="FFFFFF" w:themeColor="background1"/>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Contextual"/>
        </w:rPr>
        <mc:AlternateContent>
          <mc:Choice Requires="wps">
            <w:drawing>
              <wp:anchor distT="0" distB="0" distL="114300" distR="114300" simplePos="0" relativeHeight="251832320" behindDoc="0" locked="0" layoutInCell="1" allowOverlap="1" wp14:anchorId="5EB3AEA2" wp14:editId="0125703A">
                <wp:simplePos x="0" y="0"/>
                <wp:positionH relativeFrom="column">
                  <wp:posOffset>481902</wp:posOffset>
                </wp:positionH>
                <wp:positionV relativeFrom="paragraph">
                  <wp:posOffset>576580</wp:posOffset>
                </wp:positionV>
                <wp:extent cx="586740" cy="45085"/>
                <wp:effectExtent l="38100" t="38100" r="60960" b="88265"/>
                <wp:wrapNone/>
                <wp:docPr id="20075099" name="Rectangle 63"/>
                <wp:cNvGraphicFramePr/>
                <a:graphic xmlns:a="http://schemas.openxmlformats.org/drawingml/2006/main">
                  <a:graphicData uri="http://schemas.microsoft.com/office/word/2010/wordprocessingShape">
                    <wps:wsp>
                      <wps:cNvSpPr/>
                      <wps:spPr>
                        <a:xfrm>
                          <a:off x="0" y="0"/>
                          <a:ext cx="586740" cy="45085"/>
                        </a:xfrm>
                        <a:prstGeom prst="rect">
                          <a:avLst/>
                        </a:prstGeom>
                        <a:solidFill>
                          <a:srgbClr val="B6A04C"/>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0ADD80B" id="Rectangle 63" o:spid="_x0000_s1026" style="position:absolute;margin-left:37.95pt;margin-top:45.4pt;width:46.2pt;height:3.55pt;z-index:251832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xMk0wIAABIGAAAOAAAAZHJzL2Uyb0RvYy54bWysVFFv2jAQfp+0/2D5fU1g0DLUUDGqTpOq&#10;FpVOfTaOQ6w5tmcbAvv1u7NDYG2fpvFgfPHdd9999t31zb5RZCecl0YXdHCRUyI0N6XUm4L+eL77&#10;NKHEB6ZLpowWBT0IT29mHz9ct3YqhqY2qhSOAIj209YWtA7BTrPM81o0zF8YKzQcVsY1LIDpNlnp&#10;WAvojcqGeX6ZtcaV1hkuvIevt+mQziJ+VQkeHqvKi0BUQYFbiKuL6xrXbHbNphvHbC15R4P9A4uG&#10;SQ1Je6hbFhjZOvkGqpHcGW+qcMFNk5mqklzEGqCaQf6qmlXNrIi1gDje9jL5/wfLH3Yru3QgQ2v9&#10;1MMWq9hXrsF/4Ef2UaxDL5bYB8Lh43hyeTUCSTkcjcb5ZIxaZqdY63z4JkxDcFNQB1cRFWK7ex+S&#10;69EFU3mjZHknlYqG26wXypEdg2v7ejnPR4sO/S83pdFZGwxLiOmLiBcPaWIN2yDcqi5bslZb98RK&#10;oJ5PcmBeSiT2eTJIBryK4VWOP0qY2sBzDooSZ8KLDHW8CtQAIZF3T2+tGP+ZKlO2ZonzKMKcqgTv&#10;KI45konWGc/sJH/chYMSmErpJ1ERWYLgw5gkdoboszPOhQ6DdFSzUqT8gzGWkfL3ETFnBETkCkTr&#10;sTsA7Lq32Amm88fQxLsPTqL0aRKDI7EU3EfEzEaHPriR2rj3KlNQVZc5+QP9M2lwuzblYenwiuIb&#10;9ZbfSbiae+bDkjnoY7hJmE3hEZZKmbagpttRUhv3+73v6A/tBaeUtDAXCup/bZkTlKjvGhrvy2CE&#10;rz5EYzS+GoLhzk/W5yd62ywMvOEBTEHL4xb9gzpuK2eaFxhhc8wKR0xzyF1QHtzRWIQ0r2AIcjGf&#10;RzcYHpaFe72yHMFRVXyUz/sX5mzXcQE69cEcZwibvmq85IuR2sy3wVQyduVJ105vGDzx4XRDEifb&#10;uR29TqN89gcAAP//AwBQSwMEFAAGAAgAAAAhAK12kp3aAAAACAEAAA8AAABkcnMvZG93bnJldi54&#10;bWxMj0tPwzAQhO9I/AdrkbhRG/rIgzgVooo49/ED3HibRMTrKHab8O/ZnuC4M6PZb4rt7HpxwzF0&#10;njS8LhQIpNrbjhoNp2P1koII0ZA1vSfU8IMBtuXjQ2Fy6yfa4+0QG8ElFHKjoY1xyKUMdYvOhIUf&#10;kNi7+NGZyOfYSDuaictdL9+U2khnOuIPrRnws8X6+3B1Gr6mVWVVvZIOl8k+VuluXdmd1s9P88c7&#10;iIhz/AvDHZ/RoWSms7+SDaLXkKwzTmrIFC+4+5t0CeLMQpKBLAv5f0D5CwAA//8DAFBLAQItABQA&#10;BgAIAAAAIQC2gziS/gAAAOEBAAATAAAAAAAAAAAAAAAAAAAAAABbQ29udGVudF9UeXBlc10ueG1s&#10;UEsBAi0AFAAGAAgAAAAhADj9If/WAAAAlAEAAAsAAAAAAAAAAAAAAAAALwEAAF9yZWxzLy5yZWxz&#10;UEsBAi0AFAAGAAgAAAAhAK+DEyTTAgAAEgYAAA4AAAAAAAAAAAAAAAAALgIAAGRycy9lMm9Eb2Mu&#10;eG1sUEsBAi0AFAAGAAgAAAAhAK12kp3aAAAACAEAAA8AAAAAAAAAAAAAAAAALQUAAGRycy9kb3du&#10;cmV2LnhtbFBLBQYAAAAABAAEAPMAAAA0BgAAAAA=&#10;" fillcolor="#b6a04c" stroked="f" strokeweight="1pt">
                <v:shadow on="t" color="black" opacity="26214f" origin="-.5,-.5" offset=".74836mm,.74836mm"/>
              </v:rect>
            </w:pict>
          </mc:Fallback>
        </mc:AlternateContent>
      </w:r>
      <w:r w:rsidR="00AA300E" w:rsidRPr="00AA300E">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r w:rsidR="00AA300E" w:rsidRPr="00AA300E">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b/>
      </w:r>
      <w:r w:rsidR="00FA658A" w:rsidRPr="00AA300E">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Introduction and Overview</w:t>
      </w:r>
      <w:bookmarkEnd w:id="0"/>
      <w:r w:rsidR="002F1AC8" w:rsidRPr="00AA300E">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32C72650" w14:textId="6CF3FBAA" w:rsidR="00A01885" w:rsidRPr="00A01885" w:rsidRDefault="00A01885" w:rsidP="00A01885"/>
    <w:p w14:paraId="4C136B26" w14:textId="16A32A97" w:rsidR="00A01885" w:rsidRDefault="00A01885" w:rsidP="00FA658A">
      <w:pPr>
        <w:spacing w:line="276" w:lineRule="auto"/>
        <w:jc w:val="both"/>
        <w:rPr>
          <w:rFonts w:ascii="Calibri" w:hAnsi="Calibri" w:cs="Calibri"/>
          <w:color w:val="4472C4" w:themeColor="accent1"/>
          <w:sz w:val="28"/>
          <w:szCs w:val="28"/>
        </w:rPr>
      </w:pPr>
    </w:p>
    <w:p w14:paraId="23A10C84" w14:textId="233A0DC3" w:rsidR="00A01885" w:rsidRDefault="00A01885" w:rsidP="00FA658A">
      <w:pPr>
        <w:spacing w:line="276" w:lineRule="auto"/>
        <w:jc w:val="both"/>
        <w:rPr>
          <w:rFonts w:ascii="Calibri" w:hAnsi="Calibri" w:cs="Calibri"/>
          <w:color w:val="4472C4" w:themeColor="accent1"/>
          <w:sz w:val="28"/>
          <w:szCs w:val="28"/>
        </w:rPr>
      </w:pPr>
    </w:p>
    <w:p w14:paraId="18713D71" w14:textId="35DB3F0B" w:rsidR="00FA658A" w:rsidRPr="001C2E69" w:rsidRDefault="003249CF" w:rsidP="001C2E69">
      <w:pPr>
        <w:pStyle w:val="Odstavecseseznamem"/>
        <w:numPr>
          <w:ilvl w:val="1"/>
          <w:numId w:val="68"/>
        </w:numPr>
        <w:spacing w:line="276" w:lineRule="auto"/>
        <w:ind w:left="284" w:hanging="568"/>
        <w:jc w:val="both"/>
        <w:rPr>
          <w:rFonts w:asciiTheme="minorHAnsi" w:hAnsiTheme="minorHAnsi" w:cstheme="minorHAnsi"/>
          <w:b/>
          <w:bCs/>
          <w:color w:val="2F5496" w:themeColor="accent1" w:themeShade="BF"/>
          <w:sz w:val="32"/>
          <w:szCs w:val="32"/>
        </w:rPr>
      </w:pPr>
      <w:r w:rsidRPr="001C2E69">
        <w:rPr>
          <w:rFonts w:asciiTheme="minorHAnsi" w:hAnsiTheme="minorHAnsi" w:cstheme="minorHAnsi"/>
          <w:b/>
          <w:bCs/>
          <w:color w:val="2F5496" w:themeColor="accent1" w:themeShade="BF"/>
          <w:sz w:val="32"/>
          <w:szCs w:val="32"/>
        </w:rPr>
        <w:t>P</w:t>
      </w:r>
      <w:r w:rsidR="00FD3743" w:rsidRPr="001C2E69">
        <w:rPr>
          <w:rFonts w:asciiTheme="minorHAnsi" w:hAnsiTheme="minorHAnsi" w:cstheme="minorHAnsi"/>
          <w:b/>
          <w:bCs/>
          <w:color w:val="2F5496" w:themeColor="accent1" w:themeShade="BF"/>
          <w:sz w:val="32"/>
          <w:szCs w:val="32"/>
        </w:rPr>
        <w:t>ur</w:t>
      </w:r>
      <w:r w:rsidRPr="001C2E69">
        <w:rPr>
          <w:rFonts w:asciiTheme="minorHAnsi" w:hAnsiTheme="minorHAnsi" w:cstheme="minorHAnsi"/>
          <w:b/>
          <w:bCs/>
          <w:color w:val="2F5496" w:themeColor="accent1" w:themeShade="BF"/>
          <w:sz w:val="32"/>
          <w:szCs w:val="32"/>
        </w:rPr>
        <w:t xml:space="preserve">pose of this handbook, what the reader is expected to find </w:t>
      </w:r>
      <w:r w:rsidR="00547C5D" w:rsidRPr="001C2E69">
        <w:rPr>
          <w:rFonts w:asciiTheme="minorHAnsi" w:hAnsiTheme="minorHAnsi" w:cstheme="minorHAnsi"/>
          <w:b/>
          <w:bCs/>
          <w:color w:val="2F5496" w:themeColor="accent1" w:themeShade="BF"/>
          <w:sz w:val="32"/>
          <w:szCs w:val="32"/>
        </w:rPr>
        <w:t xml:space="preserve">and </w:t>
      </w:r>
      <w:r w:rsidRPr="001C2E69">
        <w:rPr>
          <w:rFonts w:asciiTheme="minorHAnsi" w:hAnsiTheme="minorHAnsi" w:cstheme="minorHAnsi"/>
          <w:b/>
          <w:bCs/>
          <w:color w:val="2F5496" w:themeColor="accent1" w:themeShade="BF"/>
          <w:sz w:val="32"/>
          <w:szCs w:val="32"/>
        </w:rPr>
        <w:t xml:space="preserve">how </w:t>
      </w:r>
      <w:r w:rsidR="00A01885" w:rsidRPr="001C2E69">
        <w:rPr>
          <w:rFonts w:asciiTheme="minorHAnsi" w:hAnsiTheme="minorHAnsi" w:cstheme="minorHAnsi"/>
          <w:b/>
          <w:bCs/>
          <w:color w:val="2F5496" w:themeColor="accent1" w:themeShade="BF"/>
          <w:sz w:val="32"/>
          <w:szCs w:val="32"/>
        </w:rPr>
        <w:t>t</w:t>
      </w:r>
      <w:r w:rsidRPr="001C2E69">
        <w:rPr>
          <w:rFonts w:asciiTheme="minorHAnsi" w:hAnsiTheme="minorHAnsi" w:cstheme="minorHAnsi"/>
          <w:b/>
          <w:bCs/>
          <w:color w:val="2F5496" w:themeColor="accent1" w:themeShade="BF"/>
          <w:sz w:val="32"/>
          <w:szCs w:val="32"/>
        </w:rPr>
        <w:t xml:space="preserve">o use it </w:t>
      </w:r>
    </w:p>
    <w:p w14:paraId="6E02F51F" w14:textId="62FBDA53" w:rsidR="00DB4562" w:rsidRPr="00AA300E" w:rsidRDefault="00E35D6B" w:rsidP="006E4139">
      <w:pPr>
        <w:pStyle w:val="Nadpis4"/>
        <w:jc w:val="both"/>
        <w:rPr>
          <w:rFonts w:ascii="Calibri Light" w:hAnsi="Calibri Light" w:cs="Calibri Light"/>
          <w:color w:val="2C2D5B"/>
        </w:rPr>
      </w:pPr>
      <w:r w:rsidRPr="00AA300E">
        <w:rPr>
          <w:rFonts w:ascii="Calibri Light" w:hAnsi="Calibri Light" w:cs="Calibri Light"/>
          <w:color w:val="2C2D5B"/>
        </w:rPr>
        <w:t xml:space="preserve">This handbook is designed to provide trainee lawyers with a practical understanding of the </w:t>
      </w:r>
      <w:r w:rsidRPr="00AA300E">
        <w:rPr>
          <w:rStyle w:val="Siln"/>
          <w:rFonts w:ascii="Calibri Light" w:hAnsi="Calibri Light" w:cs="Calibri Light"/>
          <w:color w:val="2C2D5B"/>
        </w:rPr>
        <w:t>European Charter of Fundamental Rights (EChFR)</w:t>
      </w:r>
      <w:r w:rsidRPr="00AA300E">
        <w:rPr>
          <w:rFonts w:ascii="Calibri Light" w:hAnsi="Calibri Light" w:cs="Calibri Light"/>
          <w:color w:val="2C2D5B"/>
        </w:rPr>
        <w:t xml:space="preserve"> and its application in legal practice. It aims to bridge the gap between theoretical knowledge and real-world practice, equipping lawyers with the tools they need to effectively invoke the Charter in various legal context</w:t>
      </w:r>
      <w:r w:rsidR="00336C6F" w:rsidRPr="00AA300E">
        <w:rPr>
          <w:rFonts w:ascii="Calibri Light" w:hAnsi="Calibri Light" w:cs="Calibri Light"/>
          <w:color w:val="2C2D5B"/>
        </w:rPr>
        <w:t>.</w:t>
      </w:r>
    </w:p>
    <w:p w14:paraId="6616F8FB" w14:textId="77777777" w:rsidR="00DB4562" w:rsidRDefault="00DB4562" w:rsidP="006E4139">
      <w:pPr>
        <w:pStyle w:val="Nadpis4"/>
        <w:jc w:val="both"/>
        <w:rPr>
          <w:rFonts w:ascii="Calibri Light" w:hAnsi="Calibri Light" w:cs="Calibri Light"/>
        </w:rPr>
      </w:pPr>
    </w:p>
    <w:p w14:paraId="06BC213D" w14:textId="77777777" w:rsidR="00336C6F" w:rsidRPr="00AA300E" w:rsidRDefault="00E35D6B" w:rsidP="001C2E69">
      <w:pPr>
        <w:pStyle w:val="Odstavecseseznamem"/>
        <w:numPr>
          <w:ilvl w:val="1"/>
          <w:numId w:val="68"/>
        </w:numPr>
        <w:spacing w:line="276" w:lineRule="auto"/>
        <w:ind w:left="284" w:hanging="568"/>
        <w:jc w:val="both"/>
        <w:rPr>
          <w:rFonts w:asciiTheme="minorHAnsi" w:hAnsiTheme="minorHAnsi" w:cstheme="minorHAnsi"/>
          <w:b/>
          <w:bCs/>
          <w:color w:val="2F5496" w:themeColor="accent1" w:themeShade="BF"/>
          <w:sz w:val="32"/>
          <w:szCs w:val="32"/>
        </w:rPr>
      </w:pPr>
      <w:r w:rsidRPr="00AA300E">
        <w:rPr>
          <w:rFonts w:asciiTheme="minorHAnsi" w:hAnsiTheme="minorHAnsi" w:cstheme="minorHAnsi"/>
          <w:b/>
          <w:bCs/>
          <w:color w:val="2F5496" w:themeColor="accent1" w:themeShade="BF"/>
          <w:sz w:val="32"/>
          <w:szCs w:val="32"/>
        </w:rPr>
        <w:t>Learning Objectives</w:t>
      </w:r>
    </w:p>
    <w:p w14:paraId="61A5DCB6" w14:textId="3394444E" w:rsidR="00E35D6B" w:rsidRPr="00AA300E" w:rsidRDefault="00E35D6B" w:rsidP="00336C6F">
      <w:pPr>
        <w:pStyle w:val="Nadpis4"/>
        <w:jc w:val="both"/>
        <w:rPr>
          <w:rFonts w:asciiTheme="minorHAnsi" w:hAnsiTheme="minorHAnsi" w:cstheme="minorHAnsi"/>
          <w:i w:val="0"/>
          <w:iCs w:val="0"/>
          <w:color w:val="2C2D5B"/>
          <w:sz w:val="28"/>
          <w:szCs w:val="28"/>
        </w:rPr>
      </w:pPr>
      <w:r w:rsidRPr="00AA300E">
        <w:rPr>
          <w:rFonts w:ascii="Calibri Light" w:hAnsi="Calibri Light" w:cs="Calibri Light"/>
          <w:i w:val="0"/>
          <w:iCs w:val="0"/>
          <w:color w:val="2C2D5B"/>
        </w:rPr>
        <w:t>By the end of this handbook, readers will</w:t>
      </w:r>
      <w:r w:rsidR="00336C6F" w:rsidRPr="00AA300E">
        <w:rPr>
          <w:rFonts w:ascii="Calibri Light" w:hAnsi="Calibri Light" w:cs="Calibri Light"/>
          <w:i w:val="0"/>
          <w:iCs w:val="0"/>
          <w:color w:val="2C2D5B"/>
        </w:rPr>
        <w:t xml:space="preserve"> </w:t>
      </w:r>
      <w:r w:rsidRPr="00AA300E">
        <w:rPr>
          <w:rFonts w:ascii="Calibri Light" w:hAnsi="Calibri Light" w:cs="Calibri Light"/>
          <w:i w:val="0"/>
          <w:iCs w:val="0"/>
          <w:color w:val="2C2D5B"/>
        </w:rPr>
        <w:t>:</w:t>
      </w:r>
    </w:p>
    <w:p w14:paraId="3311121A" w14:textId="77777777" w:rsidR="00E35D6B" w:rsidRPr="00AA300E" w:rsidRDefault="00E35D6B" w:rsidP="006E4139">
      <w:pPr>
        <w:pStyle w:val="Normlnweb"/>
        <w:numPr>
          <w:ilvl w:val="0"/>
          <w:numId w:val="44"/>
        </w:numPr>
        <w:jc w:val="both"/>
        <w:rPr>
          <w:rFonts w:ascii="Calibri Light" w:hAnsi="Calibri Light" w:cs="Calibri Light"/>
          <w:color w:val="2C2D5B"/>
        </w:rPr>
      </w:pPr>
      <w:r w:rsidRPr="00AA300E">
        <w:rPr>
          <w:rStyle w:val="Siln"/>
          <w:rFonts w:ascii="Calibri Light" w:hAnsi="Calibri Light" w:cs="Calibri Light"/>
          <w:color w:val="2C2D5B"/>
        </w:rPr>
        <w:t>Understand the Scope and Applicability of the Charter</w:t>
      </w:r>
      <w:r w:rsidRPr="00AA300E">
        <w:rPr>
          <w:rFonts w:ascii="Calibri Light" w:hAnsi="Calibri Light" w:cs="Calibri Light"/>
          <w:color w:val="2C2D5B"/>
        </w:rPr>
        <w:t>:</w:t>
      </w:r>
    </w:p>
    <w:p w14:paraId="30F03D13" w14:textId="77777777" w:rsidR="00E35D6B" w:rsidRPr="00AA300E" w:rsidRDefault="00E35D6B" w:rsidP="006E4139">
      <w:pPr>
        <w:numPr>
          <w:ilvl w:val="1"/>
          <w:numId w:val="44"/>
        </w:numPr>
        <w:spacing w:before="100" w:beforeAutospacing="1" w:after="100" w:afterAutospacing="1"/>
        <w:jc w:val="both"/>
        <w:rPr>
          <w:rFonts w:ascii="Calibri Light" w:hAnsi="Calibri Light" w:cs="Calibri Light"/>
          <w:color w:val="2C2D5B"/>
        </w:rPr>
      </w:pPr>
      <w:r w:rsidRPr="00AA300E">
        <w:rPr>
          <w:rFonts w:ascii="Calibri Light" w:hAnsi="Calibri Light" w:cs="Calibri Light"/>
          <w:color w:val="2C2D5B"/>
        </w:rPr>
        <w:t>Learn when and how the Charter applies to cases involving EU institutions, Member States, and private parties.</w:t>
      </w:r>
    </w:p>
    <w:p w14:paraId="0B63BC46" w14:textId="77777777" w:rsidR="00E35D6B" w:rsidRPr="00AA300E" w:rsidRDefault="00E35D6B" w:rsidP="006E4139">
      <w:pPr>
        <w:numPr>
          <w:ilvl w:val="1"/>
          <w:numId w:val="44"/>
        </w:numPr>
        <w:spacing w:before="100" w:beforeAutospacing="1" w:after="100" w:afterAutospacing="1"/>
        <w:jc w:val="both"/>
        <w:rPr>
          <w:rFonts w:ascii="Calibri Light" w:hAnsi="Calibri Light" w:cs="Calibri Light"/>
          <w:color w:val="2C2D5B"/>
        </w:rPr>
      </w:pPr>
      <w:r w:rsidRPr="00AA300E">
        <w:rPr>
          <w:rFonts w:ascii="Calibri Light" w:hAnsi="Calibri Light" w:cs="Calibri Light"/>
          <w:color w:val="2C2D5B"/>
        </w:rPr>
        <w:t xml:space="preserve">Grasp the significance of the </w:t>
      </w:r>
      <w:r w:rsidRPr="00AA300E">
        <w:rPr>
          <w:rStyle w:val="Siln"/>
          <w:rFonts w:ascii="Calibri Light" w:hAnsi="Calibri Light" w:cs="Calibri Light"/>
          <w:color w:val="2C2D5B"/>
        </w:rPr>
        <w:t>trigger rule</w:t>
      </w:r>
      <w:r w:rsidRPr="00AA300E">
        <w:rPr>
          <w:rFonts w:ascii="Calibri Light" w:hAnsi="Calibri Light" w:cs="Calibri Light"/>
          <w:color w:val="2C2D5B"/>
        </w:rPr>
        <w:t xml:space="preserve"> and its implications for invoking the Charter.</w:t>
      </w:r>
    </w:p>
    <w:p w14:paraId="0C3A9004" w14:textId="77777777" w:rsidR="00E35D6B" w:rsidRPr="00AA300E" w:rsidRDefault="00E35D6B" w:rsidP="006E4139">
      <w:pPr>
        <w:pStyle w:val="Normlnweb"/>
        <w:numPr>
          <w:ilvl w:val="0"/>
          <w:numId w:val="44"/>
        </w:numPr>
        <w:jc w:val="both"/>
        <w:rPr>
          <w:rFonts w:ascii="Calibri Light" w:hAnsi="Calibri Light" w:cs="Calibri Light"/>
          <w:color w:val="2C2D5B"/>
        </w:rPr>
      </w:pPr>
      <w:r w:rsidRPr="00AA300E">
        <w:rPr>
          <w:rStyle w:val="Siln"/>
          <w:rFonts w:ascii="Calibri Light" w:hAnsi="Calibri Light" w:cs="Calibri Light"/>
          <w:color w:val="2C2D5B"/>
        </w:rPr>
        <w:t>Develop Expertise in Key Rights</w:t>
      </w:r>
      <w:r w:rsidRPr="00AA300E">
        <w:rPr>
          <w:rFonts w:ascii="Calibri Light" w:hAnsi="Calibri Light" w:cs="Calibri Light"/>
          <w:color w:val="2C2D5B"/>
        </w:rPr>
        <w:t>:</w:t>
      </w:r>
    </w:p>
    <w:p w14:paraId="3DB3A0FA" w14:textId="77777777" w:rsidR="00E35D6B" w:rsidRPr="00AA300E" w:rsidRDefault="00E35D6B" w:rsidP="006E4139">
      <w:pPr>
        <w:numPr>
          <w:ilvl w:val="1"/>
          <w:numId w:val="44"/>
        </w:numPr>
        <w:spacing w:before="100" w:beforeAutospacing="1" w:after="100" w:afterAutospacing="1"/>
        <w:jc w:val="both"/>
        <w:rPr>
          <w:rFonts w:ascii="Calibri Light" w:hAnsi="Calibri Light" w:cs="Calibri Light"/>
          <w:color w:val="2C2D5B"/>
        </w:rPr>
      </w:pPr>
      <w:r w:rsidRPr="00AA300E">
        <w:rPr>
          <w:rFonts w:ascii="Calibri Light" w:hAnsi="Calibri Light" w:cs="Calibri Light"/>
          <w:color w:val="2C2D5B"/>
        </w:rPr>
        <w:t>Gain an in-depth understanding of specific rights, such as human dignity, data protection, asylum, and fair working conditions.</w:t>
      </w:r>
    </w:p>
    <w:p w14:paraId="2F336127" w14:textId="77777777" w:rsidR="00E35D6B" w:rsidRPr="00AA300E" w:rsidRDefault="00E35D6B" w:rsidP="006E4139">
      <w:pPr>
        <w:numPr>
          <w:ilvl w:val="1"/>
          <w:numId w:val="44"/>
        </w:numPr>
        <w:spacing w:before="100" w:beforeAutospacing="1" w:after="100" w:afterAutospacing="1"/>
        <w:jc w:val="both"/>
        <w:rPr>
          <w:rFonts w:ascii="Calibri Light" w:hAnsi="Calibri Light" w:cs="Calibri Light"/>
          <w:color w:val="2C2D5B"/>
        </w:rPr>
      </w:pPr>
      <w:r w:rsidRPr="00AA300E">
        <w:rPr>
          <w:rFonts w:ascii="Calibri Light" w:hAnsi="Calibri Light" w:cs="Calibri Light"/>
          <w:color w:val="2C2D5B"/>
        </w:rPr>
        <w:t xml:space="preserve">Learn how these rights are interpreted by the </w:t>
      </w:r>
      <w:r w:rsidRPr="00AA300E">
        <w:rPr>
          <w:rStyle w:val="Siln"/>
          <w:rFonts w:ascii="Calibri Light" w:hAnsi="Calibri Light" w:cs="Calibri Light"/>
          <w:color w:val="2C2D5B"/>
        </w:rPr>
        <w:t>Court of Justice of the European Union (CJEU)</w:t>
      </w:r>
      <w:r w:rsidRPr="00AA300E">
        <w:rPr>
          <w:rFonts w:ascii="Calibri Light" w:hAnsi="Calibri Light" w:cs="Calibri Light"/>
          <w:color w:val="2C2D5B"/>
        </w:rPr>
        <w:t xml:space="preserve"> and their interaction with national law.</w:t>
      </w:r>
    </w:p>
    <w:p w14:paraId="6122CFD6" w14:textId="77777777" w:rsidR="00E35D6B" w:rsidRPr="00AA300E" w:rsidRDefault="00E35D6B" w:rsidP="006E4139">
      <w:pPr>
        <w:pStyle w:val="Normlnweb"/>
        <w:numPr>
          <w:ilvl w:val="0"/>
          <w:numId w:val="44"/>
        </w:numPr>
        <w:jc w:val="both"/>
        <w:rPr>
          <w:rFonts w:ascii="Calibri Light" w:hAnsi="Calibri Light" w:cs="Calibri Light"/>
          <w:color w:val="2C2D5B"/>
        </w:rPr>
      </w:pPr>
      <w:r w:rsidRPr="00AA300E">
        <w:rPr>
          <w:rStyle w:val="Siln"/>
          <w:rFonts w:ascii="Calibri Light" w:hAnsi="Calibri Light" w:cs="Calibri Light"/>
          <w:color w:val="2C2D5B"/>
        </w:rPr>
        <w:t>Master the Legal Framework of the Charter</w:t>
      </w:r>
      <w:r w:rsidRPr="00AA300E">
        <w:rPr>
          <w:rFonts w:ascii="Calibri Light" w:hAnsi="Calibri Light" w:cs="Calibri Light"/>
          <w:color w:val="2C2D5B"/>
        </w:rPr>
        <w:t>:</w:t>
      </w:r>
    </w:p>
    <w:p w14:paraId="0F8C2734" w14:textId="77777777" w:rsidR="00E35D6B" w:rsidRPr="00AA300E" w:rsidRDefault="00E35D6B" w:rsidP="006E4139">
      <w:pPr>
        <w:numPr>
          <w:ilvl w:val="1"/>
          <w:numId w:val="44"/>
        </w:numPr>
        <w:spacing w:before="100" w:beforeAutospacing="1" w:after="100" w:afterAutospacing="1"/>
        <w:jc w:val="both"/>
        <w:rPr>
          <w:rFonts w:ascii="Calibri Light" w:hAnsi="Calibri Light" w:cs="Calibri Light"/>
          <w:color w:val="2C2D5B"/>
        </w:rPr>
      </w:pPr>
      <w:r w:rsidRPr="00AA300E">
        <w:rPr>
          <w:rFonts w:ascii="Calibri Light" w:hAnsi="Calibri Light" w:cs="Calibri Light"/>
          <w:color w:val="2C2D5B"/>
        </w:rPr>
        <w:t>Understand the Charter’s structure, including its chapters and principles, and how it complements national constitutions and the European Convention on Human Rights (ECHR).</w:t>
      </w:r>
    </w:p>
    <w:p w14:paraId="0EC89CEE" w14:textId="77777777" w:rsidR="00E35D6B" w:rsidRPr="00AA300E" w:rsidRDefault="00E35D6B" w:rsidP="006E4139">
      <w:pPr>
        <w:pStyle w:val="Normlnweb"/>
        <w:numPr>
          <w:ilvl w:val="0"/>
          <w:numId w:val="44"/>
        </w:numPr>
        <w:jc w:val="both"/>
        <w:rPr>
          <w:rFonts w:ascii="Calibri Light" w:hAnsi="Calibri Light" w:cs="Calibri Light"/>
          <w:color w:val="2C2D5B"/>
        </w:rPr>
      </w:pPr>
      <w:r w:rsidRPr="00AA300E">
        <w:rPr>
          <w:rStyle w:val="Siln"/>
          <w:rFonts w:ascii="Calibri Light" w:hAnsi="Calibri Light" w:cs="Calibri Light"/>
          <w:color w:val="2C2D5B"/>
        </w:rPr>
        <w:t>Build Strong Legal Arguments</w:t>
      </w:r>
      <w:r w:rsidRPr="00AA300E">
        <w:rPr>
          <w:rFonts w:ascii="Calibri Light" w:hAnsi="Calibri Light" w:cs="Calibri Light"/>
          <w:color w:val="2C2D5B"/>
        </w:rPr>
        <w:t>:</w:t>
      </w:r>
    </w:p>
    <w:p w14:paraId="4139224A" w14:textId="77777777" w:rsidR="00E35D6B" w:rsidRPr="00AA300E" w:rsidRDefault="00E35D6B" w:rsidP="006E4139">
      <w:pPr>
        <w:numPr>
          <w:ilvl w:val="1"/>
          <w:numId w:val="44"/>
        </w:numPr>
        <w:spacing w:before="100" w:beforeAutospacing="1" w:after="100" w:afterAutospacing="1"/>
        <w:jc w:val="both"/>
        <w:rPr>
          <w:rFonts w:ascii="Calibri Light" w:hAnsi="Calibri Light" w:cs="Calibri Light"/>
          <w:color w:val="2C2D5B"/>
        </w:rPr>
      </w:pPr>
      <w:r w:rsidRPr="00AA300E">
        <w:rPr>
          <w:rFonts w:ascii="Calibri Light" w:hAnsi="Calibri Light" w:cs="Calibri Light"/>
          <w:color w:val="2C2D5B"/>
        </w:rPr>
        <w:t xml:space="preserve">Discover practical strategies for using the Charter in legal proceedings, including referencing </w:t>
      </w:r>
      <w:r w:rsidRPr="00AA300E">
        <w:rPr>
          <w:rStyle w:val="Siln"/>
          <w:rFonts w:ascii="Calibri Light" w:hAnsi="Calibri Light" w:cs="Calibri Light"/>
          <w:color w:val="2C2D5B"/>
        </w:rPr>
        <w:t>key case law</w:t>
      </w:r>
      <w:r w:rsidRPr="00AA300E">
        <w:rPr>
          <w:rFonts w:ascii="Calibri Light" w:hAnsi="Calibri Light" w:cs="Calibri Light"/>
          <w:color w:val="2C2D5B"/>
        </w:rPr>
        <w:t xml:space="preserve"> and leveraging the principles of legality and proportionality.</w:t>
      </w:r>
    </w:p>
    <w:p w14:paraId="47E543D4" w14:textId="77777777" w:rsidR="00E35D6B" w:rsidRPr="00AA300E" w:rsidRDefault="00E35D6B" w:rsidP="006E4139">
      <w:pPr>
        <w:pStyle w:val="Normlnweb"/>
        <w:numPr>
          <w:ilvl w:val="0"/>
          <w:numId w:val="44"/>
        </w:numPr>
        <w:jc w:val="both"/>
        <w:rPr>
          <w:rFonts w:ascii="Calibri Light" w:hAnsi="Calibri Light" w:cs="Calibri Light"/>
          <w:color w:val="2C2D5B"/>
        </w:rPr>
      </w:pPr>
      <w:r w:rsidRPr="00AA300E">
        <w:rPr>
          <w:rStyle w:val="Siln"/>
          <w:rFonts w:ascii="Calibri Light" w:hAnsi="Calibri Light" w:cs="Calibri Light"/>
          <w:color w:val="2C2D5B"/>
        </w:rPr>
        <w:t>Navigate Challenges in Applying the Charter</w:t>
      </w:r>
      <w:r w:rsidRPr="00AA300E">
        <w:rPr>
          <w:rFonts w:ascii="Calibri Light" w:hAnsi="Calibri Light" w:cs="Calibri Light"/>
          <w:color w:val="2C2D5B"/>
        </w:rPr>
        <w:t>:</w:t>
      </w:r>
    </w:p>
    <w:p w14:paraId="4167F8C7" w14:textId="77777777" w:rsidR="00E35D6B" w:rsidRPr="00AA300E" w:rsidRDefault="00E35D6B" w:rsidP="006E4139">
      <w:pPr>
        <w:numPr>
          <w:ilvl w:val="1"/>
          <w:numId w:val="44"/>
        </w:numPr>
        <w:spacing w:before="100" w:beforeAutospacing="1" w:after="100" w:afterAutospacing="1"/>
        <w:jc w:val="both"/>
        <w:rPr>
          <w:rFonts w:ascii="Calibri Light" w:hAnsi="Calibri Light" w:cs="Calibri Light"/>
          <w:color w:val="2C2D5B"/>
        </w:rPr>
      </w:pPr>
      <w:r w:rsidRPr="00AA300E">
        <w:rPr>
          <w:rFonts w:ascii="Calibri Light" w:hAnsi="Calibri Light" w:cs="Calibri Light"/>
          <w:color w:val="2C2D5B"/>
        </w:rPr>
        <w:t>Address common obstacles in invoking the Charter and learn how to integrate EU law into domestic proceedings.</w:t>
      </w:r>
    </w:p>
    <w:p w14:paraId="4CBFBF30" w14:textId="77777777" w:rsidR="00E35D6B" w:rsidRPr="00AA300E" w:rsidRDefault="00E35D6B" w:rsidP="006E4139">
      <w:pPr>
        <w:numPr>
          <w:ilvl w:val="1"/>
          <w:numId w:val="44"/>
        </w:numPr>
        <w:spacing w:before="100" w:beforeAutospacing="1" w:after="100" w:afterAutospacing="1"/>
        <w:jc w:val="both"/>
        <w:rPr>
          <w:rFonts w:ascii="Calibri Light" w:hAnsi="Calibri Light" w:cs="Calibri Light"/>
          <w:color w:val="2C2D5B"/>
        </w:rPr>
      </w:pPr>
      <w:r w:rsidRPr="00AA300E">
        <w:rPr>
          <w:rFonts w:ascii="Calibri Light" w:hAnsi="Calibri Light" w:cs="Calibri Light"/>
          <w:color w:val="2C2D5B"/>
        </w:rPr>
        <w:t xml:space="preserve">Explore the role of the </w:t>
      </w:r>
      <w:r w:rsidRPr="00AA300E">
        <w:rPr>
          <w:rStyle w:val="Siln"/>
          <w:rFonts w:ascii="Calibri Light" w:hAnsi="Calibri Light" w:cs="Calibri Light"/>
          <w:color w:val="2C2D5B"/>
        </w:rPr>
        <w:t>preliminary reference procedure</w:t>
      </w:r>
      <w:r w:rsidRPr="00AA300E">
        <w:rPr>
          <w:rFonts w:ascii="Calibri Light" w:hAnsi="Calibri Light" w:cs="Calibri Light"/>
          <w:color w:val="2C2D5B"/>
        </w:rPr>
        <w:t xml:space="preserve"> in ensuring consistent interpretation of EU law.</w:t>
      </w:r>
    </w:p>
    <w:p w14:paraId="7316668E" w14:textId="77777777" w:rsidR="00E35D6B" w:rsidRPr="00AA300E" w:rsidRDefault="00E35D6B" w:rsidP="006E4139">
      <w:pPr>
        <w:pStyle w:val="Normlnweb"/>
        <w:numPr>
          <w:ilvl w:val="0"/>
          <w:numId w:val="44"/>
        </w:numPr>
        <w:jc w:val="both"/>
        <w:rPr>
          <w:rFonts w:ascii="Calibri Light" w:hAnsi="Calibri Light" w:cs="Calibri Light"/>
          <w:color w:val="2C2D5B"/>
        </w:rPr>
      </w:pPr>
      <w:r w:rsidRPr="00AA300E">
        <w:rPr>
          <w:rStyle w:val="Siln"/>
          <w:rFonts w:ascii="Calibri Light" w:hAnsi="Calibri Light" w:cs="Calibri Light"/>
          <w:color w:val="2C2D5B"/>
        </w:rPr>
        <w:t>Access Resources for Further Study</w:t>
      </w:r>
      <w:r w:rsidRPr="00AA300E">
        <w:rPr>
          <w:rFonts w:ascii="Calibri Light" w:hAnsi="Calibri Light" w:cs="Calibri Light"/>
          <w:color w:val="2C2D5B"/>
        </w:rPr>
        <w:t>:</w:t>
      </w:r>
    </w:p>
    <w:p w14:paraId="3D6958C9" w14:textId="77777777" w:rsidR="00E35D6B" w:rsidRPr="00AA300E" w:rsidRDefault="00E35D6B" w:rsidP="006E4139">
      <w:pPr>
        <w:numPr>
          <w:ilvl w:val="1"/>
          <w:numId w:val="44"/>
        </w:numPr>
        <w:spacing w:before="100" w:beforeAutospacing="1" w:after="100" w:afterAutospacing="1"/>
        <w:jc w:val="both"/>
        <w:rPr>
          <w:rFonts w:ascii="Calibri Light" w:hAnsi="Calibri Light" w:cs="Calibri Light"/>
          <w:color w:val="2C2D5B"/>
        </w:rPr>
      </w:pPr>
      <w:r w:rsidRPr="00AA300E">
        <w:rPr>
          <w:rFonts w:ascii="Calibri Light" w:hAnsi="Calibri Light" w:cs="Calibri Light"/>
          <w:color w:val="2C2D5B"/>
        </w:rPr>
        <w:t xml:space="preserve">Engage with </w:t>
      </w:r>
      <w:r w:rsidRPr="00AA300E">
        <w:rPr>
          <w:rStyle w:val="Siln"/>
          <w:rFonts w:ascii="Calibri Light" w:hAnsi="Calibri Light" w:cs="Calibri Light"/>
          <w:color w:val="2C2D5B"/>
        </w:rPr>
        <w:t>information sheets</w:t>
      </w:r>
      <w:r w:rsidRPr="00AA300E">
        <w:rPr>
          <w:rFonts w:ascii="Calibri Light" w:hAnsi="Calibri Light" w:cs="Calibri Light"/>
          <w:color w:val="2C2D5B"/>
        </w:rPr>
        <w:t xml:space="preserve"> for deeper insights into specific rights and hypothetical scenarios to practice applying the Charter.</w:t>
      </w:r>
    </w:p>
    <w:p w14:paraId="0D7FF2F6" w14:textId="68FA08A4" w:rsidR="00E35D6B" w:rsidRPr="006E4139" w:rsidRDefault="00E35D6B" w:rsidP="006E4139">
      <w:pPr>
        <w:jc w:val="both"/>
        <w:rPr>
          <w:rFonts w:ascii="Calibri Light" w:hAnsi="Calibri Light" w:cs="Calibri Light"/>
        </w:rPr>
      </w:pPr>
    </w:p>
    <w:p w14:paraId="342640F3" w14:textId="77777777" w:rsidR="00AA300E" w:rsidRDefault="00AA300E" w:rsidP="006E4139">
      <w:pPr>
        <w:pStyle w:val="Nadpis4"/>
        <w:jc w:val="both"/>
        <w:rPr>
          <w:rStyle w:val="Siln"/>
          <w:rFonts w:asciiTheme="minorHAnsi" w:hAnsiTheme="minorHAnsi" w:cstheme="minorHAnsi"/>
          <w:b w:val="0"/>
          <w:bCs w:val="0"/>
          <w:i w:val="0"/>
          <w:iCs w:val="0"/>
          <w:sz w:val="28"/>
          <w:szCs w:val="28"/>
        </w:rPr>
      </w:pPr>
    </w:p>
    <w:p w14:paraId="3B43257A" w14:textId="77777777" w:rsidR="00AA300E" w:rsidRDefault="00AA300E" w:rsidP="006E4139">
      <w:pPr>
        <w:pStyle w:val="Nadpis4"/>
        <w:jc w:val="both"/>
        <w:rPr>
          <w:rStyle w:val="Siln"/>
          <w:rFonts w:asciiTheme="minorHAnsi" w:hAnsiTheme="minorHAnsi" w:cstheme="minorHAnsi"/>
          <w:b w:val="0"/>
          <w:bCs w:val="0"/>
          <w:i w:val="0"/>
          <w:iCs w:val="0"/>
          <w:sz w:val="28"/>
          <w:szCs w:val="28"/>
        </w:rPr>
      </w:pPr>
    </w:p>
    <w:p w14:paraId="47F90EC4" w14:textId="77777777" w:rsidR="00AA300E" w:rsidRDefault="00AA300E" w:rsidP="006E4139">
      <w:pPr>
        <w:pStyle w:val="Nadpis4"/>
        <w:jc w:val="both"/>
        <w:rPr>
          <w:rStyle w:val="Siln"/>
          <w:rFonts w:asciiTheme="minorHAnsi" w:hAnsiTheme="minorHAnsi" w:cstheme="minorHAnsi"/>
          <w:b w:val="0"/>
          <w:bCs w:val="0"/>
          <w:i w:val="0"/>
          <w:iCs w:val="0"/>
          <w:sz w:val="28"/>
          <w:szCs w:val="28"/>
        </w:rPr>
      </w:pPr>
    </w:p>
    <w:p w14:paraId="13527870" w14:textId="77777777" w:rsidR="00AA300E" w:rsidRDefault="00AA300E" w:rsidP="006E4139">
      <w:pPr>
        <w:pStyle w:val="Nadpis4"/>
        <w:jc w:val="both"/>
        <w:rPr>
          <w:rStyle w:val="Siln"/>
          <w:rFonts w:asciiTheme="minorHAnsi" w:hAnsiTheme="minorHAnsi" w:cstheme="minorHAnsi"/>
          <w:b w:val="0"/>
          <w:bCs w:val="0"/>
          <w:i w:val="0"/>
          <w:iCs w:val="0"/>
          <w:sz w:val="28"/>
          <w:szCs w:val="28"/>
        </w:rPr>
      </w:pPr>
    </w:p>
    <w:p w14:paraId="3154C9C7" w14:textId="77777777" w:rsidR="001C2E69" w:rsidRDefault="001C2E69" w:rsidP="001C2E69">
      <w:pPr>
        <w:pStyle w:val="Odstavecseseznamem"/>
        <w:spacing w:line="276" w:lineRule="auto"/>
        <w:ind w:left="284"/>
        <w:jc w:val="both"/>
        <w:rPr>
          <w:rFonts w:asciiTheme="minorHAnsi" w:hAnsiTheme="minorHAnsi" w:cstheme="minorHAnsi"/>
          <w:b/>
          <w:bCs/>
          <w:color w:val="2F5496" w:themeColor="accent1" w:themeShade="BF"/>
          <w:sz w:val="32"/>
          <w:szCs w:val="32"/>
        </w:rPr>
      </w:pPr>
    </w:p>
    <w:p w14:paraId="009875FA" w14:textId="7654E151" w:rsidR="00E35D6B" w:rsidRPr="00AA300E" w:rsidRDefault="00E35D6B" w:rsidP="001C2E69">
      <w:pPr>
        <w:pStyle w:val="Odstavecseseznamem"/>
        <w:numPr>
          <w:ilvl w:val="1"/>
          <w:numId w:val="68"/>
        </w:numPr>
        <w:spacing w:line="276" w:lineRule="auto"/>
        <w:ind w:left="284" w:hanging="568"/>
        <w:jc w:val="both"/>
        <w:rPr>
          <w:rFonts w:asciiTheme="minorHAnsi" w:hAnsiTheme="minorHAnsi" w:cstheme="minorHAnsi"/>
          <w:b/>
          <w:bCs/>
          <w:color w:val="2F5496" w:themeColor="accent1" w:themeShade="BF"/>
          <w:sz w:val="32"/>
          <w:szCs w:val="32"/>
        </w:rPr>
      </w:pPr>
      <w:r w:rsidRPr="00AA300E">
        <w:rPr>
          <w:rFonts w:asciiTheme="minorHAnsi" w:hAnsiTheme="minorHAnsi" w:cstheme="minorHAnsi"/>
          <w:b/>
          <w:bCs/>
          <w:color w:val="2F5496" w:themeColor="accent1" w:themeShade="BF"/>
          <w:sz w:val="32"/>
          <w:szCs w:val="32"/>
        </w:rPr>
        <w:t>Approach of the Handbook</w:t>
      </w:r>
    </w:p>
    <w:p w14:paraId="73F2AA8B" w14:textId="77777777" w:rsidR="00E35D6B" w:rsidRPr="00AA300E" w:rsidRDefault="00E35D6B" w:rsidP="006E4139">
      <w:pPr>
        <w:pStyle w:val="Normlnweb"/>
        <w:jc w:val="both"/>
        <w:rPr>
          <w:rFonts w:ascii="Calibri Light" w:hAnsi="Calibri Light" w:cs="Calibri Light"/>
          <w:color w:val="2C2D5B"/>
        </w:rPr>
      </w:pPr>
      <w:r w:rsidRPr="00AA300E">
        <w:rPr>
          <w:rFonts w:ascii="Calibri Light" w:hAnsi="Calibri Light" w:cs="Calibri Light"/>
          <w:color w:val="2C2D5B"/>
        </w:rPr>
        <w:t xml:space="preserve">This handbook adopts a </w:t>
      </w:r>
      <w:r w:rsidRPr="00AA300E">
        <w:rPr>
          <w:rStyle w:val="Siln"/>
          <w:rFonts w:ascii="Calibri Light" w:hAnsi="Calibri Light" w:cs="Calibri Light"/>
          <w:color w:val="2C2D5B"/>
        </w:rPr>
        <w:t>practical, lawyer-centric approach</w:t>
      </w:r>
      <w:r w:rsidRPr="00AA300E">
        <w:rPr>
          <w:rFonts w:ascii="Calibri Light" w:hAnsi="Calibri Light" w:cs="Calibri Light"/>
          <w:color w:val="2C2D5B"/>
        </w:rPr>
        <w:t>, focusing on real-world application rather than abstract theory. Key features include:</w:t>
      </w:r>
    </w:p>
    <w:p w14:paraId="3F859593" w14:textId="77777777" w:rsidR="00E35D6B" w:rsidRPr="00AA300E" w:rsidRDefault="00E35D6B" w:rsidP="006E4139">
      <w:pPr>
        <w:pStyle w:val="Normlnweb"/>
        <w:numPr>
          <w:ilvl w:val="0"/>
          <w:numId w:val="45"/>
        </w:numPr>
        <w:jc w:val="both"/>
        <w:rPr>
          <w:rFonts w:ascii="Calibri Light" w:hAnsi="Calibri Light" w:cs="Calibri Light"/>
          <w:color w:val="2C2D5B"/>
        </w:rPr>
      </w:pPr>
      <w:r w:rsidRPr="00AA300E">
        <w:rPr>
          <w:rStyle w:val="Siln"/>
          <w:rFonts w:ascii="Calibri Light" w:hAnsi="Calibri Light" w:cs="Calibri Light"/>
          <w:color w:val="2C2D5B"/>
        </w:rPr>
        <w:t>Case Law Integration</w:t>
      </w:r>
      <w:r w:rsidRPr="00AA300E">
        <w:rPr>
          <w:rFonts w:ascii="Calibri Light" w:hAnsi="Calibri Light" w:cs="Calibri Light"/>
          <w:color w:val="2C2D5B"/>
        </w:rPr>
        <w:t>:</w:t>
      </w:r>
    </w:p>
    <w:p w14:paraId="02C8102F" w14:textId="77777777" w:rsidR="00E35D6B" w:rsidRPr="00AA300E" w:rsidRDefault="00E35D6B" w:rsidP="006E4139">
      <w:pPr>
        <w:numPr>
          <w:ilvl w:val="1"/>
          <w:numId w:val="45"/>
        </w:numPr>
        <w:spacing w:before="100" w:beforeAutospacing="1" w:after="100" w:afterAutospacing="1"/>
        <w:jc w:val="both"/>
        <w:rPr>
          <w:rFonts w:ascii="Calibri Light" w:hAnsi="Calibri Light" w:cs="Calibri Light"/>
          <w:color w:val="2C2D5B"/>
        </w:rPr>
      </w:pPr>
      <w:r w:rsidRPr="00AA300E">
        <w:rPr>
          <w:rFonts w:ascii="Calibri Light" w:hAnsi="Calibri Light" w:cs="Calibri Light"/>
          <w:color w:val="2C2D5B"/>
        </w:rPr>
        <w:t xml:space="preserve">Each chapter highlights </w:t>
      </w:r>
      <w:r w:rsidRPr="00AA300E">
        <w:rPr>
          <w:rStyle w:val="Siln"/>
          <w:rFonts w:ascii="Calibri Light" w:hAnsi="Calibri Light" w:cs="Calibri Light"/>
          <w:color w:val="2C2D5B"/>
        </w:rPr>
        <w:t>landmark rulings from the CJEU</w:t>
      </w:r>
      <w:r w:rsidRPr="00AA300E">
        <w:rPr>
          <w:rFonts w:ascii="Calibri Light" w:hAnsi="Calibri Light" w:cs="Calibri Light"/>
          <w:color w:val="2C2D5B"/>
        </w:rPr>
        <w:t>, showcasing how the Charter has been interpreted and enforced in practice.</w:t>
      </w:r>
    </w:p>
    <w:p w14:paraId="50217E24" w14:textId="77777777" w:rsidR="00E35D6B" w:rsidRPr="00AA300E" w:rsidRDefault="00E35D6B" w:rsidP="006E4139">
      <w:pPr>
        <w:pStyle w:val="Normlnweb"/>
        <w:numPr>
          <w:ilvl w:val="0"/>
          <w:numId w:val="45"/>
        </w:numPr>
        <w:jc w:val="both"/>
        <w:rPr>
          <w:rFonts w:ascii="Calibri Light" w:hAnsi="Calibri Light" w:cs="Calibri Light"/>
          <w:color w:val="2C2D5B"/>
        </w:rPr>
      </w:pPr>
      <w:r w:rsidRPr="00AA300E">
        <w:rPr>
          <w:rStyle w:val="Siln"/>
          <w:rFonts w:ascii="Calibri Light" w:hAnsi="Calibri Light" w:cs="Calibri Light"/>
          <w:color w:val="2C2D5B"/>
        </w:rPr>
        <w:t>Practical Tips</w:t>
      </w:r>
      <w:r w:rsidRPr="00AA300E">
        <w:rPr>
          <w:rFonts w:ascii="Calibri Light" w:hAnsi="Calibri Light" w:cs="Calibri Light"/>
          <w:color w:val="2C2D5B"/>
        </w:rPr>
        <w:t>:</w:t>
      </w:r>
    </w:p>
    <w:p w14:paraId="2FF10538" w14:textId="77777777" w:rsidR="00E35D6B" w:rsidRPr="00AA300E" w:rsidRDefault="00E35D6B" w:rsidP="006E4139">
      <w:pPr>
        <w:numPr>
          <w:ilvl w:val="1"/>
          <w:numId w:val="45"/>
        </w:numPr>
        <w:spacing w:before="100" w:beforeAutospacing="1" w:after="100" w:afterAutospacing="1"/>
        <w:jc w:val="both"/>
        <w:rPr>
          <w:rFonts w:ascii="Calibri Light" w:hAnsi="Calibri Light" w:cs="Calibri Light"/>
          <w:color w:val="2C2D5B"/>
        </w:rPr>
      </w:pPr>
      <w:r w:rsidRPr="00AA300E">
        <w:rPr>
          <w:rFonts w:ascii="Calibri Light" w:hAnsi="Calibri Light" w:cs="Calibri Light"/>
          <w:color w:val="2C2D5B"/>
        </w:rPr>
        <w:t>Each section provides actionable advice for trainee lawyers, helping them navigate complex legal issues and build persuasive arguments.</w:t>
      </w:r>
    </w:p>
    <w:p w14:paraId="4C621387" w14:textId="77777777" w:rsidR="00E35D6B" w:rsidRPr="00AA300E" w:rsidRDefault="00E35D6B" w:rsidP="006E4139">
      <w:pPr>
        <w:pStyle w:val="Normlnweb"/>
        <w:numPr>
          <w:ilvl w:val="0"/>
          <w:numId w:val="45"/>
        </w:numPr>
        <w:jc w:val="both"/>
        <w:rPr>
          <w:rFonts w:ascii="Calibri Light" w:hAnsi="Calibri Light" w:cs="Calibri Light"/>
          <w:color w:val="2C2D5B"/>
        </w:rPr>
      </w:pPr>
      <w:r w:rsidRPr="00AA300E">
        <w:rPr>
          <w:rStyle w:val="Siln"/>
          <w:rFonts w:ascii="Calibri Light" w:hAnsi="Calibri Light" w:cs="Calibri Light"/>
          <w:color w:val="2C2D5B"/>
        </w:rPr>
        <w:t>Hypothetical Scenarios</w:t>
      </w:r>
      <w:r w:rsidRPr="00AA300E">
        <w:rPr>
          <w:rFonts w:ascii="Calibri Light" w:hAnsi="Calibri Light" w:cs="Calibri Light"/>
          <w:color w:val="2C2D5B"/>
        </w:rPr>
        <w:t>:</w:t>
      </w:r>
    </w:p>
    <w:p w14:paraId="6994083E" w14:textId="77777777" w:rsidR="00E35D6B" w:rsidRPr="00AA300E" w:rsidRDefault="00E35D6B" w:rsidP="006E4139">
      <w:pPr>
        <w:numPr>
          <w:ilvl w:val="1"/>
          <w:numId w:val="45"/>
        </w:numPr>
        <w:spacing w:before="100" w:beforeAutospacing="1" w:after="100" w:afterAutospacing="1"/>
        <w:jc w:val="both"/>
        <w:rPr>
          <w:rFonts w:ascii="Calibri Light" w:hAnsi="Calibri Light" w:cs="Calibri Light"/>
          <w:color w:val="2C2D5B"/>
        </w:rPr>
      </w:pPr>
      <w:r w:rsidRPr="00AA300E">
        <w:rPr>
          <w:rFonts w:ascii="Calibri Light" w:hAnsi="Calibri Light" w:cs="Calibri Light"/>
          <w:color w:val="2C2D5B"/>
        </w:rPr>
        <w:t>Designed to simulate real-world cases, these scenarios encourage readers to apply their knowledge and test their understanding of the Charter’s provisions.</w:t>
      </w:r>
    </w:p>
    <w:p w14:paraId="6F0D296F" w14:textId="77777777" w:rsidR="00E35D6B" w:rsidRPr="00AA300E" w:rsidRDefault="00E35D6B" w:rsidP="006E4139">
      <w:pPr>
        <w:pStyle w:val="Normlnweb"/>
        <w:numPr>
          <w:ilvl w:val="0"/>
          <w:numId w:val="45"/>
        </w:numPr>
        <w:jc w:val="both"/>
        <w:rPr>
          <w:rFonts w:ascii="Calibri Light" w:hAnsi="Calibri Light" w:cs="Calibri Light"/>
          <w:color w:val="2C2D5B"/>
        </w:rPr>
      </w:pPr>
      <w:r w:rsidRPr="00AA300E">
        <w:rPr>
          <w:rStyle w:val="Siln"/>
          <w:rFonts w:ascii="Calibri Light" w:hAnsi="Calibri Light" w:cs="Calibri Light"/>
          <w:color w:val="2C2D5B"/>
        </w:rPr>
        <w:t>References to Information Sheets</w:t>
      </w:r>
      <w:r w:rsidRPr="00AA300E">
        <w:rPr>
          <w:rFonts w:ascii="Calibri Light" w:hAnsi="Calibri Light" w:cs="Calibri Light"/>
          <w:color w:val="2C2D5B"/>
        </w:rPr>
        <w:t>:</w:t>
      </w:r>
    </w:p>
    <w:p w14:paraId="66FB6B47" w14:textId="77777777" w:rsidR="00E35D6B" w:rsidRPr="00AA300E" w:rsidRDefault="00E35D6B" w:rsidP="006E4139">
      <w:pPr>
        <w:numPr>
          <w:ilvl w:val="1"/>
          <w:numId w:val="45"/>
        </w:numPr>
        <w:spacing w:before="100" w:beforeAutospacing="1" w:after="100" w:afterAutospacing="1"/>
        <w:jc w:val="both"/>
        <w:rPr>
          <w:rFonts w:ascii="Calibri Light" w:hAnsi="Calibri Light" w:cs="Calibri Light"/>
          <w:color w:val="2C2D5B"/>
        </w:rPr>
      </w:pPr>
      <w:r w:rsidRPr="00AA300E">
        <w:rPr>
          <w:rFonts w:ascii="Calibri Light" w:hAnsi="Calibri Light" w:cs="Calibri Light"/>
          <w:color w:val="2C2D5B"/>
        </w:rPr>
        <w:t xml:space="preserve">Selected rights (e.g., Articles 1, 4, 7, 8, 18, 31) are linked to standalone </w:t>
      </w:r>
      <w:r w:rsidRPr="00AA300E">
        <w:rPr>
          <w:rStyle w:val="Siln"/>
          <w:rFonts w:ascii="Calibri Light" w:hAnsi="Calibri Light" w:cs="Calibri Light"/>
          <w:color w:val="2C2D5B"/>
        </w:rPr>
        <w:t>information sheets</w:t>
      </w:r>
      <w:r w:rsidRPr="00AA300E">
        <w:rPr>
          <w:rFonts w:ascii="Calibri Light" w:hAnsi="Calibri Light" w:cs="Calibri Light"/>
          <w:color w:val="2C2D5B"/>
        </w:rPr>
        <w:t xml:space="preserve"> for a deeper dive into their legal and practical implications.</w:t>
      </w:r>
    </w:p>
    <w:p w14:paraId="564F689F" w14:textId="77777777" w:rsidR="00E35D6B" w:rsidRPr="00AA300E" w:rsidRDefault="00E35D6B" w:rsidP="006E4139">
      <w:pPr>
        <w:pStyle w:val="Normlnweb"/>
        <w:numPr>
          <w:ilvl w:val="0"/>
          <w:numId w:val="45"/>
        </w:numPr>
        <w:jc w:val="both"/>
        <w:rPr>
          <w:rFonts w:ascii="Calibri Light" w:hAnsi="Calibri Light" w:cs="Calibri Light"/>
          <w:color w:val="2C2D5B"/>
        </w:rPr>
      </w:pPr>
      <w:r w:rsidRPr="00AA300E">
        <w:rPr>
          <w:rStyle w:val="Siln"/>
          <w:rFonts w:ascii="Calibri Light" w:hAnsi="Calibri Light" w:cs="Calibri Light"/>
          <w:color w:val="2C2D5B"/>
        </w:rPr>
        <w:t>User-Friendly Structure</w:t>
      </w:r>
      <w:r w:rsidRPr="00AA300E">
        <w:rPr>
          <w:rFonts w:ascii="Calibri Light" w:hAnsi="Calibri Light" w:cs="Calibri Light"/>
          <w:color w:val="2C2D5B"/>
        </w:rPr>
        <w:t>:</w:t>
      </w:r>
    </w:p>
    <w:p w14:paraId="3F6D6FD5" w14:textId="39A525C3" w:rsidR="00F2072F" w:rsidRDefault="00E35D6B" w:rsidP="00F2072F">
      <w:pPr>
        <w:numPr>
          <w:ilvl w:val="1"/>
          <w:numId w:val="45"/>
        </w:numPr>
        <w:spacing w:before="100" w:beforeAutospacing="1" w:after="100" w:afterAutospacing="1"/>
        <w:jc w:val="both"/>
        <w:rPr>
          <w:rFonts w:ascii="Calibri Light" w:hAnsi="Calibri Light" w:cs="Calibri Light"/>
        </w:rPr>
      </w:pPr>
      <w:r w:rsidRPr="00AA300E">
        <w:rPr>
          <w:rFonts w:ascii="Calibri Light" w:hAnsi="Calibri Light" w:cs="Calibri Light"/>
          <w:color w:val="2C2D5B"/>
        </w:rPr>
        <w:t>Each chapter begins with a clear explanation of what readers will learn, providing a roadmap for understanding and applying the Charter.</w:t>
      </w:r>
      <w:r w:rsidR="00F2072F">
        <w:rPr>
          <w:rFonts w:ascii="Calibri Light" w:hAnsi="Calibri Light" w:cs="Calibri Light"/>
        </w:rPr>
        <w:br w:type="page"/>
      </w:r>
    </w:p>
    <w:p w14:paraId="353DD3F1" w14:textId="77777777" w:rsidR="001C2E69" w:rsidRPr="001C2E69" w:rsidRDefault="001C2E69" w:rsidP="00AA300E">
      <w:pPr>
        <w:pStyle w:val="Nadpis1"/>
        <w:rPr>
          <w:rFonts w:ascii="Calibri" w:hAnsi="Calibri" w:cs="Calibri"/>
          <w:b/>
          <w:bCs/>
          <w:color w:val="FFFFFF" w:themeColor="background1"/>
          <w:sz w:val="16"/>
          <w:szCs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bookmarkStart w:id="1" w:name="_Toc188457860"/>
    </w:p>
    <w:p w14:paraId="63A8E674" w14:textId="3404BFC6" w:rsidR="00505929" w:rsidRPr="00AA300E" w:rsidRDefault="001C2E69" w:rsidP="00AA300E">
      <w:pPr>
        <w:pStyle w:val="Nadpis1"/>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A300E">
        <w:rPr>
          <w:rFonts w:ascii="Calibri" w:hAnsi="Calibri" w:cs="Calibri"/>
          <w:b/>
          <w:bCs/>
          <w:noProof/>
          <w:color w:val="FFFFFF" w:themeColor="background1"/>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Contextual"/>
        </w:rPr>
        <mc:AlternateContent>
          <mc:Choice Requires="wps">
            <w:drawing>
              <wp:anchor distT="0" distB="0" distL="114300" distR="114300" simplePos="0" relativeHeight="251834368" behindDoc="0" locked="0" layoutInCell="1" allowOverlap="1" wp14:anchorId="70835B1F" wp14:editId="1BE2EBB3">
                <wp:simplePos x="0" y="0"/>
                <wp:positionH relativeFrom="column">
                  <wp:posOffset>404558</wp:posOffset>
                </wp:positionH>
                <wp:positionV relativeFrom="paragraph">
                  <wp:posOffset>578485</wp:posOffset>
                </wp:positionV>
                <wp:extent cx="586740" cy="45085"/>
                <wp:effectExtent l="38100" t="38100" r="60960" b="88265"/>
                <wp:wrapNone/>
                <wp:docPr id="769707391" name="Rectangle 63"/>
                <wp:cNvGraphicFramePr/>
                <a:graphic xmlns:a="http://schemas.openxmlformats.org/drawingml/2006/main">
                  <a:graphicData uri="http://schemas.microsoft.com/office/word/2010/wordprocessingShape">
                    <wps:wsp>
                      <wps:cNvSpPr/>
                      <wps:spPr>
                        <a:xfrm>
                          <a:off x="0" y="0"/>
                          <a:ext cx="586740" cy="45085"/>
                        </a:xfrm>
                        <a:prstGeom prst="rect">
                          <a:avLst/>
                        </a:prstGeom>
                        <a:solidFill>
                          <a:srgbClr val="B6A04C"/>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71416C6" id="Rectangle 63" o:spid="_x0000_s1026" style="position:absolute;margin-left:31.85pt;margin-top:45.55pt;width:46.2pt;height:3.55pt;z-index:251834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xMk0wIAABIGAAAOAAAAZHJzL2Uyb0RvYy54bWysVFFv2jAQfp+0/2D5fU1g0DLUUDGqTpOq&#10;FpVOfTaOQ6w5tmcbAvv1u7NDYG2fpvFgfPHdd9999t31zb5RZCecl0YXdHCRUyI0N6XUm4L+eL77&#10;NKHEB6ZLpowWBT0IT29mHz9ct3YqhqY2qhSOAIj209YWtA7BTrPM81o0zF8YKzQcVsY1LIDpNlnp&#10;WAvojcqGeX6ZtcaV1hkuvIevt+mQziJ+VQkeHqvKi0BUQYFbiKuL6xrXbHbNphvHbC15R4P9A4uG&#10;SQ1Je6hbFhjZOvkGqpHcGW+qcMFNk5mqklzEGqCaQf6qmlXNrIi1gDje9jL5/wfLH3Yru3QgQ2v9&#10;1MMWq9hXrsF/4Ef2UaxDL5bYB8Lh43hyeTUCSTkcjcb5ZIxaZqdY63z4JkxDcFNQB1cRFWK7ex+S&#10;69EFU3mjZHknlYqG26wXypEdg2v7ejnPR4sO/S83pdFZGwxLiOmLiBcPaWIN2yDcqi5bslZb98RK&#10;oJ5PcmBeSiT2eTJIBryK4VWOP0qY2sBzDooSZ8KLDHW8CtQAIZF3T2+tGP+ZKlO2ZonzKMKcqgTv&#10;KI45konWGc/sJH/chYMSmErpJ1ERWYLgw5gkdoboszPOhQ6DdFSzUqT8gzGWkfL3ETFnBETkCkTr&#10;sTsA7Lq32Amm88fQxLsPTqL0aRKDI7EU3EfEzEaHPriR2rj3KlNQVZc5+QP9M2lwuzblYenwiuIb&#10;9ZbfSbiae+bDkjnoY7hJmE3hEZZKmbagpttRUhv3+73v6A/tBaeUtDAXCup/bZkTlKjvGhrvy2CE&#10;rz5EYzS+GoLhzk/W5yd62ywMvOEBTEHL4xb9gzpuK2eaFxhhc8wKR0xzyF1QHtzRWIQ0r2AIcjGf&#10;RzcYHpaFe72yHMFRVXyUz/sX5mzXcQE69cEcZwibvmq85IuR2sy3wVQyduVJ105vGDzx4XRDEifb&#10;uR29TqN89gcAAP//AwBQSwMEFAAGAAgAAAAhAOhmRijbAAAACAEAAA8AAABkcnMvZG93bnJldi54&#10;bWxMj81ugzAQhO+V+g7WVsqtMeSHUIKJokSo56R9AAdvAQWvEXYCeftuTu1td2c0+02+m2wn7jj4&#10;1pGCeB6BQKqcaalW8P1VvqcgfNBkdOcIFTzQw654fcl1ZtxIJ7yfQy04hHymFTQh9JmUvmrQaj93&#10;PRJrP26wOvA61NIMeuRw28lFFCXS6pb4Q6N7PDRYXc83q+BzXJUmqlbS4nJzCmV6XJfmqNTsbdpv&#10;QQScwp8ZnviMDgUzXdyNjBedgmS5YaeCjzgG8dTXCQ8XPqQLkEUu/xcofgEAAP//AwBQSwECLQAU&#10;AAYACAAAACEAtoM4kv4AAADhAQAAEwAAAAAAAAAAAAAAAAAAAAAAW0NvbnRlbnRfVHlwZXNdLnht&#10;bFBLAQItABQABgAIAAAAIQA4/SH/1gAAAJQBAAALAAAAAAAAAAAAAAAAAC8BAABfcmVscy8ucmVs&#10;c1BLAQItABQABgAIAAAAIQCvgxMk0wIAABIGAAAOAAAAAAAAAAAAAAAAAC4CAABkcnMvZTJvRG9j&#10;LnhtbFBLAQItABQABgAIAAAAIQDoZkYo2wAAAAgBAAAPAAAAAAAAAAAAAAAAAC0FAABkcnMvZG93&#10;bnJldi54bWxQSwUGAAAAAAQABADzAAAANQYAAAAA&#10;" fillcolor="#b6a04c" stroked="f" strokeweight="1pt">
                <v:shadow on="t" color="black" opacity="26214f" origin="-.5,-.5" offset=".74836mm,.74836mm"/>
              </v:rect>
            </w:pict>
          </mc:Fallback>
        </mc:AlternateContent>
      </w:r>
      <w:r w:rsidR="00AA300E" w:rsidRPr="00AA300E">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r>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FD3743" w:rsidRPr="00AA300E">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Historical </w:t>
      </w:r>
      <w:r w:rsidR="00F21E81" w:rsidRPr="00AA300E">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background of the EChFR</w:t>
      </w:r>
      <w:bookmarkEnd w:id="1"/>
    </w:p>
    <w:p w14:paraId="2EDD066F" w14:textId="20860768" w:rsidR="00E52B12" w:rsidRDefault="00AC4EAF" w:rsidP="009F7D3D">
      <w:pPr>
        <w:spacing w:after="120" w:line="276" w:lineRule="auto"/>
        <w:jc w:val="both"/>
        <w:rPr>
          <w:rFonts w:ascii="Calibri" w:hAnsi="Calibri" w:cs="Calibri"/>
          <w:b/>
          <w:bCs/>
        </w:rPr>
      </w:pPr>
      <w:r w:rsidRPr="00AC4EAF">
        <w:rPr>
          <w:rStyle w:val="Siln"/>
          <w:rFonts w:ascii="Calibri Light" w:hAnsi="Calibri Light" w:cs="Calibri Light"/>
          <w:noProof/>
          <w:sz w:val="26"/>
          <w:szCs w:val="26"/>
        </w:rPr>
        <w:drawing>
          <wp:anchor distT="0" distB="0" distL="114300" distR="114300" simplePos="0" relativeHeight="251887616" behindDoc="0" locked="0" layoutInCell="1" allowOverlap="1" wp14:anchorId="3BB56BD1" wp14:editId="7A7053FB">
            <wp:simplePos x="0" y="0"/>
            <wp:positionH relativeFrom="column">
              <wp:posOffset>1380843</wp:posOffset>
            </wp:positionH>
            <wp:positionV relativeFrom="paragraph">
              <wp:posOffset>178802</wp:posOffset>
            </wp:positionV>
            <wp:extent cx="677333" cy="646823"/>
            <wp:effectExtent l="0" t="0" r="8890" b="1270"/>
            <wp:wrapNone/>
            <wp:docPr id="992187443" name="Image 1" descr="Une image contenant croquis, clipart, dessin humoristique, Dessin d’enf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187443" name="Image 1" descr="Une image contenant croquis, clipart, dessin humoristique, Dessin d’enfant&#10;&#10;Description générée automatiquement"/>
                    <pic:cNvPicPr/>
                  </pic:nvPicPr>
                  <pic:blipFill>
                    <a:blip r:embed="rId12">
                      <a:extLst>
                        <a:ext uri="{28A0092B-C50C-407E-A947-70E740481C1C}">
                          <a14:useLocalDpi xmlns:a14="http://schemas.microsoft.com/office/drawing/2010/main" val="0"/>
                        </a:ext>
                      </a:extLst>
                    </a:blip>
                    <a:stretch>
                      <a:fillRect/>
                    </a:stretch>
                  </pic:blipFill>
                  <pic:spPr>
                    <a:xfrm>
                      <a:off x="0" y="0"/>
                      <a:ext cx="682864" cy="652105"/>
                    </a:xfrm>
                    <a:prstGeom prst="rect">
                      <a:avLst/>
                    </a:prstGeom>
                  </pic:spPr>
                </pic:pic>
              </a:graphicData>
            </a:graphic>
            <wp14:sizeRelH relativeFrom="page">
              <wp14:pctWidth>0</wp14:pctWidth>
            </wp14:sizeRelH>
            <wp14:sizeRelV relativeFrom="page">
              <wp14:pctHeight>0</wp14:pctHeight>
            </wp14:sizeRelV>
          </wp:anchor>
        </w:drawing>
      </w:r>
    </w:p>
    <w:p w14:paraId="24B1225C" w14:textId="0697E962" w:rsidR="00DB4562" w:rsidRDefault="008A3768" w:rsidP="00BE2184">
      <w:pPr>
        <w:pStyle w:val="Nadpis4"/>
        <w:jc w:val="both"/>
        <w:rPr>
          <w:rStyle w:val="Siln"/>
          <w:rFonts w:ascii="Calibri Light" w:hAnsi="Calibri Light" w:cs="Calibri Light"/>
          <w:sz w:val="26"/>
          <w:szCs w:val="26"/>
        </w:rPr>
      </w:pPr>
      <w:r>
        <w:rPr>
          <w:rFonts w:ascii="Calibri Light" w:hAnsi="Calibri Light" w:cs="Calibri Light"/>
          <w:b/>
          <w:bCs/>
          <w:noProof/>
          <w:sz w:val="26"/>
          <w:szCs w:val="26"/>
          <w14:ligatures w14:val="standardContextual"/>
        </w:rPr>
        <mc:AlternateContent>
          <mc:Choice Requires="wps">
            <w:drawing>
              <wp:anchor distT="0" distB="0" distL="114300" distR="114300" simplePos="0" relativeHeight="251874304" behindDoc="1" locked="0" layoutInCell="1" allowOverlap="1" wp14:anchorId="0E08B010" wp14:editId="49A18994">
                <wp:simplePos x="0" y="0"/>
                <wp:positionH relativeFrom="column">
                  <wp:posOffset>14888</wp:posOffset>
                </wp:positionH>
                <wp:positionV relativeFrom="paragraph">
                  <wp:posOffset>109432</wp:posOffset>
                </wp:positionV>
                <wp:extent cx="2042866" cy="428977"/>
                <wp:effectExtent l="0" t="0" r="0" b="9525"/>
                <wp:wrapNone/>
                <wp:docPr id="1037679147" name="Ellipse 66"/>
                <wp:cNvGraphicFramePr/>
                <a:graphic xmlns:a="http://schemas.openxmlformats.org/drawingml/2006/main">
                  <a:graphicData uri="http://schemas.microsoft.com/office/word/2010/wordprocessingShape">
                    <wps:wsp>
                      <wps:cNvSpPr/>
                      <wps:spPr>
                        <a:xfrm>
                          <a:off x="0" y="0"/>
                          <a:ext cx="2042866" cy="428977"/>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19D34EC" id="Ellipse 66" o:spid="_x0000_s1026" style="position:absolute;margin-left:1.15pt;margin-top:8.6pt;width:160.85pt;height:33.8pt;z-index:-251442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fLewIAAGEFAAAOAAAAZHJzL2Uyb0RvYy54bWysVE1v2zAMvQ/YfxB0X2wHadIGdYqgRYcB&#10;QVssHXpWZCkWIIuapMTJfv0o2XHatdhh2EWmRPLxw4+8vjk0muyF8wpMSYtRTokwHCpltiX98Xz/&#10;5ZISH5ipmAYjSnoUnt4sPn+6bu1cjKEGXQlHEMT4eWtLWodg51nmeS0a5kdghUGlBNewgFe3zSrH&#10;WkRvdDbO82nWgqusAy68x9e7TkkXCV9KwcOjlF4EokuKuYV0unRu4pktrtl865itFe/TYP+QRcOU&#10;waAD1B0LjOycegfVKO7AgwwjDk0GUiouUg1YTZH/Uc26ZlakWrA53g5t8v8Plj/s1/bJYRta6+ce&#10;xVjFQbomfjE/ckjNOg7NEodAOD6O88n4cjqlhKMOxavZLHYzO3tb58NXAQ2JQkmF1sr6WA+bs/3K&#10;h876ZBWfPWhV3Sut0yVyQNxqR/YM/95mW/T4b6y0ibYGolcHGF+yczVJCkctop0234Ukqor5p0QS&#10;0c5BGOfChKJT1awSXeziIs8TV7C6wSPVmgAjssT4A3YP8LaAE3aXZW8fXUXi6eCc/y2xznnwSJHB&#10;hMG5UQbcRwAaq+ojd/anJnWtiV3aQHV8csRBNyXe8nuFf27FfHhiDscCBwhHPTziITW0JYVeoqQG&#10;9+uj92iPbEUtJS2OWUn9zx1zghL9zSCPr4rJJM5lukwuZmO8uNeazWuN2TW3gFwocKlYnsRoH/RJ&#10;lA6aF9wIyxgVVcxwjF1SHtzpchu68cedwsVymcxwFi0LK7O2PILHrkZaPh9emLM9fQMS/wFOI/mO&#10;wp1t9DSw3AWQKvH73Ne+3zjHiTj9zomL4vU9WZ034+I3AAAA//8DAFBLAwQUAAYACAAAACEANskG&#10;Wd8AAAAHAQAADwAAAGRycy9kb3ducmV2LnhtbEyPS0/DMBCE70j8B2uRuFGHpIUoxKkQr0t5iICE&#10;uLnxkkSN15HtNuHfs5zgODujmW/L9WwHcUAfekcKzhcJCKTGmZ5aBe9v92c5iBA1GT04QgXfGGBd&#10;HR+VujBuolc81LEVXEKh0Aq6GMdCytB0aHVYuBGJvS/nrY4sfSuN1xOX20GmSXIhre6JFzo94k2H&#10;za7eWwWPH8+7zK8ebl+e7jZTnWSrvt58KnV6Ml9fgYg4x78w/OIzOlTMtHV7MkEMCtKMg3y+TEGw&#10;naVLfm2rIF/mIKtS/uevfgAAAP//AwBQSwECLQAUAAYACAAAACEAtoM4kv4AAADhAQAAEwAAAAAA&#10;AAAAAAAAAAAAAAAAW0NvbnRlbnRfVHlwZXNdLnhtbFBLAQItABQABgAIAAAAIQA4/SH/1gAAAJQB&#10;AAALAAAAAAAAAAAAAAAAAC8BAABfcmVscy8ucmVsc1BLAQItABQABgAIAAAAIQC/YzfLewIAAGEF&#10;AAAOAAAAAAAAAAAAAAAAAC4CAABkcnMvZTJvRG9jLnhtbFBLAQItABQABgAIAAAAIQA2yQZZ3wAA&#10;AAcBAAAPAAAAAAAAAAAAAAAAANUEAABkcnMvZG93bnJldi54bWxQSwUGAAAAAAQABADzAAAA4QUA&#10;AAAA&#10;" fillcolor="white [3212]" stroked="f" strokeweight="1pt">
                <v:stroke joinstyle="miter"/>
              </v:oval>
            </w:pict>
          </mc:Fallback>
        </mc:AlternateContent>
      </w:r>
    </w:p>
    <w:p w14:paraId="35C6CC84" w14:textId="29905127" w:rsidR="009A184E" w:rsidRPr="00BE2184" w:rsidRDefault="008A3768" w:rsidP="00BE2184">
      <w:pPr>
        <w:pStyle w:val="Nadpis4"/>
        <w:jc w:val="both"/>
        <w:rPr>
          <w:rFonts w:ascii="Calibri Light" w:hAnsi="Calibri Light" w:cs="Calibri Light"/>
          <w:b/>
          <w:bCs/>
          <w:sz w:val="26"/>
          <w:szCs w:val="26"/>
          <w:lang w:eastAsia="fr-FR"/>
        </w:rPr>
      </w:pPr>
      <w:r>
        <w:rPr>
          <w:rFonts w:ascii="Calibri Light" w:hAnsi="Calibri Light" w:cs="Calibri Light"/>
          <w:b/>
          <w:bCs/>
          <w:noProof/>
          <w:sz w:val="26"/>
          <w:szCs w:val="26"/>
          <w14:ligatures w14:val="standardContextual"/>
        </w:rPr>
        <mc:AlternateContent>
          <mc:Choice Requires="wps">
            <w:drawing>
              <wp:anchor distT="0" distB="0" distL="114300" distR="114300" simplePos="0" relativeHeight="251873280" behindDoc="1" locked="0" layoutInCell="1" allowOverlap="1" wp14:anchorId="01B23A70" wp14:editId="17286021">
                <wp:simplePos x="0" y="0"/>
                <wp:positionH relativeFrom="column">
                  <wp:posOffset>-120579</wp:posOffset>
                </wp:positionH>
                <wp:positionV relativeFrom="paragraph">
                  <wp:posOffset>133914</wp:posOffset>
                </wp:positionV>
                <wp:extent cx="5949244" cy="2009423"/>
                <wp:effectExtent l="0" t="0" r="13970" b="10160"/>
                <wp:wrapNone/>
                <wp:docPr id="1471254414" name="Rectangle : coins arrondis 65"/>
                <wp:cNvGraphicFramePr/>
                <a:graphic xmlns:a="http://schemas.openxmlformats.org/drawingml/2006/main">
                  <a:graphicData uri="http://schemas.microsoft.com/office/word/2010/wordprocessingShape">
                    <wps:wsp>
                      <wps:cNvSpPr/>
                      <wps:spPr>
                        <a:xfrm>
                          <a:off x="0" y="0"/>
                          <a:ext cx="5949244" cy="2009423"/>
                        </a:xfrm>
                        <a:prstGeom prst="roundRect">
                          <a:avLst/>
                        </a:prstGeom>
                        <a:noFill/>
                        <a:ln w="19050">
                          <a:solidFill>
                            <a:schemeClr val="accent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D3BDA2" id="Rectangle : coins arrondis 65" o:spid="_x0000_s1026" style="position:absolute;margin-left:-9.5pt;margin-top:10.55pt;width:468.45pt;height:158.2pt;z-index:-25144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cgrjwIAAJYFAAAOAAAAZHJzL2Uyb0RvYy54bWysVFtv2yAUfp+0/4B4X+1kzrpEdaqoVadJ&#10;XRu1nfpMMMSWgMOAxMl+/Q7YcbIue5n2AgfO/TuXq+udVmQrnG/AlHR0kVMiDIeqMeuSfn+5+/CZ&#10;Eh+YqZgCI0q6F55ez9+/u2rtTIyhBlUJR9CI8bPWlrQOwc6yzPNaaOYvwAqDTAlOs4BPt84qx1q0&#10;rlU2zvNPWQuusg648B5/bzsmnSf7UgoeHqX0IhBVUowtpNOlcxXPbH7FZmvHbN3wPgz2D1Fo1hh0&#10;Opi6ZYGRjWv+MKUb7sCDDBccdAZSNlykHDCbUf4mm+eaWZFyQXC8HWDy/88sf9g+26VDGFrrZx7J&#10;mMVOOh1vjI/sElj7ASyxC4Tj52RaTMdFQQlHHpZiWow/Rjizo7p1PnwRoEkkSupgY6onLElCim3v&#10;fejkD3LRpYG7RqlUFmVIiz01zSd50vCgmipyo1zqEHGjHNkyrC3jXJgwSnJqo79B1f1fTvI8VRnD&#10;GlRSkCfWkKcMfh4hSFTYKxFdKfMkJGkqTHrcBRK787xvX7NKdK5Hf3WdDEbLEpMZbHfBD0H+nlcH&#10;VC8fVUVq7kG5R+h8YJ3yoJE8gwmDsm4MuHOZKUS099zJH0DqoIkoraDaLx1x0I2Wt/yuwWrfMx+W&#10;zOEs4dThfgiPeEgFWFDoKUpqcD/P/Ud5bHHkUtLibJbU/9gwJyhRXw02/3RUFHGY06OYXI7x4U45&#10;q1OO2egbwBYZ4SayPJFRPqgDKR3oV1wji+gVWcxw9F1SHtzhcRO6nYGLiIvFIonhAFsW7s2z5dF4&#10;RDU28svulTnbt3zAaXmAwxyz2Zum72SjpoHFJoBs0kQcce3xxuFPPdsvqrhdTt9J6rhO578AAAD/&#10;/wMAUEsDBBQABgAIAAAAIQCtqw033wAAAAoBAAAPAAAAZHJzL2Rvd25yZXYueG1sTI/BTsMwEETv&#10;SPyDtUjcWiepoCRkUyEQJy40LerVjbdO1HgdYrcNf485leNoRjNvytVke3Gm0XeOEdJ5AoK4cbpj&#10;g7DdvM+eQPigWKveMSH8kIdVdXtTqkK7C6/pXAcjYgn7QiG0IQyFlL5pySo/dwNx9A5utCpEORqp&#10;R3WJ5baXWZI8Sqs6jgutGui1peZYnyxCnX1/fSbrnWk+3iZraON3W+MR7++ml2cQgaZwDcMffkSH&#10;KjLt3Ym1Fz3CLM3jl4CQpSmIGMjTZQ5ij7BYLB9AVqX8f6H6BQAA//8DAFBLAQItABQABgAIAAAA&#10;IQC2gziS/gAAAOEBAAATAAAAAAAAAAAAAAAAAAAAAABbQ29udGVudF9UeXBlc10ueG1sUEsBAi0A&#10;FAAGAAgAAAAhADj9If/WAAAAlAEAAAsAAAAAAAAAAAAAAAAALwEAAF9yZWxzLy5yZWxzUEsBAi0A&#10;FAAGAAgAAAAhAASZyCuPAgAAlgUAAA4AAAAAAAAAAAAAAAAALgIAAGRycy9lMm9Eb2MueG1sUEsB&#10;Ai0AFAAGAAgAAAAhAK2rDTffAAAACgEAAA8AAAAAAAAAAAAAAAAA6QQAAGRycy9kb3ducmV2Lnht&#10;bFBLBQYAAAAABAAEAPMAAAD1BQAAAAA=&#10;" filled="f" strokecolor="#2f5496 [2404]" strokeweight="1.5pt">
                <v:stroke joinstyle="miter"/>
              </v:roundrect>
            </w:pict>
          </mc:Fallback>
        </mc:AlternateContent>
      </w:r>
      <w:r w:rsidR="009A184E" w:rsidRPr="00BE2184">
        <w:rPr>
          <w:rStyle w:val="Siln"/>
          <w:rFonts w:ascii="Calibri Light" w:hAnsi="Calibri Light" w:cs="Calibri Light"/>
          <w:sz w:val="26"/>
          <w:szCs w:val="26"/>
        </w:rPr>
        <w:t>What You</w:t>
      </w:r>
      <w:r w:rsidR="004F0C2B" w:rsidRPr="00DA0751">
        <w:rPr>
          <w:rStyle w:val="Siln"/>
          <w:rFonts w:ascii="Calibri Light" w:hAnsi="Calibri Light" w:cs="Calibri Light"/>
          <w:sz w:val="26"/>
          <w:szCs w:val="26"/>
        </w:rPr>
        <w:t xml:space="preserve"> will</w:t>
      </w:r>
      <w:r w:rsidR="009A184E" w:rsidRPr="00BE2184">
        <w:rPr>
          <w:rStyle w:val="Siln"/>
          <w:rFonts w:ascii="Calibri Light" w:hAnsi="Calibri Light" w:cs="Calibri Light"/>
          <w:sz w:val="26"/>
          <w:szCs w:val="26"/>
        </w:rPr>
        <w:t xml:space="preserve"> Learn </w:t>
      </w:r>
    </w:p>
    <w:p w14:paraId="26A0BB2C" w14:textId="713DA835" w:rsidR="009A184E" w:rsidRPr="001C2E69" w:rsidRDefault="009A184E" w:rsidP="00BE2184">
      <w:pPr>
        <w:pStyle w:val="Normlnweb"/>
        <w:jc w:val="both"/>
        <w:rPr>
          <w:rFonts w:ascii="Calibri Light" w:hAnsi="Calibri Light" w:cs="Calibri Light"/>
          <w:color w:val="2C2D5B"/>
        </w:rPr>
      </w:pPr>
      <w:r w:rsidRPr="001C2E69">
        <w:rPr>
          <w:rFonts w:ascii="Calibri Light" w:hAnsi="Calibri Light" w:cs="Calibri Light"/>
          <w:color w:val="2C2D5B"/>
        </w:rPr>
        <w:t>This section explores the historical development of the European Charter of Fundamental Rights (EChFR), tracing its origins from early EU treaties to its current status as a legally binding instrument. Readers will gain insights into:</w:t>
      </w:r>
    </w:p>
    <w:p w14:paraId="7F394AF1" w14:textId="77777777" w:rsidR="009A184E" w:rsidRPr="001C2E69" w:rsidRDefault="009A184E" w:rsidP="00BE2184">
      <w:pPr>
        <w:numPr>
          <w:ilvl w:val="0"/>
          <w:numId w:val="48"/>
        </w:numPr>
        <w:spacing w:before="100" w:beforeAutospacing="1" w:after="100" w:afterAutospacing="1"/>
        <w:jc w:val="both"/>
        <w:rPr>
          <w:rFonts w:ascii="Calibri Light" w:hAnsi="Calibri Light" w:cs="Calibri Light"/>
          <w:color w:val="2C2D5B"/>
        </w:rPr>
      </w:pPr>
      <w:r w:rsidRPr="001C2E69">
        <w:rPr>
          <w:rStyle w:val="Siln"/>
          <w:rFonts w:ascii="Calibri Light" w:hAnsi="Calibri Light" w:cs="Calibri Light"/>
          <w:color w:val="2C2D5B"/>
        </w:rPr>
        <w:t>The Motivations Behind the Charter</w:t>
      </w:r>
      <w:r w:rsidRPr="001C2E69">
        <w:rPr>
          <w:rFonts w:ascii="Calibri Light" w:hAnsi="Calibri Light" w:cs="Calibri Light"/>
          <w:color w:val="2C2D5B"/>
        </w:rPr>
        <w:t>: Why the EU sought to codify fundamental rights and the role of the CJEU in shaping early human rights protections within EU law.</w:t>
      </w:r>
    </w:p>
    <w:p w14:paraId="53FCF616" w14:textId="4972B51F" w:rsidR="009A184E" w:rsidRPr="001C2E69" w:rsidRDefault="009A184E" w:rsidP="00F87908">
      <w:pPr>
        <w:numPr>
          <w:ilvl w:val="0"/>
          <w:numId w:val="48"/>
        </w:numPr>
        <w:spacing w:before="100" w:beforeAutospacing="1" w:after="100" w:afterAutospacing="1"/>
        <w:jc w:val="both"/>
        <w:rPr>
          <w:rFonts w:ascii="Calibri Light" w:hAnsi="Calibri Light" w:cs="Calibri Light"/>
          <w:color w:val="2C2D5B"/>
        </w:rPr>
      </w:pPr>
      <w:r w:rsidRPr="001C2E69">
        <w:rPr>
          <w:rStyle w:val="Siln"/>
          <w:rFonts w:ascii="Calibri Light" w:hAnsi="Calibri Light" w:cs="Calibri Light"/>
          <w:color w:val="2C2D5B"/>
        </w:rPr>
        <w:t>The Transition to Full Legal Status</w:t>
      </w:r>
      <w:r w:rsidRPr="001C2E69">
        <w:rPr>
          <w:rFonts w:ascii="Calibri Light" w:hAnsi="Calibri Light" w:cs="Calibri Light"/>
          <w:color w:val="2C2D5B"/>
        </w:rPr>
        <w:t>: How the Charter evolved from a political proclamation in 2000 to a binding legal instrument with the Lisbon Treaty, ensuring a comprehensive framework for protecting rights within the EU legal order.</w:t>
      </w:r>
    </w:p>
    <w:p w14:paraId="78DDE2D2" w14:textId="77777777" w:rsidR="00AC4EAF" w:rsidRDefault="00AC4EAF" w:rsidP="00BE2184">
      <w:pPr>
        <w:pStyle w:val="Nadpis4"/>
        <w:jc w:val="both"/>
        <w:rPr>
          <w:rStyle w:val="Siln"/>
          <w:rFonts w:ascii="Calibri Light" w:hAnsi="Calibri Light" w:cs="Calibri Light"/>
          <w:sz w:val="26"/>
          <w:szCs w:val="26"/>
        </w:rPr>
      </w:pPr>
    </w:p>
    <w:p w14:paraId="2A79919F" w14:textId="4252ADAF" w:rsidR="009A184E" w:rsidRPr="00BE2184" w:rsidRDefault="009A184E" w:rsidP="00BE2184">
      <w:pPr>
        <w:pStyle w:val="Nadpis4"/>
        <w:jc w:val="both"/>
        <w:rPr>
          <w:rFonts w:ascii="Calibri Light" w:hAnsi="Calibri Light" w:cs="Calibri Light"/>
          <w:b/>
          <w:bCs/>
          <w:sz w:val="26"/>
          <w:szCs w:val="26"/>
        </w:rPr>
      </w:pPr>
      <w:r w:rsidRPr="00BE2184">
        <w:rPr>
          <w:rStyle w:val="Siln"/>
          <w:rFonts w:ascii="Calibri Light" w:hAnsi="Calibri Light" w:cs="Calibri Light"/>
          <w:sz w:val="26"/>
          <w:szCs w:val="26"/>
        </w:rPr>
        <w:t>Key Themes</w:t>
      </w:r>
    </w:p>
    <w:p w14:paraId="14D43C42" w14:textId="77777777" w:rsidR="009A184E" w:rsidRPr="001C2E69" w:rsidRDefault="009A184E" w:rsidP="00BE2184">
      <w:pPr>
        <w:numPr>
          <w:ilvl w:val="0"/>
          <w:numId w:val="49"/>
        </w:numPr>
        <w:spacing w:before="100" w:beforeAutospacing="1" w:after="100" w:afterAutospacing="1"/>
        <w:jc w:val="both"/>
        <w:rPr>
          <w:rFonts w:ascii="Calibri Light" w:hAnsi="Calibri Light" w:cs="Calibri Light"/>
          <w:color w:val="2C2D5B"/>
        </w:rPr>
      </w:pPr>
      <w:r w:rsidRPr="001C2E69">
        <w:rPr>
          <w:rFonts w:ascii="Calibri Light" w:hAnsi="Calibri Light" w:cs="Calibri Light"/>
          <w:color w:val="2C2D5B"/>
        </w:rPr>
        <w:t>The gap in early EU treaties regarding fundamental rights and how this was addressed through judicial innovation by the CJEU.</w:t>
      </w:r>
    </w:p>
    <w:p w14:paraId="2D186BFF" w14:textId="77777777" w:rsidR="009A184E" w:rsidRPr="001C2E69" w:rsidRDefault="009A184E" w:rsidP="00BE2184">
      <w:pPr>
        <w:numPr>
          <w:ilvl w:val="0"/>
          <w:numId w:val="49"/>
        </w:numPr>
        <w:spacing w:before="100" w:beforeAutospacing="1" w:after="100" w:afterAutospacing="1"/>
        <w:jc w:val="both"/>
        <w:rPr>
          <w:rFonts w:ascii="Calibri Light" w:hAnsi="Calibri Light" w:cs="Calibri Light"/>
          <w:color w:val="2C2D5B"/>
        </w:rPr>
      </w:pPr>
      <w:r w:rsidRPr="001C2E69">
        <w:rPr>
          <w:rFonts w:ascii="Calibri Light" w:hAnsi="Calibri Light" w:cs="Calibri Light"/>
          <w:color w:val="2C2D5B"/>
        </w:rPr>
        <w:t>The influence of international human rights instruments, such as the European Convention on Human Rights (ECHR), in shaping the Charter.</w:t>
      </w:r>
    </w:p>
    <w:p w14:paraId="7128FFFE" w14:textId="6B5BCB36" w:rsidR="009A184E" w:rsidRPr="001C2E69" w:rsidRDefault="009A184E" w:rsidP="00071D61">
      <w:pPr>
        <w:numPr>
          <w:ilvl w:val="0"/>
          <w:numId w:val="49"/>
        </w:numPr>
        <w:spacing w:before="100" w:beforeAutospacing="1" w:after="100" w:afterAutospacing="1"/>
        <w:jc w:val="both"/>
        <w:rPr>
          <w:rFonts w:ascii="Calibri Light" w:hAnsi="Calibri Light" w:cs="Calibri Light"/>
          <w:color w:val="2C2D5B"/>
        </w:rPr>
      </w:pPr>
      <w:r w:rsidRPr="001C2E69">
        <w:rPr>
          <w:rFonts w:ascii="Calibri Light" w:hAnsi="Calibri Light" w:cs="Calibri Light"/>
          <w:color w:val="2C2D5B"/>
        </w:rPr>
        <w:t xml:space="preserve">The significance of the Charter’s legal status today, both as a reaffirmation of existing rights and as a foundation for new rights </w:t>
      </w:r>
    </w:p>
    <w:p w14:paraId="74C739FF" w14:textId="092E84D8" w:rsidR="00E52B12" w:rsidRDefault="0000203F" w:rsidP="009F7D3D">
      <w:pPr>
        <w:spacing w:after="120" w:line="276" w:lineRule="auto"/>
        <w:jc w:val="both"/>
        <w:rPr>
          <w:rFonts w:asciiTheme="majorHAnsi" w:hAnsiTheme="majorHAnsi" w:cstheme="majorHAnsi"/>
        </w:rPr>
      </w:pPr>
      <w:r w:rsidRPr="001C2E69">
        <w:rPr>
          <w:rFonts w:asciiTheme="majorHAnsi" w:hAnsiTheme="majorHAnsi" w:cstheme="majorHAnsi"/>
          <w:b/>
          <w:bCs/>
          <w:color w:val="2C2D5B"/>
        </w:rPr>
        <w:t xml:space="preserve">Respect for human rights is </w:t>
      </w:r>
      <w:r w:rsidR="00AF3B3C" w:rsidRPr="001C2E69">
        <w:rPr>
          <w:rFonts w:asciiTheme="majorHAnsi" w:hAnsiTheme="majorHAnsi" w:cstheme="majorHAnsi"/>
          <w:b/>
          <w:bCs/>
          <w:color w:val="2C2D5B"/>
        </w:rPr>
        <w:t>an essential</w:t>
      </w:r>
      <w:r w:rsidRPr="001C2E69">
        <w:rPr>
          <w:rFonts w:asciiTheme="majorHAnsi" w:hAnsiTheme="majorHAnsi" w:cstheme="majorHAnsi"/>
          <w:b/>
          <w:bCs/>
          <w:color w:val="2C2D5B"/>
        </w:rPr>
        <w:t xml:space="preserve"> value of the European Union</w:t>
      </w:r>
      <w:r w:rsidRPr="001C2E69">
        <w:rPr>
          <w:rFonts w:asciiTheme="majorHAnsi" w:hAnsiTheme="majorHAnsi" w:cstheme="majorHAnsi"/>
          <w:color w:val="2C2D5B"/>
        </w:rPr>
        <w:t xml:space="preserve">. </w:t>
      </w:r>
      <w:r w:rsidR="003E2A20" w:rsidRPr="001C2E69">
        <w:rPr>
          <w:rFonts w:asciiTheme="majorHAnsi" w:hAnsiTheme="majorHAnsi" w:cstheme="majorHAnsi"/>
          <w:color w:val="2C2D5B"/>
        </w:rPr>
        <w:t xml:space="preserve">Article 2 of the Treaty on European Union (TEU) states that the EU </w:t>
      </w:r>
      <w:r w:rsidR="00EC2273" w:rsidRPr="001C2E69">
        <w:rPr>
          <w:rFonts w:asciiTheme="majorHAnsi" w:hAnsiTheme="majorHAnsi" w:cstheme="majorHAnsi"/>
          <w:color w:val="2C2D5B"/>
        </w:rPr>
        <w:t>“</w:t>
      </w:r>
      <w:r w:rsidR="00EC2273" w:rsidRPr="001C2E69">
        <w:rPr>
          <w:rFonts w:asciiTheme="majorHAnsi" w:hAnsiTheme="majorHAnsi" w:cstheme="majorHAnsi"/>
          <w:i/>
          <w:iCs/>
          <w:color w:val="2C2D5B"/>
        </w:rPr>
        <w:t>is founded on the values of respect for human dignity, freedom, democracy, equality, the rule of law and respect for human rights, including the rights of persons belonging to minorities</w:t>
      </w:r>
      <w:r w:rsidR="00EC2273" w:rsidRPr="001C2E69">
        <w:rPr>
          <w:rFonts w:asciiTheme="majorHAnsi" w:hAnsiTheme="majorHAnsi" w:cstheme="majorHAnsi"/>
          <w:color w:val="2C2D5B"/>
        </w:rPr>
        <w:t xml:space="preserve">”. </w:t>
      </w:r>
      <w:r w:rsidR="003E2A20" w:rsidRPr="001C2E69">
        <w:rPr>
          <w:rFonts w:asciiTheme="majorHAnsi" w:hAnsiTheme="majorHAnsi" w:cstheme="majorHAnsi"/>
          <w:color w:val="2C2D5B"/>
        </w:rPr>
        <w:t xml:space="preserve">To apply for EU membership, a State must </w:t>
      </w:r>
      <w:r w:rsidR="0060216F" w:rsidRPr="001C2E69">
        <w:rPr>
          <w:rFonts w:asciiTheme="majorHAnsi" w:hAnsiTheme="majorHAnsi" w:cstheme="majorHAnsi"/>
          <w:color w:val="2C2D5B"/>
        </w:rPr>
        <w:t>respect</w:t>
      </w:r>
      <w:r w:rsidR="003E2A20" w:rsidRPr="001C2E69">
        <w:rPr>
          <w:rFonts w:asciiTheme="majorHAnsi" w:hAnsiTheme="majorHAnsi" w:cstheme="majorHAnsi"/>
          <w:color w:val="2C2D5B"/>
        </w:rPr>
        <w:t xml:space="preserve"> and </w:t>
      </w:r>
      <w:r w:rsidR="0060216F" w:rsidRPr="001C2E69">
        <w:rPr>
          <w:rFonts w:asciiTheme="majorHAnsi" w:hAnsiTheme="majorHAnsi" w:cstheme="majorHAnsi"/>
          <w:color w:val="2C2D5B"/>
        </w:rPr>
        <w:t>promote</w:t>
      </w:r>
      <w:r w:rsidR="003E2A20" w:rsidRPr="001C2E69">
        <w:rPr>
          <w:rFonts w:asciiTheme="majorHAnsi" w:hAnsiTheme="majorHAnsi" w:cstheme="majorHAnsi"/>
          <w:color w:val="2C2D5B"/>
        </w:rPr>
        <w:t xml:space="preserve"> these </w:t>
      </w:r>
      <w:r w:rsidR="0060216F" w:rsidRPr="001C2E69">
        <w:rPr>
          <w:rFonts w:asciiTheme="majorHAnsi" w:hAnsiTheme="majorHAnsi" w:cstheme="majorHAnsi"/>
          <w:color w:val="2C2D5B"/>
        </w:rPr>
        <w:t xml:space="preserve">values </w:t>
      </w:r>
      <w:r w:rsidR="00EC2273" w:rsidRPr="001C2E69">
        <w:rPr>
          <w:rFonts w:asciiTheme="majorHAnsi" w:hAnsiTheme="majorHAnsi" w:cstheme="majorHAnsi"/>
          <w:color w:val="2C2D5B"/>
        </w:rPr>
        <w:t xml:space="preserve">(Art. 49 TEU). Additionally, </w:t>
      </w:r>
      <w:r w:rsidR="003E2A20" w:rsidRPr="001C2E69">
        <w:rPr>
          <w:rFonts w:asciiTheme="majorHAnsi" w:hAnsiTheme="majorHAnsi" w:cstheme="majorHAnsi"/>
          <w:color w:val="2C2D5B"/>
        </w:rPr>
        <w:t xml:space="preserve">once a member, each State </w:t>
      </w:r>
      <w:r w:rsidR="00EC2273" w:rsidRPr="001C2E69">
        <w:rPr>
          <w:rFonts w:asciiTheme="majorHAnsi" w:hAnsiTheme="majorHAnsi" w:cstheme="majorHAnsi"/>
          <w:color w:val="2C2D5B"/>
        </w:rPr>
        <w:t xml:space="preserve">must respect and protect these principles, and any breach may </w:t>
      </w:r>
      <w:r w:rsidR="003E2A20" w:rsidRPr="001C2E69">
        <w:rPr>
          <w:rFonts w:asciiTheme="majorHAnsi" w:hAnsiTheme="majorHAnsi" w:cstheme="majorHAnsi"/>
          <w:color w:val="2C2D5B"/>
        </w:rPr>
        <w:t xml:space="preserve">trigger </w:t>
      </w:r>
      <w:r w:rsidR="00EC2273" w:rsidRPr="001C2E69">
        <w:rPr>
          <w:rFonts w:asciiTheme="majorHAnsi" w:hAnsiTheme="majorHAnsi" w:cstheme="majorHAnsi"/>
          <w:color w:val="2C2D5B"/>
        </w:rPr>
        <w:t xml:space="preserve">sanctions set forth in Article 7 TEU. </w:t>
      </w:r>
      <w:r w:rsidR="00F2072F">
        <w:rPr>
          <w:rFonts w:asciiTheme="majorHAnsi" w:hAnsiTheme="majorHAnsi" w:cstheme="majorHAnsi"/>
        </w:rPr>
        <w:br w:type="page"/>
      </w:r>
    </w:p>
    <w:p w14:paraId="319D42C8" w14:textId="77777777" w:rsidR="00F2072F" w:rsidRDefault="00F2072F" w:rsidP="009F7D3D">
      <w:pPr>
        <w:spacing w:after="120" w:line="276" w:lineRule="auto"/>
        <w:jc w:val="both"/>
        <w:rPr>
          <w:rFonts w:asciiTheme="majorHAnsi" w:hAnsiTheme="majorHAnsi" w:cstheme="majorHAnsi"/>
        </w:rPr>
      </w:pPr>
    </w:p>
    <w:p w14:paraId="255A7071" w14:textId="77777777" w:rsidR="001C2E69" w:rsidRDefault="001C2E69" w:rsidP="009F7D3D">
      <w:pPr>
        <w:spacing w:after="120" w:line="276" w:lineRule="auto"/>
        <w:jc w:val="both"/>
        <w:rPr>
          <w:rFonts w:asciiTheme="majorHAnsi" w:hAnsiTheme="majorHAnsi" w:cstheme="majorHAnsi"/>
        </w:rPr>
      </w:pPr>
    </w:p>
    <w:p w14:paraId="09515548" w14:textId="77777777" w:rsidR="001C2E69" w:rsidRDefault="001C2E69" w:rsidP="009F7D3D">
      <w:pPr>
        <w:spacing w:after="120" w:line="276" w:lineRule="auto"/>
        <w:jc w:val="both"/>
        <w:rPr>
          <w:rFonts w:asciiTheme="majorHAnsi" w:hAnsiTheme="majorHAnsi" w:cstheme="majorHAnsi"/>
        </w:rPr>
      </w:pPr>
    </w:p>
    <w:p w14:paraId="29E79596" w14:textId="5B64CB3D" w:rsidR="001C2E69" w:rsidRDefault="001C2E69" w:rsidP="009F7D3D">
      <w:pPr>
        <w:spacing w:after="120" w:line="276" w:lineRule="auto"/>
        <w:jc w:val="both"/>
        <w:rPr>
          <w:rFonts w:asciiTheme="majorHAnsi" w:hAnsiTheme="majorHAnsi" w:cstheme="majorHAnsi"/>
        </w:rPr>
      </w:pPr>
    </w:p>
    <w:p w14:paraId="709BC940" w14:textId="718C085E" w:rsidR="00071D61" w:rsidRDefault="00E52B12" w:rsidP="001C2E69">
      <w:pPr>
        <w:pStyle w:val="Odstavecseseznamem"/>
        <w:spacing w:line="276" w:lineRule="auto"/>
        <w:ind w:left="284" w:hanging="568"/>
        <w:jc w:val="both"/>
        <w:rPr>
          <w:rFonts w:asciiTheme="minorHAnsi" w:hAnsiTheme="minorHAnsi" w:cstheme="minorHAnsi"/>
          <w:sz w:val="32"/>
          <w:szCs w:val="32"/>
        </w:rPr>
      </w:pPr>
      <w:bookmarkStart w:id="2" w:name="_Toc188457861"/>
      <w:r w:rsidRPr="001C2E69">
        <w:rPr>
          <w:rFonts w:asciiTheme="minorHAnsi" w:hAnsiTheme="minorHAnsi" w:cstheme="minorHAnsi"/>
          <w:b/>
          <w:bCs/>
          <w:color w:val="B6A04C"/>
          <w:sz w:val="32"/>
          <w:szCs w:val="32"/>
        </w:rPr>
        <w:t xml:space="preserve">2.1 </w:t>
      </w:r>
      <w:r w:rsidRPr="001C2E69">
        <w:rPr>
          <w:rFonts w:asciiTheme="minorHAnsi" w:hAnsiTheme="minorHAnsi" w:cstheme="minorHAnsi"/>
          <w:b/>
          <w:bCs/>
          <w:color w:val="2F5496" w:themeColor="accent1" w:themeShade="BF"/>
          <w:sz w:val="32"/>
          <w:szCs w:val="32"/>
        </w:rPr>
        <w:t>Origins and motivations for the Charter</w:t>
      </w:r>
      <w:bookmarkEnd w:id="2"/>
    </w:p>
    <w:p w14:paraId="6FFBB209" w14:textId="77777777" w:rsidR="00071D61" w:rsidRPr="00071D61" w:rsidRDefault="00071D61" w:rsidP="00071D61">
      <w:pPr>
        <w:pStyle w:val="Nadpis2"/>
        <w:rPr>
          <w:rFonts w:asciiTheme="minorHAnsi" w:hAnsiTheme="minorHAnsi" w:cstheme="minorHAnsi"/>
          <w:b/>
          <w:bCs/>
          <w:i/>
          <w:iCs/>
        </w:rPr>
      </w:pPr>
    </w:p>
    <w:p w14:paraId="6820B8DA" w14:textId="4071E9B2" w:rsidR="00071D61" w:rsidRPr="00071D61" w:rsidRDefault="00071D61" w:rsidP="00E52B12">
      <w:pPr>
        <w:spacing w:after="120" w:line="276" w:lineRule="auto"/>
        <w:jc w:val="both"/>
        <w:rPr>
          <w:rFonts w:asciiTheme="majorHAnsi" w:hAnsiTheme="majorHAnsi" w:cstheme="majorHAnsi"/>
          <w:b/>
          <w:bCs/>
          <w:i/>
          <w:iCs/>
          <w:color w:val="2F5496" w:themeColor="accent1" w:themeShade="BF"/>
          <w:sz w:val="26"/>
          <w:szCs w:val="26"/>
        </w:rPr>
      </w:pPr>
      <w:r w:rsidRPr="00071D61">
        <w:rPr>
          <w:rFonts w:asciiTheme="majorHAnsi" w:hAnsiTheme="majorHAnsi" w:cstheme="majorHAnsi"/>
          <w:b/>
          <w:bCs/>
          <w:i/>
          <w:iCs/>
          <w:color w:val="2F5496" w:themeColor="accent1" w:themeShade="BF"/>
          <w:sz w:val="26"/>
          <w:szCs w:val="26"/>
        </w:rPr>
        <w:t xml:space="preserve">Early EU Treaties and Fundamental Rights </w:t>
      </w:r>
    </w:p>
    <w:p w14:paraId="7640A5D1" w14:textId="69FB3AA2" w:rsidR="00E52B12" w:rsidRPr="00FD352D" w:rsidRDefault="00E52B12" w:rsidP="00E52B12">
      <w:pPr>
        <w:spacing w:after="120" w:line="276" w:lineRule="auto"/>
        <w:jc w:val="both"/>
        <w:rPr>
          <w:rFonts w:asciiTheme="majorHAnsi" w:hAnsiTheme="majorHAnsi" w:cstheme="majorHAnsi"/>
          <w:b/>
          <w:bCs/>
        </w:rPr>
      </w:pPr>
      <w:r w:rsidRPr="001C2E69">
        <w:rPr>
          <w:rFonts w:asciiTheme="majorHAnsi" w:hAnsiTheme="majorHAnsi" w:cstheme="majorHAnsi"/>
          <w:color w:val="2C2D5B"/>
        </w:rPr>
        <w:t xml:space="preserve">Initially, the original founding Treaties of the European Communities did not regulate the protection of fundamental rights. At </w:t>
      </w:r>
      <w:r w:rsidR="00547C5D" w:rsidRPr="001C2E69">
        <w:rPr>
          <w:rFonts w:asciiTheme="majorHAnsi" w:hAnsiTheme="majorHAnsi" w:cstheme="majorHAnsi"/>
          <w:color w:val="2C2D5B"/>
        </w:rPr>
        <w:t>said</w:t>
      </w:r>
      <w:r w:rsidRPr="001C2E69">
        <w:rPr>
          <w:rFonts w:asciiTheme="majorHAnsi" w:hAnsiTheme="majorHAnsi" w:cstheme="majorHAnsi"/>
          <w:color w:val="2C2D5B"/>
        </w:rPr>
        <w:t xml:space="preserve"> time, the establishment of instruments to protect human rights was not considered necessary for the achievement of the common market. </w:t>
      </w:r>
      <w:r w:rsidRPr="001C2E69">
        <w:rPr>
          <w:rFonts w:asciiTheme="majorHAnsi" w:hAnsiTheme="majorHAnsi" w:cstheme="majorHAnsi"/>
          <w:b/>
          <w:bCs/>
          <w:color w:val="2C2D5B"/>
        </w:rPr>
        <w:t xml:space="preserve"> </w:t>
      </w:r>
    </w:p>
    <w:p w14:paraId="322E2152" w14:textId="4B9EF1D8" w:rsidR="00E52B12" w:rsidRPr="00F2072F" w:rsidRDefault="00EA18D4" w:rsidP="00F2072F">
      <w:r>
        <w:rPr>
          <w:rFonts w:ascii="Calibri" w:hAnsi="Calibri" w:cs="Calibri"/>
          <w:b/>
          <w:bCs/>
          <w:i/>
          <w:iCs/>
          <w:noProof/>
          <w:color w:val="2F5496" w:themeColor="accent1" w:themeShade="BF"/>
          <w:sz w:val="26"/>
          <w:szCs w:val="26"/>
          <w14:ligatures w14:val="standardContextual"/>
        </w:rPr>
        <mc:AlternateContent>
          <mc:Choice Requires="wps">
            <w:drawing>
              <wp:anchor distT="0" distB="0" distL="114300" distR="114300" simplePos="0" relativeHeight="251894271" behindDoc="0" locked="0" layoutInCell="1" allowOverlap="1" wp14:anchorId="3C102263" wp14:editId="09DA32F0">
                <wp:simplePos x="0" y="0"/>
                <wp:positionH relativeFrom="column">
                  <wp:posOffset>5203825</wp:posOffset>
                </wp:positionH>
                <wp:positionV relativeFrom="paragraph">
                  <wp:posOffset>31891</wp:posOffset>
                </wp:positionV>
                <wp:extent cx="665480" cy="676910"/>
                <wp:effectExtent l="0" t="0" r="1270" b="8890"/>
                <wp:wrapNone/>
                <wp:docPr id="723551898" name="Ellipse 67"/>
                <wp:cNvGraphicFramePr/>
                <a:graphic xmlns:a="http://schemas.openxmlformats.org/drawingml/2006/main">
                  <a:graphicData uri="http://schemas.microsoft.com/office/word/2010/wordprocessingShape">
                    <wps:wsp>
                      <wps:cNvSpPr/>
                      <wps:spPr>
                        <a:xfrm>
                          <a:off x="0" y="0"/>
                          <a:ext cx="665480" cy="676910"/>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7BC8415" id="Ellipse 67" o:spid="_x0000_s1026" style="position:absolute;margin-left:409.75pt;margin-top:2.5pt;width:52.4pt;height:53.3pt;z-index:251894271;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2dlfAIAAGAFAAAOAAAAZHJzL2Uyb0RvYy54bWysVE1v2zAMvQ/YfxB0X20HSdoGdYqgRYYB&#10;RVusHXpWZCkWIIuapMTJfv0o+SPtWuww7CKLIvlIPpO8uj40muyF8wpMSYuznBJhOFTKbEv643n9&#10;5YISH5ipmAYjSnoUnl4vP3+6au1CTKAGXQlHEMT4RWtLWodgF1nmeS0a5s/ACoNKCa5hAUW3zSrH&#10;WkRvdDbJ83nWgqusAy68x9fbTkmXCV9KwcODlF4EokuKuYV0unRu4pktr9hi65itFe/TYP+QRcOU&#10;waAj1C0LjOycegfVKO7AgwxnHJoMpFRcpBqwmiL/o5qnmlmRakFyvB1p8v8Plt/vn+yjQxpa6xce&#10;r7GKg3RN/GJ+5JDIOo5kiUMgHB/n89n0AinlqJqfzy+LRGZ2crbOh68CGhIvJRVaK+tjOWzB9nc+&#10;YEy0HqziswetqrXSOgmxBcSNdmTP8OdttkX8WejxxkqbaGsgenXq+JKdikm3cNQi2mnzXUiiKkx/&#10;khJJfXYKwjgXJhSdqmaV6GIXszwfqhs9Ui4JMCJLjD9i9wBvCxiwuyx7++gqUpuOzvnfEuucR48U&#10;GUwYnRtlwH0EoLGqPnJnP5DUURNZ2kB1fHTEQTck3vK1wj93x3x4ZA6nAn82Tnp4wENqaEsK/Y2S&#10;Gtyvj96jPTYrailpccpK6n/umBOU6G8G2/iymE7jWCZhOjufoOBeazavNWbX3AD2QoE7xfJ0jfZB&#10;D1fpoHnBhbCKUVHFDMfYJeXBDcJN6KYfVwoXq1Uyw1G0LNyZJ8sjeGQ1tuXz4YU527dvwL6/h2Ei&#10;37VwZxs9Dax2AaRK/X3itecbxzg1Tr9y4p54LSer02Jc/gYAAP//AwBQSwMEFAAGAAgAAAAhALNH&#10;QWnhAAAACQEAAA8AAABkcnMvZG93bnJldi54bWxMj8tOwzAQRfdI/IM1SOyok4ZUbYhTIV6b8lBT&#10;JMTOTYYkajyObLcJf8+wguXoHt05N19PphcndL6zpCCeRSCQKlt31Ch43z1eLUH4oKnWvSVU8I0e&#10;1sX5Wa6z2o60xVMZGsEl5DOtoA1hyKT0VYtG+5kdkDj7ss7owKdrZO30yOWml/MoWkijO+IPrR7w&#10;rsXqUB6NgueP10Pi0qf7t5eHzVhGSdqVm0+lLi+m2xsQAafwB8OvPqtDwU57e6Tai17BMl6ljCpI&#10;eRLnq/l1AmLPYBwvQBa5/L+g+AEAAP//AwBQSwECLQAUAAYACAAAACEAtoM4kv4AAADhAQAAEwAA&#10;AAAAAAAAAAAAAAAAAAAAW0NvbnRlbnRfVHlwZXNdLnhtbFBLAQItABQABgAIAAAAIQA4/SH/1gAA&#10;AJQBAAALAAAAAAAAAAAAAAAAAC8BAABfcmVscy8ucmVsc1BLAQItABQABgAIAAAAIQCef2dlfAIA&#10;AGAFAAAOAAAAAAAAAAAAAAAAAC4CAABkcnMvZTJvRG9jLnhtbFBLAQItABQABgAIAAAAIQCzR0Fp&#10;4QAAAAkBAAAPAAAAAAAAAAAAAAAAANYEAABkcnMvZG93bnJldi54bWxQSwUGAAAAAAQABADzAAAA&#10;5AUAAAAA&#10;" fillcolor="white [3212]" stroked="f" strokeweight="1pt">
                <v:stroke joinstyle="miter"/>
              </v:oval>
            </w:pict>
          </mc:Fallback>
        </mc:AlternateContent>
      </w:r>
      <w:r w:rsidRPr="00E53B29">
        <w:rPr>
          <w:rFonts w:ascii="Calibri" w:hAnsi="Calibri" w:cs="Calibri"/>
          <w:b/>
          <w:bCs/>
          <w:i/>
          <w:iCs/>
          <w:noProof/>
          <w:color w:val="2F5496" w:themeColor="accent1" w:themeShade="BF"/>
          <w:sz w:val="26"/>
          <w:szCs w:val="26"/>
        </w:rPr>
        <w:drawing>
          <wp:anchor distT="0" distB="0" distL="114300" distR="114300" simplePos="0" relativeHeight="251894784" behindDoc="0" locked="0" layoutInCell="1" allowOverlap="1" wp14:anchorId="7D78BE2E" wp14:editId="2BB0BC18">
            <wp:simplePos x="0" y="0"/>
            <wp:positionH relativeFrom="column">
              <wp:posOffset>5280025</wp:posOffset>
            </wp:positionH>
            <wp:positionV relativeFrom="paragraph">
              <wp:posOffset>140970</wp:posOffset>
            </wp:positionV>
            <wp:extent cx="582930" cy="508000"/>
            <wp:effectExtent l="0" t="0" r="7620" b="6350"/>
            <wp:wrapNone/>
            <wp:docPr id="1842888710" name="Image 1" descr="Une image contenant clipart, croquis, dessin humoristique, dess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888710" name="Image 1" descr="Une image contenant clipart, croquis, dessin humoristique, dessin&#10;&#10;Description générée automatiquement"/>
                    <pic:cNvPicPr/>
                  </pic:nvPicPr>
                  <pic:blipFill>
                    <a:blip r:embed="rId13">
                      <a:extLst>
                        <a:ext uri="{28A0092B-C50C-407E-A947-70E740481C1C}">
                          <a14:useLocalDpi xmlns:a14="http://schemas.microsoft.com/office/drawing/2010/main" val="0"/>
                        </a:ext>
                      </a:extLst>
                    </a:blip>
                    <a:stretch>
                      <a:fillRect/>
                    </a:stretch>
                  </pic:blipFill>
                  <pic:spPr>
                    <a:xfrm>
                      <a:off x="0" y="0"/>
                      <a:ext cx="582930" cy="508000"/>
                    </a:xfrm>
                    <a:prstGeom prst="rect">
                      <a:avLst/>
                    </a:prstGeom>
                  </pic:spPr>
                </pic:pic>
              </a:graphicData>
            </a:graphic>
            <wp14:sizeRelH relativeFrom="page">
              <wp14:pctWidth>0</wp14:pctWidth>
            </wp14:sizeRelH>
            <wp14:sizeRelV relativeFrom="page">
              <wp14:pctHeight>0</wp14:pctHeight>
            </wp14:sizeRelV>
          </wp:anchor>
        </w:drawing>
      </w:r>
      <w:r w:rsidR="007A6459" w:rsidRPr="005A6959">
        <w:rPr>
          <w:rFonts w:ascii="Calibri" w:hAnsi="Calibri" w:cs="Calibri"/>
          <w:b/>
          <w:bCs/>
          <w:noProof/>
        </w:rPr>
        <mc:AlternateContent>
          <mc:Choice Requires="wps">
            <w:drawing>
              <wp:anchor distT="45720" distB="45720" distL="114300" distR="114300" simplePos="0" relativeHeight="251707392" behindDoc="0" locked="0" layoutInCell="1" allowOverlap="1" wp14:anchorId="100122C4" wp14:editId="7E03397D">
                <wp:simplePos x="0" y="0"/>
                <wp:positionH relativeFrom="margin">
                  <wp:align>right</wp:align>
                </wp:positionH>
                <wp:positionV relativeFrom="paragraph">
                  <wp:posOffset>231140</wp:posOffset>
                </wp:positionV>
                <wp:extent cx="5381625" cy="2065655"/>
                <wp:effectExtent l="0" t="0" r="28575" b="1079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1625" cy="2065867"/>
                        </a:xfrm>
                        <a:prstGeom prst="roundRect">
                          <a:avLst/>
                        </a:prstGeom>
                        <a:solidFill>
                          <a:srgbClr val="C9CAE5"/>
                        </a:solidFill>
                        <a:ln w="9525">
                          <a:solidFill>
                            <a:schemeClr val="accent1">
                              <a:lumMod val="20000"/>
                              <a:lumOff val="80000"/>
                            </a:schemeClr>
                          </a:solidFill>
                          <a:miter lim="800000"/>
                          <a:headEnd/>
                          <a:tailEnd/>
                        </a:ln>
                      </wps:spPr>
                      <wps:txbx>
                        <w:txbxContent>
                          <w:p w14:paraId="6ECE4409" w14:textId="0D8A2333" w:rsidR="00687930" w:rsidRDefault="00E53B29">
                            <w:pPr>
                              <w:rPr>
                                <w:rFonts w:asciiTheme="minorHAnsi" w:hAnsiTheme="minorHAnsi" w:cstheme="minorHAnsi"/>
                                <w:b/>
                                <w:bCs/>
                                <w:color w:val="2C2D5B"/>
                                <w:sz w:val="22"/>
                                <w:szCs w:val="22"/>
                              </w:rPr>
                            </w:pPr>
                            <w:r>
                              <w:rPr>
                                <w:rFonts w:asciiTheme="minorHAnsi" w:hAnsiTheme="minorHAnsi" w:cstheme="minorHAnsi"/>
                                <w:b/>
                                <w:bCs/>
                                <w:color w:val="2C2D5B"/>
                                <w:sz w:val="22"/>
                                <w:szCs w:val="22"/>
                              </w:rPr>
                              <w:t xml:space="preserve">          </w:t>
                            </w:r>
                            <w:r w:rsidR="00687930" w:rsidRPr="001422B3">
                              <w:rPr>
                                <w:rFonts w:asciiTheme="minorHAnsi" w:hAnsiTheme="minorHAnsi" w:cstheme="minorHAnsi"/>
                                <w:b/>
                                <w:bCs/>
                                <w:color w:val="2C2D5B"/>
                                <w:sz w:val="22"/>
                                <w:szCs w:val="22"/>
                              </w:rPr>
                              <w:t>Key EU Treaty Provisions on Fundamental Rights</w:t>
                            </w:r>
                            <w:r w:rsidR="001C2E69" w:rsidRPr="001422B3">
                              <w:rPr>
                                <w:rFonts w:asciiTheme="minorHAnsi" w:hAnsiTheme="minorHAnsi" w:cstheme="minorHAnsi"/>
                                <w:b/>
                                <w:bCs/>
                                <w:color w:val="2C2D5B"/>
                                <w:sz w:val="22"/>
                                <w:szCs w:val="22"/>
                              </w:rPr>
                              <w:t xml:space="preserve"> </w:t>
                            </w:r>
                            <w:r w:rsidR="00687930" w:rsidRPr="001422B3">
                              <w:rPr>
                                <w:rFonts w:asciiTheme="minorHAnsi" w:hAnsiTheme="minorHAnsi" w:cstheme="minorHAnsi"/>
                                <w:b/>
                                <w:bCs/>
                                <w:color w:val="2C2D5B"/>
                                <w:sz w:val="22"/>
                                <w:szCs w:val="22"/>
                              </w:rPr>
                              <w:t xml:space="preserve">: </w:t>
                            </w:r>
                          </w:p>
                          <w:p w14:paraId="390B45A5" w14:textId="77777777" w:rsidR="007A6459" w:rsidRPr="001422B3" w:rsidRDefault="007A6459">
                            <w:pPr>
                              <w:rPr>
                                <w:rFonts w:asciiTheme="minorHAnsi" w:hAnsiTheme="minorHAnsi" w:cstheme="minorHAnsi"/>
                                <w:b/>
                                <w:bCs/>
                                <w:color w:val="2C2D5B"/>
                                <w:sz w:val="22"/>
                                <w:szCs w:val="22"/>
                              </w:rPr>
                            </w:pPr>
                          </w:p>
                          <w:p w14:paraId="78EEADB9" w14:textId="0C1E43A5" w:rsidR="00687930" w:rsidRPr="001422B3" w:rsidRDefault="00687930" w:rsidP="008B4B98">
                            <w:pPr>
                              <w:pStyle w:val="Odstavecseseznamem"/>
                              <w:numPr>
                                <w:ilvl w:val="0"/>
                                <w:numId w:val="2"/>
                              </w:numPr>
                              <w:jc w:val="both"/>
                              <w:rPr>
                                <w:rFonts w:asciiTheme="minorHAnsi" w:hAnsiTheme="minorHAnsi" w:cstheme="minorHAnsi"/>
                                <w:color w:val="2C2D5B"/>
                                <w:sz w:val="22"/>
                                <w:szCs w:val="22"/>
                              </w:rPr>
                            </w:pPr>
                            <w:r w:rsidRPr="001422B3">
                              <w:rPr>
                                <w:rFonts w:asciiTheme="minorHAnsi" w:hAnsiTheme="minorHAnsi" w:cstheme="minorHAnsi"/>
                                <w:color w:val="2C2D5B"/>
                                <w:sz w:val="22"/>
                                <w:szCs w:val="22"/>
                              </w:rPr>
                              <w:t>Art 2 TEU</w:t>
                            </w:r>
                            <w:r w:rsidR="001C2E69" w:rsidRPr="001422B3">
                              <w:rPr>
                                <w:rFonts w:asciiTheme="minorHAnsi" w:hAnsiTheme="minorHAnsi" w:cstheme="minorHAnsi"/>
                                <w:color w:val="2C2D5B"/>
                                <w:sz w:val="22"/>
                                <w:szCs w:val="22"/>
                              </w:rPr>
                              <w:t xml:space="preserve"> </w:t>
                            </w:r>
                            <w:r w:rsidRPr="001422B3">
                              <w:rPr>
                                <w:rFonts w:asciiTheme="minorHAnsi" w:hAnsiTheme="minorHAnsi" w:cstheme="minorHAnsi"/>
                                <w:color w:val="2C2D5B"/>
                                <w:sz w:val="22"/>
                                <w:szCs w:val="22"/>
                              </w:rPr>
                              <w:t xml:space="preserve">: Defines the EU’s foundational values, including respect for human rights, democracy and the rule of law. </w:t>
                            </w:r>
                          </w:p>
                          <w:p w14:paraId="7E6F256E" w14:textId="0015CF49" w:rsidR="00687930" w:rsidRPr="001422B3" w:rsidRDefault="00687930" w:rsidP="008B4B98">
                            <w:pPr>
                              <w:pStyle w:val="Odstavecseseznamem"/>
                              <w:numPr>
                                <w:ilvl w:val="0"/>
                                <w:numId w:val="2"/>
                              </w:numPr>
                              <w:jc w:val="both"/>
                              <w:rPr>
                                <w:rFonts w:asciiTheme="minorHAnsi" w:hAnsiTheme="minorHAnsi" w:cstheme="minorHAnsi"/>
                                <w:color w:val="2C2D5B"/>
                                <w:sz w:val="22"/>
                                <w:szCs w:val="22"/>
                              </w:rPr>
                            </w:pPr>
                            <w:r w:rsidRPr="001422B3">
                              <w:rPr>
                                <w:rFonts w:asciiTheme="minorHAnsi" w:hAnsiTheme="minorHAnsi" w:cstheme="minorHAnsi"/>
                                <w:color w:val="2C2D5B"/>
                                <w:sz w:val="22"/>
                                <w:szCs w:val="22"/>
                              </w:rPr>
                              <w:t>Art 49 TEU</w:t>
                            </w:r>
                            <w:r w:rsidR="001C2E69" w:rsidRPr="001422B3">
                              <w:rPr>
                                <w:rFonts w:asciiTheme="minorHAnsi" w:hAnsiTheme="minorHAnsi" w:cstheme="minorHAnsi"/>
                                <w:color w:val="2C2D5B"/>
                                <w:sz w:val="22"/>
                                <w:szCs w:val="22"/>
                              </w:rPr>
                              <w:t xml:space="preserve"> </w:t>
                            </w:r>
                            <w:r w:rsidRPr="001422B3">
                              <w:rPr>
                                <w:rFonts w:asciiTheme="minorHAnsi" w:hAnsiTheme="minorHAnsi" w:cstheme="minorHAnsi"/>
                                <w:color w:val="2C2D5B"/>
                                <w:sz w:val="22"/>
                                <w:szCs w:val="22"/>
                              </w:rPr>
                              <w:t xml:space="preserve">: Requires prospective EU member States to demonstrate respect for these values as a condition of membership. </w:t>
                            </w:r>
                          </w:p>
                          <w:p w14:paraId="49C64780" w14:textId="5FBDDBCA" w:rsidR="00687930" w:rsidRPr="001422B3" w:rsidRDefault="00687930" w:rsidP="008B4B98">
                            <w:pPr>
                              <w:pStyle w:val="Odstavecseseznamem"/>
                              <w:numPr>
                                <w:ilvl w:val="0"/>
                                <w:numId w:val="2"/>
                              </w:numPr>
                              <w:jc w:val="both"/>
                              <w:rPr>
                                <w:rFonts w:asciiTheme="minorHAnsi" w:hAnsiTheme="minorHAnsi" w:cstheme="minorHAnsi"/>
                                <w:color w:val="2C2D5B"/>
                                <w:sz w:val="22"/>
                                <w:szCs w:val="22"/>
                              </w:rPr>
                            </w:pPr>
                            <w:r w:rsidRPr="001422B3">
                              <w:rPr>
                                <w:rFonts w:asciiTheme="minorHAnsi" w:hAnsiTheme="minorHAnsi" w:cstheme="minorHAnsi"/>
                                <w:color w:val="2C2D5B"/>
                                <w:sz w:val="22"/>
                                <w:szCs w:val="22"/>
                              </w:rPr>
                              <w:t>Art  7 TEU</w:t>
                            </w:r>
                            <w:r w:rsidR="001C2E69" w:rsidRPr="001422B3">
                              <w:rPr>
                                <w:rFonts w:asciiTheme="minorHAnsi" w:hAnsiTheme="minorHAnsi" w:cstheme="minorHAnsi"/>
                                <w:color w:val="2C2D5B"/>
                                <w:sz w:val="22"/>
                                <w:szCs w:val="22"/>
                              </w:rPr>
                              <w:t xml:space="preserve"> </w:t>
                            </w:r>
                            <w:r w:rsidRPr="001422B3">
                              <w:rPr>
                                <w:rFonts w:asciiTheme="minorHAnsi" w:hAnsiTheme="minorHAnsi" w:cstheme="minorHAnsi"/>
                                <w:color w:val="2C2D5B"/>
                                <w:sz w:val="22"/>
                                <w:szCs w:val="22"/>
                              </w:rPr>
                              <w:t xml:space="preserve">: </w:t>
                            </w:r>
                            <w:r w:rsidR="00A17A18" w:rsidRPr="001422B3">
                              <w:rPr>
                                <w:rFonts w:asciiTheme="minorHAnsi" w:hAnsiTheme="minorHAnsi" w:cstheme="minorHAnsi"/>
                                <w:color w:val="2C2D5B"/>
                                <w:sz w:val="22"/>
                                <w:szCs w:val="22"/>
                              </w:rPr>
                              <w:t>provides a mechanism to ensure that EU Member States uphold the Union's fundamental values, allowing for preventive measures or sanctions, including suspending certain membership rights, if a Member State risks breaching or seriously violates these values.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100122C4" id="Zone de texte 2" o:spid="_x0000_s1026" style="position:absolute;margin-left:372.55pt;margin-top:18.2pt;width:423.75pt;height:162.65pt;z-index:25170739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umpOQIAAGMEAAAOAAAAZHJzL2Uyb0RvYy54bWysVNtu2zAMfR+wfxD0vtjJ4jQx4hRZ2g4D&#10;ugvW7QNkWY6FSaInKbHbrx8lO2m6vg17EURSPjwkD72+7rUiR2GdBFPQ6SSlRBgOlTT7gv78cfdu&#10;SYnzzFRMgREFfRSOXm/evll3bS5m0ICqhCUIYlzetQVtvG/zJHG8EZq5CbTCYLAGq5lH0+6TyrIO&#10;0bVKZmm6SDqwVWuBC+fQezME6Sbi17Xg/mtdO+GJKihy8/G08SzDmWzWLN9b1jaSjzTYP7DQTBpM&#10;eoa6YZ6Rg5WvoLTkFhzUfsJBJ1DXkotYA1YzTf+q5qFhrYi1YHNce26T+3+w/Mvxof1mie8/QI8D&#10;jEW49h74L0cM7Bpm9mJrLXSNYBUmnoaWJV3r8vHT0GqXuwBSdp+hwiGzg4cI1NdWh65gnQTRcQCP&#10;56aL3hOOzuz9crqYZZRwjM3SRbZcXMUcLD993lrnPwrQJFwKauFgqu842piDHe+dD5xYfnoXUjpQ&#10;srqTSkXD7sudsuTIUAa71W57m40pXjxThnQFXWXI5jVEUKQ4gzDOhfFDu9RBY90DOGoyHVWFbtTe&#10;4F6e3MgyajsgRc4vCGjpcRuU1AWNX4xIofW3popa9Uyq4Y5QyoyzCO0fBuH7sseHYSYlVI84FQuD&#10;6nFL8dKAfaKkQ8UX1P0+MCsoUZ8MTnY1nc/DikRjnl3N0LCXkfIywgxHqIJ6Sobrzse1Co0zsEUF&#10;1DKO5ZnJyBWVHCsfty6syqUdXz3/GzZ/AAAA//8DAFBLAwQUAAYACAAAACEAjK5wu98AAAAHAQAA&#10;DwAAAGRycy9kb3ducmV2LnhtbEyPwU7DMBBE70j8g7VI3KgTGtIS4lRVJYTEAakFIfXmxEscYa+T&#10;2G3C3+Oe4Lgzo5m35Wa2hp1x9J0jAekiAYbUONVRK+Dj/fluDcwHSUoaRyjgBz1squurUhbKTbTH&#10;8yG0LJaQL6QAHUJfcO4bjVb6heuRovflRitDPMeWq1FOsdwafp8kObeyo7igZY87jc334WQFvJh0&#10;csPnmz5mr7s8rR+HY7IfhLi9mbdPwALO4S8MF/yIDlVkqt2JlGdGQHwkCFjmGbDorrPVA7D6IqQr&#10;4FXJ//NXvwAAAP//AwBQSwECLQAUAAYACAAAACEAtoM4kv4AAADhAQAAEwAAAAAAAAAAAAAAAAAA&#10;AAAAW0NvbnRlbnRfVHlwZXNdLnhtbFBLAQItABQABgAIAAAAIQA4/SH/1gAAAJQBAAALAAAAAAAA&#10;AAAAAAAAAC8BAABfcmVscy8ucmVsc1BLAQItABQABgAIAAAAIQBZyumpOQIAAGMEAAAOAAAAAAAA&#10;AAAAAAAAAC4CAABkcnMvZTJvRG9jLnhtbFBLAQItABQABgAIAAAAIQCMrnC73wAAAAcBAAAPAAAA&#10;AAAAAAAAAAAAAJMEAABkcnMvZG93bnJldi54bWxQSwUGAAAAAAQABADzAAAAnwUAAAAA&#10;" fillcolor="#c9cae5" strokecolor="#d9e2f3 [660]">
                <v:stroke joinstyle="miter"/>
                <v:textbox>
                  <w:txbxContent>
                    <w:p w14:paraId="6ECE4409" w14:textId="0D8A2333" w:rsidR="00687930" w:rsidRDefault="00E53B29">
                      <w:pPr>
                        <w:rPr>
                          <w:rFonts w:asciiTheme="minorHAnsi" w:hAnsiTheme="minorHAnsi" w:cstheme="minorHAnsi"/>
                          <w:b/>
                          <w:bCs/>
                          <w:color w:val="2C2D5B"/>
                          <w:sz w:val="22"/>
                          <w:szCs w:val="22"/>
                        </w:rPr>
                      </w:pPr>
                      <w:r>
                        <w:rPr>
                          <w:rFonts w:asciiTheme="minorHAnsi" w:hAnsiTheme="minorHAnsi" w:cstheme="minorHAnsi"/>
                          <w:b/>
                          <w:bCs/>
                          <w:color w:val="2C2D5B"/>
                          <w:sz w:val="22"/>
                          <w:szCs w:val="22"/>
                        </w:rPr>
                        <w:t xml:space="preserve">          </w:t>
                      </w:r>
                      <w:r w:rsidR="00687930" w:rsidRPr="001422B3">
                        <w:rPr>
                          <w:rFonts w:asciiTheme="minorHAnsi" w:hAnsiTheme="minorHAnsi" w:cstheme="minorHAnsi"/>
                          <w:b/>
                          <w:bCs/>
                          <w:color w:val="2C2D5B"/>
                          <w:sz w:val="22"/>
                          <w:szCs w:val="22"/>
                        </w:rPr>
                        <w:t>Key EU Treaty Provisions on Fundamental Rights</w:t>
                      </w:r>
                      <w:r w:rsidR="001C2E69" w:rsidRPr="001422B3">
                        <w:rPr>
                          <w:rFonts w:asciiTheme="minorHAnsi" w:hAnsiTheme="minorHAnsi" w:cstheme="minorHAnsi"/>
                          <w:b/>
                          <w:bCs/>
                          <w:color w:val="2C2D5B"/>
                          <w:sz w:val="22"/>
                          <w:szCs w:val="22"/>
                        </w:rPr>
                        <w:t xml:space="preserve"> </w:t>
                      </w:r>
                      <w:r w:rsidR="00687930" w:rsidRPr="001422B3">
                        <w:rPr>
                          <w:rFonts w:asciiTheme="minorHAnsi" w:hAnsiTheme="minorHAnsi" w:cstheme="minorHAnsi"/>
                          <w:b/>
                          <w:bCs/>
                          <w:color w:val="2C2D5B"/>
                          <w:sz w:val="22"/>
                          <w:szCs w:val="22"/>
                        </w:rPr>
                        <w:t xml:space="preserve">: </w:t>
                      </w:r>
                    </w:p>
                    <w:p w14:paraId="390B45A5" w14:textId="77777777" w:rsidR="007A6459" w:rsidRPr="001422B3" w:rsidRDefault="007A6459">
                      <w:pPr>
                        <w:rPr>
                          <w:rFonts w:asciiTheme="minorHAnsi" w:hAnsiTheme="minorHAnsi" w:cstheme="minorHAnsi"/>
                          <w:b/>
                          <w:bCs/>
                          <w:color w:val="2C2D5B"/>
                          <w:sz w:val="22"/>
                          <w:szCs w:val="22"/>
                        </w:rPr>
                      </w:pPr>
                    </w:p>
                    <w:p w14:paraId="78EEADB9" w14:textId="0C1E43A5" w:rsidR="00687930" w:rsidRPr="001422B3" w:rsidRDefault="00687930" w:rsidP="008B4B98">
                      <w:pPr>
                        <w:pStyle w:val="Paragraphedeliste"/>
                        <w:numPr>
                          <w:ilvl w:val="0"/>
                          <w:numId w:val="2"/>
                        </w:numPr>
                        <w:jc w:val="both"/>
                        <w:rPr>
                          <w:rFonts w:asciiTheme="minorHAnsi" w:hAnsiTheme="minorHAnsi" w:cstheme="minorHAnsi"/>
                          <w:color w:val="2C2D5B"/>
                          <w:sz w:val="22"/>
                          <w:szCs w:val="22"/>
                        </w:rPr>
                      </w:pPr>
                      <w:r w:rsidRPr="001422B3">
                        <w:rPr>
                          <w:rFonts w:asciiTheme="minorHAnsi" w:hAnsiTheme="minorHAnsi" w:cstheme="minorHAnsi"/>
                          <w:color w:val="2C2D5B"/>
                          <w:sz w:val="22"/>
                          <w:szCs w:val="22"/>
                        </w:rPr>
                        <w:t>Art 2 TEU</w:t>
                      </w:r>
                      <w:r w:rsidR="001C2E69" w:rsidRPr="001422B3">
                        <w:rPr>
                          <w:rFonts w:asciiTheme="minorHAnsi" w:hAnsiTheme="minorHAnsi" w:cstheme="minorHAnsi"/>
                          <w:color w:val="2C2D5B"/>
                          <w:sz w:val="22"/>
                          <w:szCs w:val="22"/>
                        </w:rPr>
                        <w:t xml:space="preserve"> </w:t>
                      </w:r>
                      <w:r w:rsidRPr="001422B3">
                        <w:rPr>
                          <w:rFonts w:asciiTheme="minorHAnsi" w:hAnsiTheme="minorHAnsi" w:cstheme="minorHAnsi"/>
                          <w:color w:val="2C2D5B"/>
                          <w:sz w:val="22"/>
                          <w:szCs w:val="22"/>
                        </w:rPr>
                        <w:t xml:space="preserve">: Defines the EU’s foundational values, including respect for human rights, democracy and the rule of law. </w:t>
                      </w:r>
                    </w:p>
                    <w:p w14:paraId="7E6F256E" w14:textId="0015CF49" w:rsidR="00687930" w:rsidRPr="001422B3" w:rsidRDefault="00687930" w:rsidP="008B4B98">
                      <w:pPr>
                        <w:pStyle w:val="Paragraphedeliste"/>
                        <w:numPr>
                          <w:ilvl w:val="0"/>
                          <w:numId w:val="2"/>
                        </w:numPr>
                        <w:jc w:val="both"/>
                        <w:rPr>
                          <w:rFonts w:asciiTheme="minorHAnsi" w:hAnsiTheme="minorHAnsi" w:cstheme="minorHAnsi"/>
                          <w:color w:val="2C2D5B"/>
                          <w:sz w:val="22"/>
                          <w:szCs w:val="22"/>
                        </w:rPr>
                      </w:pPr>
                      <w:r w:rsidRPr="001422B3">
                        <w:rPr>
                          <w:rFonts w:asciiTheme="minorHAnsi" w:hAnsiTheme="minorHAnsi" w:cstheme="minorHAnsi"/>
                          <w:color w:val="2C2D5B"/>
                          <w:sz w:val="22"/>
                          <w:szCs w:val="22"/>
                        </w:rPr>
                        <w:t>Art 49 TEU</w:t>
                      </w:r>
                      <w:r w:rsidR="001C2E69" w:rsidRPr="001422B3">
                        <w:rPr>
                          <w:rFonts w:asciiTheme="minorHAnsi" w:hAnsiTheme="minorHAnsi" w:cstheme="minorHAnsi"/>
                          <w:color w:val="2C2D5B"/>
                          <w:sz w:val="22"/>
                          <w:szCs w:val="22"/>
                        </w:rPr>
                        <w:t xml:space="preserve"> </w:t>
                      </w:r>
                      <w:r w:rsidRPr="001422B3">
                        <w:rPr>
                          <w:rFonts w:asciiTheme="minorHAnsi" w:hAnsiTheme="minorHAnsi" w:cstheme="minorHAnsi"/>
                          <w:color w:val="2C2D5B"/>
                          <w:sz w:val="22"/>
                          <w:szCs w:val="22"/>
                        </w:rPr>
                        <w:t xml:space="preserve">: Requires prospective EU member States to demonstrate respect for these values as a condition of membership. </w:t>
                      </w:r>
                    </w:p>
                    <w:p w14:paraId="49C64780" w14:textId="5FBDDBCA" w:rsidR="00687930" w:rsidRPr="001422B3" w:rsidRDefault="00687930" w:rsidP="008B4B98">
                      <w:pPr>
                        <w:pStyle w:val="Paragraphedeliste"/>
                        <w:numPr>
                          <w:ilvl w:val="0"/>
                          <w:numId w:val="2"/>
                        </w:numPr>
                        <w:jc w:val="both"/>
                        <w:rPr>
                          <w:rFonts w:asciiTheme="minorHAnsi" w:hAnsiTheme="minorHAnsi" w:cstheme="minorHAnsi"/>
                          <w:color w:val="2C2D5B"/>
                          <w:sz w:val="22"/>
                          <w:szCs w:val="22"/>
                        </w:rPr>
                      </w:pPr>
                      <w:r w:rsidRPr="001422B3">
                        <w:rPr>
                          <w:rFonts w:asciiTheme="minorHAnsi" w:hAnsiTheme="minorHAnsi" w:cstheme="minorHAnsi"/>
                          <w:color w:val="2C2D5B"/>
                          <w:sz w:val="22"/>
                          <w:szCs w:val="22"/>
                        </w:rPr>
                        <w:t>Art  7 TEU</w:t>
                      </w:r>
                      <w:r w:rsidR="001C2E69" w:rsidRPr="001422B3">
                        <w:rPr>
                          <w:rFonts w:asciiTheme="minorHAnsi" w:hAnsiTheme="minorHAnsi" w:cstheme="minorHAnsi"/>
                          <w:color w:val="2C2D5B"/>
                          <w:sz w:val="22"/>
                          <w:szCs w:val="22"/>
                        </w:rPr>
                        <w:t xml:space="preserve"> </w:t>
                      </w:r>
                      <w:r w:rsidRPr="001422B3">
                        <w:rPr>
                          <w:rFonts w:asciiTheme="minorHAnsi" w:hAnsiTheme="minorHAnsi" w:cstheme="minorHAnsi"/>
                          <w:color w:val="2C2D5B"/>
                          <w:sz w:val="22"/>
                          <w:szCs w:val="22"/>
                        </w:rPr>
                        <w:t xml:space="preserve">: </w:t>
                      </w:r>
                      <w:r w:rsidR="00A17A18" w:rsidRPr="001422B3">
                        <w:rPr>
                          <w:rFonts w:asciiTheme="minorHAnsi" w:hAnsiTheme="minorHAnsi" w:cstheme="minorHAnsi"/>
                          <w:color w:val="2C2D5B"/>
                          <w:sz w:val="22"/>
                          <w:szCs w:val="22"/>
                        </w:rPr>
                        <w:t>provides a mechanism to ensure that EU Member States uphold the Union's fundamental values, allowing for preventive measures or sanctions, including suspending certain membership rights, if a Member State risks breaching or seriously violates these values.</w:t>
                      </w:r>
                    </w:p>
                  </w:txbxContent>
                </v:textbox>
                <w10:wrap type="square" anchorx="margin"/>
              </v:roundrect>
            </w:pict>
          </mc:Fallback>
        </mc:AlternateContent>
      </w:r>
    </w:p>
    <w:p w14:paraId="32F0D0F5" w14:textId="1D9FC3F2" w:rsidR="00E52B12" w:rsidRPr="00FD352D" w:rsidRDefault="00E52B12" w:rsidP="00E52B12">
      <w:pPr>
        <w:pStyle w:val="Nadpis2"/>
        <w:rPr>
          <w:rFonts w:asciiTheme="minorHAnsi" w:hAnsiTheme="minorHAnsi" w:cstheme="minorHAnsi"/>
          <w:sz w:val="32"/>
          <w:szCs w:val="32"/>
        </w:rPr>
      </w:pPr>
    </w:p>
    <w:p w14:paraId="7A2F096C" w14:textId="77777777" w:rsidR="005361C5" w:rsidRDefault="00AD273A" w:rsidP="000D7E1A">
      <w:pPr>
        <w:spacing w:after="120" w:line="276" w:lineRule="auto"/>
        <w:jc w:val="both"/>
        <w:rPr>
          <w:rFonts w:ascii="Calibri" w:hAnsi="Calibri" w:cs="Calibri"/>
          <w:i/>
          <w:iCs/>
          <w:color w:val="2F5496" w:themeColor="accent1" w:themeShade="BF"/>
          <w:sz w:val="26"/>
          <w:szCs w:val="26"/>
        </w:rPr>
      </w:pPr>
      <w:r w:rsidRPr="00FD352D">
        <w:rPr>
          <w:rFonts w:ascii="Calibri" w:hAnsi="Calibri" w:cs="Calibri"/>
          <w:b/>
          <w:bCs/>
          <w:i/>
          <w:iCs/>
          <w:color w:val="2F5496" w:themeColor="accent1" w:themeShade="BF"/>
          <w:sz w:val="26"/>
          <w:szCs w:val="26"/>
        </w:rPr>
        <w:t>Judicial Recognition of Fundamental Rights</w:t>
      </w:r>
    </w:p>
    <w:p w14:paraId="6D604B76" w14:textId="5BF50AAC" w:rsidR="00DA0751" w:rsidRPr="001422B3" w:rsidRDefault="0000203F" w:rsidP="000D7E1A">
      <w:pPr>
        <w:spacing w:after="120" w:line="276" w:lineRule="auto"/>
        <w:jc w:val="both"/>
        <w:rPr>
          <w:rFonts w:asciiTheme="majorHAnsi" w:hAnsiTheme="majorHAnsi" w:cstheme="majorHAnsi"/>
          <w:color w:val="2C2D5B"/>
        </w:rPr>
      </w:pPr>
      <w:r w:rsidRPr="001422B3">
        <w:rPr>
          <w:rFonts w:asciiTheme="majorHAnsi" w:hAnsiTheme="majorHAnsi" w:cstheme="majorHAnsi"/>
          <w:color w:val="2C2D5B"/>
        </w:rPr>
        <w:t xml:space="preserve">Few decades </w:t>
      </w:r>
      <w:r w:rsidR="00CB6313" w:rsidRPr="001422B3">
        <w:rPr>
          <w:rFonts w:asciiTheme="majorHAnsi" w:hAnsiTheme="majorHAnsi" w:cstheme="majorHAnsi"/>
          <w:color w:val="2C2D5B"/>
        </w:rPr>
        <w:t>on</w:t>
      </w:r>
      <w:r w:rsidRPr="001422B3">
        <w:rPr>
          <w:rFonts w:asciiTheme="majorHAnsi" w:hAnsiTheme="majorHAnsi" w:cstheme="majorHAnsi"/>
          <w:color w:val="2C2D5B"/>
        </w:rPr>
        <w:t xml:space="preserve">, </w:t>
      </w:r>
      <w:r w:rsidR="00EC2273" w:rsidRPr="001422B3">
        <w:rPr>
          <w:rFonts w:asciiTheme="majorHAnsi" w:hAnsiTheme="majorHAnsi" w:cstheme="majorHAnsi"/>
          <w:color w:val="2C2D5B"/>
        </w:rPr>
        <w:t xml:space="preserve">the Court of Justice of the European Union (CJEU) </w:t>
      </w:r>
      <w:r w:rsidR="00AD273A" w:rsidRPr="001422B3">
        <w:rPr>
          <w:rFonts w:asciiTheme="majorHAnsi" w:hAnsiTheme="majorHAnsi" w:cstheme="majorHAnsi"/>
          <w:color w:val="2C2D5B"/>
        </w:rPr>
        <w:t xml:space="preserve">established a framework for protecting </w:t>
      </w:r>
      <w:r w:rsidR="00EC2273" w:rsidRPr="001422B3">
        <w:rPr>
          <w:rFonts w:asciiTheme="majorHAnsi" w:hAnsiTheme="majorHAnsi" w:cstheme="majorHAnsi"/>
          <w:color w:val="2C2D5B"/>
        </w:rPr>
        <w:t xml:space="preserve">fundamental </w:t>
      </w:r>
      <w:r w:rsidR="00CB6313" w:rsidRPr="001422B3">
        <w:rPr>
          <w:rFonts w:asciiTheme="majorHAnsi" w:hAnsiTheme="majorHAnsi" w:cstheme="majorHAnsi"/>
          <w:color w:val="2C2D5B"/>
        </w:rPr>
        <w:t xml:space="preserve">rights </w:t>
      </w:r>
      <w:r w:rsidR="00AD273A" w:rsidRPr="001422B3">
        <w:rPr>
          <w:rFonts w:asciiTheme="majorHAnsi" w:hAnsiTheme="majorHAnsi" w:cstheme="majorHAnsi"/>
          <w:color w:val="2C2D5B"/>
        </w:rPr>
        <w:t xml:space="preserve">within the scope of </w:t>
      </w:r>
      <w:r w:rsidR="00EC2273" w:rsidRPr="001422B3">
        <w:rPr>
          <w:rFonts w:asciiTheme="majorHAnsi" w:hAnsiTheme="majorHAnsi" w:cstheme="majorHAnsi"/>
          <w:color w:val="2C2D5B"/>
        </w:rPr>
        <w:t>EU law</w:t>
      </w:r>
      <w:r w:rsidR="00AD273A" w:rsidRPr="001422B3">
        <w:rPr>
          <w:rFonts w:asciiTheme="majorHAnsi" w:hAnsiTheme="majorHAnsi" w:cstheme="majorHAnsi"/>
          <w:color w:val="2C2D5B"/>
        </w:rPr>
        <w:t xml:space="preserve">. </w:t>
      </w:r>
      <w:r w:rsidRPr="001422B3">
        <w:rPr>
          <w:rFonts w:asciiTheme="majorHAnsi" w:hAnsiTheme="majorHAnsi" w:cstheme="majorHAnsi"/>
          <w:color w:val="2C2D5B"/>
        </w:rPr>
        <w:t xml:space="preserve"> </w:t>
      </w:r>
      <w:r w:rsidR="00AD273A" w:rsidRPr="001422B3">
        <w:rPr>
          <w:rFonts w:asciiTheme="majorHAnsi" w:hAnsiTheme="majorHAnsi" w:cstheme="majorHAnsi"/>
          <w:color w:val="2C2D5B"/>
        </w:rPr>
        <w:t>In a series of landmark decisions, the CJEU recogni</w:t>
      </w:r>
      <w:r w:rsidR="00EA3740" w:rsidRPr="001422B3">
        <w:rPr>
          <w:rFonts w:asciiTheme="majorHAnsi" w:hAnsiTheme="majorHAnsi" w:cstheme="majorHAnsi"/>
          <w:color w:val="2C2D5B"/>
        </w:rPr>
        <w:t>s</w:t>
      </w:r>
      <w:r w:rsidR="00AD273A" w:rsidRPr="001422B3">
        <w:rPr>
          <w:rFonts w:asciiTheme="majorHAnsi" w:hAnsiTheme="majorHAnsi" w:cstheme="majorHAnsi"/>
          <w:color w:val="2C2D5B"/>
        </w:rPr>
        <w:t xml:space="preserve">ed that these rights form part of the EU’s general principles of law, ensuring their relevance and enforceability within the Union’s legal system. </w:t>
      </w:r>
    </w:p>
    <w:p w14:paraId="15A120FB" w14:textId="77777777" w:rsidR="00F2072F" w:rsidRDefault="00F2072F" w:rsidP="000D7E1A">
      <w:pPr>
        <w:spacing w:line="276" w:lineRule="auto"/>
        <w:jc w:val="both"/>
        <w:rPr>
          <w:rFonts w:ascii="Calibri" w:hAnsi="Calibri" w:cs="Calibri"/>
          <w:b/>
          <w:bCs/>
          <w:i/>
          <w:iCs/>
          <w:color w:val="2F5496" w:themeColor="accent1" w:themeShade="BF"/>
          <w:sz w:val="26"/>
          <w:szCs w:val="26"/>
        </w:rPr>
      </w:pPr>
    </w:p>
    <w:p w14:paraId="44F66EFD" w14:textId="4CF8D31D" w:rsidR="00F2072F" w:rsidRDefault="00F2072F" w:rsidP="000D7E1A">
      <w:pPr>
        <w:spacing w:line="276" w:lineRule="auto"/>
        <w:jc w:val="both"/>
        <w:rPr>
          <w:rFonts w:ascii="Calibri" w:hAnsi="Calibri" w:cs="Calibri"/>
          <w:b/>
          <w:bCs/>
          <w:i/>
          <w:iCs/>
          <w:color w:val="2F5496" w:themeColor="accent1" w:themeShade="BF"/>
          <w:sz w:val="26"/>
          <w:szCs w:val="26"/>
        </w:rPr>
      </w:pPr>
    </w:p>
    <w:p w14:paraId="57DB23DD" w14:textId="316C4C4E" w:rsidR="001422B3" w:rsidRDefault="001422B3" w:rsidP="000D7E1A">
      <w:pPr>
        <w:spacing w:line="276" w:lineRule="auto"/>
        <w:jc w:val="both"/>
        <w:rPr>
          <w:rFonts w:ascii="Calibri" w:hAnsi="Calibri" w:cs="Calibri"/>
          <w:b/>
          <w:bCs/>
          <w:i/>
          <w:iCs/>
          <w:color w:val="2F5496" w:themeColor="accent1" w:themeShade="BF"/>
          <w:sz w:val="26"/>
          <w:szCs w:val="26"/>
        </w:rPr>
      </w:pPr>
    </w:p>
    <w:p w14:paraId="2D777BF0" w14:textId="77777777" w:rsidR="001422B3" w:rsidRDefault="001422B3" w:rsidP="000D7E1A">
      <w:pPr>
        <w:spacing w:line="276" w:lineRule="auto"/>
        <w:jc w:val="both"/>
        <w:rPr>
          <w:rFonts w:ascii="Calibri" w:hAnsi="Calibri" w:cs="Calibri"/>
          <w:b/>
          <w:bCs/>
          <w:i/>
          <w:iCs/>
          <w:color w:val="2F5496" w:themeColor="accent1" w:themeShade="BF"/>
          <w:sz w:val="26"/>
          <w:szCs w:val="26"/>
        </w:rPr>
      </w:pPr>
    </w:p>
    <w:p w14:paraId="667474F9" w14:textId="77777777" w:rsidR="001422B3" w:rsidRDefault="001422B3" w:rsidP="000D7E1A">
      <w:pPr>
        <w:spacing w:line="276" w:lineRule="auto"/>
        <w:jc w:val="both"/>
        <w:rPr>
          <w:rFonts w:ascii="Calibri" w:hAnsi="Calibri" w:cs="Calibri"/>
          <w:b/>
          <w:bCs/>
          <w:i/>
          <w:iCs/>
          <w:color w:val="2F5496" w:themeColor="accent1" w:themeShade="BF"/>
          <w:sz w:val="26"/>
          <w:szCs w:val="26"/>
        </w:rPr>
      </w:pPr>
    </w:p>
    <w:p w14:paraId="6AC5100C" w14:textId="77777777" w:rsidR="001422B3" w:rsidRDefault="001422B3" w:rsidP="000D7E1A">
      <w:pPr>
        <w:spacing w:line="276" w:lineRule="auto"/>
        <w:jc w:val="both"/>
        <w:rPr>
          <w:rFonts w:ascii="Calibri" w:hAnsi="Calibri" w:cs="Calibri"/>
          <w:b/>
          <w:bCs/>
          <w:i/>
          <w:iCs/>
          <w:color w:val="2F5496" w:themeColor="accent1" w:themeShade="BF"/>
          <w:sz w:val="26"/>
          <w:szCs w:val="26"/>
        </w:rPr>
      </w:pPr>
    </w:p>
    <w:p w14:paraId="621DA006" w14:textId="77777777" w:rsidR="001422B3" w:rsidRDefault="001422B3" w:rsidP="000D7E1A">
      <w:pPr>
        <w:spacing w:line="276" w:lineRule="auto"/>
        <w:jc w:val="both"/>
        <w:rPr>
          <w:rFonts w:ascii="Calibri" w:hAnsi="Calibri" w:cs="Calibri"/>
          <w:b/>
          <w:bCs/>
          <w:i/>
          <w:iCs/>
          <w:color w:val="2F5496" w:themeColor="accent1" w:themeShade="BF"/>
          <w:sz w:val="26"/>
          <w:szCs w:val="26"/>
        </w:rPr>
      </w:pPr>
    </w:p>
    <w:p w14:paraId="37E443CB" w14:textId="77777777" w:rsidR="001422B3" w:rsidRDefault="001422B3" w:rsidP="000D7E1A">
      <w:pPr>
        <w:spacing w:line="276" w:lineRule="auto"/>
        <w:jc w:val="both"/>
        <w:rPr>
          <w:rFonts w:ascii="Calibri" w:hAnsi="Calibri" w:cs="Calibri"/>
          <w:b/>
          <w:bCs/>
          <w:i/>
          <w:iCs/>
          <w:color w:val="2F5496" w:themeColor="accent1" w:themeShade="BF"/>
          <w:sz w:val="26"/>
          <w:szCs w:val="26"/>
        </w:rPr>
      </w:pPr>
    </w:p>
    <w:p w14:paraId="472E41AD" w14:textId="77777777" w:rsidR="001422B3" w:rsidRDefault="001422B3" w:rsidP="000D7E1A">
      <w:pPr>
        <w:spacing w:line="276" w:lineRule="auto"/>
        <w:jc w:val="both"/>
        <w:rPr>
          <w:rFonts w:ascii="Calibri" w:hAnsi="Calibri" w:cs="Calibri"/>
          <w:b/>
          <w:bCs/>
          <w:i/>
          <w:iCs/>
          <w:color w:val="2F5496" w:themeColor="accent1" w:themeShade="BF"/>
          <w:sz w:val="26"/>
          <w:szCs w:val="26"/>
        </w:rPr>
      </w:pPr>
    </w:p>
    <w:p w14:paraId="44A3E971" w14:textId="77777777" w:rsidR="001422B3" w:rsidRDefault="001422B3" w:rsidP="000D7E1A">
      <w:pPr>
        <w:spacing w:line="276" w:lineRule="auto"/>
        <w:jc w:val="both"/>
        <w:rPr>
          <w:rFonts w:ascii="Calibri" w:hAnsi="Calibri" w:cs="Calibri"/>
          <w:b/>
          <w:bCs/>
          <w:i/>
          <w:iCs/>
          <w:color w:val="2F5496" w:themeColor="accent1" w:themeShade="BF"/>
          <w:sz w:val="26"/>
          <w:szCs w:val="26"/>
        </w:rPr>
      </w:pPr>
    </w:p>
    <w:p w14:paraId="1FFA2EE8" w14:textId="77777777" w:rsidR="001422B3" w:rsidRDefault="001422B3" w:rsidP="000D7E1A">
      <w:pPr>
        <w:spacing w:line="276" w:lineRule="auto"/>
        <w:jc w:val="both"/>
        <w:rPr>
          <w:rFonts w:ascii="Calibri" w:hAnsi="Calibri" w:cs="Calibri"/>
          <w:b/>
          <w:bCs/>
          <w:i/>
          <w:iCs/>
          <w:color w:val="2F5496" w:themeColor="accent1" w:themeShade="BF"/>
          <w:sz w:val="26"/>
          <w:szCs w:val="26"/>
        </w:rPr>
      </w:pPr>
    </w:p>
    <w:p w14:paraId="2B647B65" w14:textId="77777777" w:rsidR="001422B3" w:rsidRDefault="001422B3" w:rsidP="000D7E1A">
      <w:pPr>
        <w:spacing w:line="276" w:lineRule="auto"/>
        <w:jc w:val="both"/>
        <w:rPr>
          <w:rFonts w:ascii="Calibri" w:hAnsi="Calibri" w:cs="Calibri"/>
          <w:b/>
          <w:bCs/>
          <w:i/>
          <w:iCs/>
          <w:color w:val="2F5496" w:themeColor="accent1" w:themeShade="BF"/>
          <w:sz w:val="26"/>
          <w:szCs w:val="26"/>
        </w:rPr>
      </w:pPr>
    </w:p>
    <w:p w14:paraId="211F7550" w14:textId="77777777" w:rsidR="001422B3" w:rsidRDefault="001422B3" w:rsidP="000D7E1A">
      <w:pPr>
        <w:spacing w:line="276" w:lineRule="auto"/>
        <w:jc w:val="both"/>
        <w:rPr>
          <w:rFonts w:ascii="Calibri" w:hAnsi="Calibri" w:cs="Calibri"/>
          <w:b/>
          <w:bCs/>
          <w:i/>
          <w:iCs/>
          <w:color w:val="2F5496" w:themeColor="accent1" w:themeShade="BF"/>
          <w:sz w:val="26"/>
          <w:szCs w:val="26"/>
        </w:rPr>
      </w:pPr>
    </w:p>
    <w:p w14:paraId="272D0030" w14:textId="77777777" w:rsidR="001422B3" w:rsidRDefault="001422B3" w:rsidP="000D7E1A">
      <w:pPr>
        <w:spacing w:line="276" w:lineRule="auto"/>
        <w:jc w:val="both"/>
        <w:rPr>
          <w:rFonts w:ascii="Calibri" w:hAnsi="Calibri" w:cs="Calibri"/>
          <w:b/>
          <w:bCs/>
          <w:i/>
          <w:iCs/>
          <w:color w:val="2F5496" w:themeColor="accent1" w:themeShade="BF"/>
          <w:sz w:val="26"/>
          <w:szCs w:val="26"/>
        </w:rPr>
      </w:pPr>
    </w:p>
    <w:p w14:paraId="465E5E68" w14:textId="77777777" w:rsidR="001422B3" w:rsidRDefault="001422B3" w:rsidP="000D7E1A">
      <w:pPr>
        <w:spacing w:line="276" w:lineRule="auto"/>
        <w:jc w:val="both"/>
        <w:rPr>
          <w:rFonts w:ascii="Calibri" w:hAnsi="Calibri" w:cs="Calibri"/>
          <w:b/>
          <w:bCs/>
          <w:i/>
          <w:iCs/>
          <w:color w:val="2F5496" w:themeColor="accent1" w:themeShade="BF"/>
          <w:sz w:val="26"/>
          <w:szCs w:val="26"/>
        </w:rPr>
      </w:pPr>
    </w:p>
    <w:p w14:paraId="658BAD48" w14:textId="580C0232" w:rsidR="001422B3" w:rsidRDefault="00547C5D" w:rsidP="000D7E1A">
      <w:pPr>
        <w:spacing w:line="276" w:lineRule="auto"/>
        <w:jc w:val="both"/>
        <w:rPr>
          <w:rFonts w:ascii="Calibri" w:hAnsi="Calibri" w:cs="Calibri"/>
          <w:b/>
          <w:bCs/>
          <w:i/>
          <w:iCs/>
          <w:color w:val="2F5496" w:themeColor="accent1" w:themeShade="BF"/>
          <w:sz w:val="26"/>
          <w:szCs w:val="26"/>
        </w:rPr>
      </w:pPr>
      <w:r w:rsidRPr="00547C5D">
        <w:rPr>
          <w:rFonts w:ascii="Calibri" w:hAnsi="Calibri" w:cs="Calibri"/>
          <w:b/>
          <w:bCs/>
          <w:i/>
          <w:iCs/>
          <w:color w:val="2F5496" w:themeColor="accent1" w:themeShade="BF"/>
          <w:sz w:val="26"/>
          <w:szCs w:val="26"/>
        </w:rPr>
        <w:t xml:space="preserve">The Court as the guardian of the Charter – an introduction to development of fundamental rights protection in the European Union </w:t>
      </w:r>
    </w:p>
    <w:p w14:paraId="65EC193F" w14:textId="319B89BC" w:rsidR="001422B3" w:rsidRPr="001422B3" w:rsidRDefault="002006AE" w:rsidP="000D7E1A">
      <w:pPr>
        <w:spacing w:line="276" w:lineRule="auto"/>
        <w:jc w:val="both"/>
        <w:rPr>
          <w:rFonts w:ascii="Calibri" w:hAnsi="Calibri" w:cs="Calibri"/>
          <w:b/>
          <w:bCs/>
          <w:i/>
          <w:iCs/>
          <w:color w:val="2F5496" w:themeColor="accent1" w:themeShade="BF"/>
          <w:sz w:val="26"/>
          <w:szCs w:val="26"/>
        </w:rPr>
      </w:pPr>
      <w:r w:rsidRPr="00547C5D">
        <w:rPr>
          <w:rFonts w:asciiTheme="majorHAnsi" w:hAnsiTheme="majorHAnsi" w:cstheme="majorHAnsi"/>
          <w:noProof/>
          <w:color w:val="2F5496" w:themeColor="accent1" w:themeShade="BF"/>
          <w:sz w:val="26"/>
          <w:szCs w:val="26"/>
        </w:rPr>
        <mc:AlternateContent>
          <mc:Choice Requires="wps">
            <w:drawing>
              <wp:anchor distT="45720" distB="45720" distL="114300" distR="114300" simplePos="0" relativeHeight="251709440" behindDoc="0" locked="0" layoutInCell="1" allowOverlap="1" wp14:anchorId="3B273AA4" wp14:editId="13B4D815">
                <wp:simplePos x="0" y="0"/>
                <wp:positionH relativeFrom="margin">
                  <wp:posOffset>100965</wp:posOffset>
                </wp:positionH>
                <wp:positionV relativeFrom="paragraph">
                  <wp:posOffset>449580</wp:posOffset>
                </wp:positionV>
                <wp:extent cx="5381625" cy="4107180"/>
                <wp:effectExtent l="0" t="0" r="28575" b="26670"/>
                <wp:wrapSquare wrapText="bothSides"/>
                <wp:docPr id="32751154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1625" cy="4107180"/>
                        </a:xfrm>
                        <a:prstGeom prst="roundRect">
                          <a:avLst/>
                        </a:prstGeom>
                        <a:solidFill>
                          <a:schemeClr val="bg1"/>
                        </a:solidFill>
                        <a:ln w="19050">
                          <a:solidFill>
                            <a:srgbClr val="B6A04C"/>
                          </a:solidFill>
                          <a:miter lim="800000"/>
                          <a:headEnd/>
                          <a:tailEnd/>
                        </a:ln>
                      </wps:spPr>
                      <wps:txbx>
                        <w:txbxContent>
                          <w:p w14:paraId="70652430" w14:textId="27BB2590" w:rsidR="00AD273A" w:rsidRPr="007A6459" w:rsidRDefault="00AD273A" w:rsidP="001422B3">
                            <w:pPr>
                              <w:spacing w:line="276" w:lineRule="auto"/>
                              <w:jc w:val="center"/>
                              <w:rPr>
                                <w:rFonts w:asciiTheme="minorHAnsi" w:hAnsiTheme="minorHAnsi" w:cstheme="minorHAnsi"/>
                                <w:b/>
                                <w:bCs/>
                                <w:color w:val="B6A04C"/>
                                <w:sz w:val="20"/>
                                <w:szCs w:val="20"/>
                              </w:rPr>
                            </w:pPr>
                            <w:hyperlink r:id="rId14" w:history="1">
                              <w:r w:rsidRPr="007A6459">
                                <w:rPr>
                                  <w:rStyle w:val="Hypertextovodkaz"/>
                                  <w:rFonts w:asciiTheme="minorHAnsi" w:hAnsiTheme="minorHAnsi" w:cstheme="minorHAnsi"/>
                                  <w:b/>
                                  <w:bCs/>
                                  <w:color w:val="B6A04C"/>
                                  <w:sz w:val="20"/>
                                  <w:szCs w:val="20"/>
                                </w:rPr>
                                <w:t xml:space="preserve">CJEU Judgement, 12 November 1969, </w:t>
                              </w:r>
                              <w:r w:rsidRPr="007A6459">
                                <w:rPr>
                                  <w:rStyle w:val="Hypertextovodkaz"/>
                                  <w:rFonts w:asciiTheme="minorHAnsi" w:hAnsiTheme="minorHAnsi" w:cstheme="minorHAnsi"/>
                                  <w:b/>
                                  <w:bCs/>
                                  <w:i/>
                                  <w:iCs/>
                                  <w:color w:val="B6A04C"/>
                                  <w:sz w:val="20"/>
                                  <w:szCs w:val="20"/>
                                </w:rPr>
                                <w:t>Stauder v. City of Ulm - Sozialamt</w:t>
                              </w:r>
                              <w:r w:rsidRPr="007A6459">
                                <w:rPr>
                                  <w:rStyle w:val="Hypertextovodkaz"/>
                                  <w:rFonts w:asciiTheme="minorHAnsi" w:hAnsiTheme="minorHAnsi" w:cstheme="minorHAnsi"/>
                                  <w:b/>
                                  <w:bCs/>
                                  <w:color w:val="B6A04C"/>
                                  <w:sz w:val="20"/>
                                  <w:szCs w:val="20"/>
                                </w:rPr>
                                <w:t>, C-29/69, ECLI:EU:C:1969:57</w:t>
                              </w:r>
                            </w:hyperlink>
                          </w:p>
                          <w:p w14:paraId="408F7FBF" w14:textId="77777777" w:rsidR="005E4F62" w:rsidRPr="00434064" w:rsidRDefault="005E4F62" w:rsidP="00F84FEA">
                            <w:pPr>
                              <w:spacing w:line="276" w:lineRule="auto"/>
                              <w:jc w:val="both"/>
                              <w:rPr>
                                <w:rFonts w:asciiTheme="minorHAnsi" w:hAnsiTheme="minorHAnsi" w:cstheme="minorHAnsi"/>
                                <w:b/>
                                <w:bCs/>
                                <w:sz w:val="20"/>
                                <w:szCs w:val="20"/>
                              </w:rPr>
                            </w:pPr>
                          </w:p>
                          <w:p w14:paraId="2D066E3C" w14:textId="19F6C001" w:rsidR="00D97D5D" w:rsidRPr="001422B3" w:rsidRDefault="00D97D5D" w:rsidP="005E4F62">
                            <w:pPr>
                              <w:jc w:val="both"/>
                              <w:rPr>
                                <w:rFonts w:asciiTheme="minorHAnsi" w:hAnsiTheme="minorHAnsi" w:cstheme="minorHAnsi"/>
                                <w:b/>
                                <w:bCs/>
                                <w:color w:val="2C2D5B"/>
                                <w:sz w:val="20"/>
                                <w:szCs w:val="20"/>
                              </w:rPr>
                            </w:pPr>
                            <w:r w:rsidRPr="001422B3">
                              <w:rPr>
                                <w:rFonts w:asciiTheme="minorHAnsi" w:hAnsiTheme="minorHAnsi" w:cstheme="minorHAnsi"/>
                                <w:b/>
                                <w:bCs/>
                                <w:color w:val="2C2D5B"/>
                                <w:sz w:val="20"/>
                                <w:szCs w:val="20"/>
                              </w:rPr>
                              <w:t>Facts</w:t>
                            </w:r>
                            <w:r w:rsidR="001422B3" w:rsidRPr="001422B3">
                              <w:rPr>
                                <w:rFonts w:asciiTheme="minorHAnsi" w:hAnsiTheme="minorHAnsi" w:cstheme="minorHAnsi"/>
                                <w:b/>
                                <w:bCs/>
                                <w:color w:val="2C2D5B"/>
                                <w:sz w:val="20"/>
                                <w:szCs w:val="20"/>
                              </w:rPr>
                              <w:t xml:space="preserve"> </w:t>
                            </w:r>
                            <w:r w:rsidRPr="001422B3">
                              <w:rPr>
                                <w:rFonts w:asciiTheme="minorHAnsi" w:hAnsiTheme="minorHAnsi" w:cstheme="minorHAnsi"/>
                                <w:b/>
                                <w:bCs/>
                                <w:color w:val="2C2D5B"/>
                                <w:sz w:val="20"/>
                                <w:szCs w:val="20"/>
                              </w:rPr>
                              <w:t xml:space="preserve">: </w:t>
                            </w:r>
                          </w:p>
                          <w:p w14:paraId="79E48164" w14:textId="6DACD061" w:rsidR="005E4F62" w:rsidRPr="001422B3" w:rsidRDefault="005E4F62" w:rsidP="005E4F62">
                            <w:pPr>
                              <w:jc w:val="both"/>
                              <w:rPr>
                                <w:rFonts w:asciiTheme="minorHAnsi" w:hAnsiTheme="minorHAnsi" w:cstheme="minorHAnsi"/>
                                <w:color w:val="2C2D5B"/>
                                <w:sz w:val="20"/>
                                <w:szCs w:val="20"/>
                              </w:rPr>
                            </w:pPr>
                            <w:r w:rsidRPr="001422B3">
                              <w:rPr>
                                <w:rFonts w:asciiTheme="minorHAnsi" w:hAnsiTheme="minorHAnsi" w:cstheme="minorHAnsi"/>
                                <w:color w:val="2C2D5B"/>
                                <w:sz w:val="20"/>
                                <w:szCs w:val="20"/>
                              </w:rPr>
                              <w:t>Mr. Stauder was a beneficiary of the war-disabled welfare plan. Pursuant to Decision 69/71 ECC Mr. Stauder was entitled to buy butter at a reduced price. In order to acquire the butter, a coupon with the beneficiary’s name and address was required. Mr. Stauder felt that this requirement violated his dignity, as it mandated the display of his name on the coupon.</w:t>
                            </w:r>
                            <w:r w:rsidR="00F05A5B" w:rsidRPr="001422B3">
                              <w:rPr>
                                <w:rFonts w:asciiTheme="minorHAnsi" w:hAnsiTheme="minorHAnsi" w:cstheme="minorHAnsi"/>
                                <w:color w:val="2C2D5B"/>
                                <w:sz w:val="20"/>
                                <w:szCs w:val="20"/>
                              </w:rPr>
                              <w:t xml:space="preserve"> </w:t>
                            </w:r>
                            <w:r w:rsidRPr="001422B3">
                              <w:rPr>
                                <w:rFonts w:asciiTheme="minorHAnsi" w:hAnsiTheme="minorHAnsi" w:cstheme="minorHAnsi"/>
                                <w:color w:val="2C2D5B"/>
                                <w:sz w:val="20"/>
                                <w:szCs w:val="20"/>
                              </w:rPr>
                              <w:t>Consequently</w:t>
                            </w:r>
                            <w:r w:rsidR="00EA3740" w:rsidRPr="001422B3">
                              <w:rPr>
                                <w:rFonts w:asciiTheme="minorHAnsi" w:hAnsiTheme="minorHAnsi" w:cstheme="minorHAnsi"/>
                                <w:color w:val="2C2D5B"/>
                                <w:sz w:val="20"/>
                                <w:szCs w:val="20"/>
                              </w:rPr>
                              <w:t>,</w:t>
                            </w:r>
                            <w:r w:rsidRPr="001422B3">
                              <w:rPr>
                                <w:rFonts w:asciiTheme="minorHAnsi" w:hAnsiTheme="minorHAnsi" w:cstheme="minorHAnsi"/>
                                <w:color w:val="2C2D5B"/>
                                <w:sz w:val="20"/>
                                <w:szCs w:val="20"/>
                              </w:rPr>
                              <w:t xml:space="preserve"> he filed the corresponding legal claim.</w:t>
                            </w:r>
                          </w:p>
                          <w:p w14:paraId="75319B51" w14:textId="77777777" w:rsidR="005E4F62" w:rsidRPr="001422B3" w:rsidRDefault="005E4F62" w:rsidP="005E4F62">
                            <w:pPr>
                              <w:jc w:val="both"/>
                              <w:rPr>
                                <w:rFonts w:asciiTheme="minorHAnsi" w:hAnsiTheme="minorHAnsi" w:cstheme="minorHAnsi"/>
                                <w:color w:val="2C2D5B"/>
                                <w:sz w:val="20"/>
                                <w:szCs w:val="20"/>
                              </w:rPr>
                            </w:pPr>
                          </w:p>
                          <w:p w14:paraId="30CAA7BD" w14:textId="2A30A874" w:rsidR="00D97D5D" w:rsidRPr="001422B3" w:rsidRDefault="00D97D5D" w:rsidP="005E4F62">
                            <w:pPr>
                              <w:jc w:val="both"/>
                              <w:rPr>
                                <w:rFonts w:asciiTheme="minorHAnsi" w:hAnsiTheme="minorHAnsi" w:cstheme="minorHAnsi"/>
                                <w:b/>
                                <w:bCs/>
                                <w:color w:val="2C2D5B"/>
                                <w:sz w:val="20"/>
                                <w:szCs w:val="20"/>
                              </w:rPr>
                            </w:pPr>
                            <w:r w:rsidRPr="001422B3">
                              <w:rPr>
                                <w:rFonts w:asciiTheme="minorHAnsi" w:hAnsiTheme="minorHAnsi" w:cstheme="minorHAnsi"/>
                                <w:b/>
                                <w:bCs/>
                                <w:color w:val="2C2D5B"/>
                                <w:sz w:val="20"/>
                                <w:szCs w:val="20"/>
                              </w:rPr>
                              <w:t>Ruling</w:t>
                            </w:r>
                            <w:r w:rsidR="001422B3" w:rsidRPr="001422B3">
                              <w:rPr>
                                <w:rFonts w:asciiTheme="minorHAnsi" w:hAnsiTheme="minorHAnsi" w:cstheme="minorHAnsi"/>
                                <w:b/>
                                <w:bCs/>
                                <w:color w:val="2C2D5B"/>
                                <w:sz w:val="20"/>
                                <w:szCs w:val="20"/>
                              </w:rPr>
                              <w:t xml:space="preserve"> </w:t>
                            </w:r>
                            <w:r w:rsidRPr="001422B3">
                              <w:rPr>
                                <w:rFonts w:asciiTheme="minorHAnsi" w:hAnsiTheme="minorHAnsi" w:cstheme="minorHAnsi"/>
                                <w:b/>
                                <w:bCs/>
                                <w:color w:val="2C2D5B"/>
                                <w:sz w:val="20"/>
                                <w:szCs w:val="20"/>
                              </w:rPr>
                              <w:t xml:space="preserve">: </w:t>
                            </w:r>
                          </w:p>
                          <w:p w14:paraId="4E44DCC0" w14:textId="1E7F7FF8" w:rsidR="005E4F62" w:rsidRPr="001422B3" w:rsidRDefault="005E4F62" w:rsidP="005E4F62">
                            <w:pPr>
                              <w:jc w:val="both"/>
                              <w:rPr>
                                <w:rFonts w:asciiTheme="minorHAnsi" w:hAnsiTheme="minorHAnsi" w:cstheme="minorHAnsi"/>
                                <w:color w:val="2C2D5B"/>
                                <w:sz w:val="20"/>
                                <w:szCs w:val="20"/>
                              </w:rPr>
                            </w:pPr>
                            <w:r w:rsidRPr="001422B3">
                              <w:rPr>
                                <w:rFonts w:asciiTheme="minorHAnsi" w:hAnsiTheme="minorHAnsi" w:cstheme="minorHAnsi"/>
                                <w:color w:val="2C2D5B"/>
                                <w:sz w:val="20"/>
                                <w:szCs w:val="20"/>
                              </w:rPr>
                              <w:t xml:space="preserve">The CJEU considered that a correct interpretation of the relevant European regulation did not require a name to appear on the coupon. One of the main arguments behind the Court’s decision was to </w:t>
                            </w:r>
                            <w:r w:rsidRPr="001422B3">
                              <w:rPr>
                                <w:rFonts w:asciiTheme="minorHAnsi" w:hAnsiTheme="minorHAnsi" w:cstheme="minorHAnsi"/>
                                <w:b/>
                                <w:bCs/>
                                <w:color w:val="2C2D5B"/>
                                <w:sz w:val="20"/>
                                <w:szCs w:val="20"/>
                              </w:rPr>
                              <w:t>include human rights as part of the general principles of EU law:</w:t>
                            </w:r>
                          </w:p>
                          <w:p w14:paraId="27D8623E" w14:textId="77777777" w:rsidR="00385BE7" w:rsidRPr="001422B3" w:rsidRDefault="00385BE7" w:rsidP="005E4F62">
                            <w:pPr>
                              <w:jc w:val="both"/>
                              <w:rPr>
                                <w:rFonts w:asciiTheme="minorHAnsi" w:hAnsiTheme="minorHAnsi" w:cstheme="minorHAnsi"/>
                                <w:color w:val="2C2D5B"/>
                                <w:sz w:val="20"/>
                                <w:szCs w:val="20"/>
                              </w:rPr>
                            </w:pPr>
                          </w:p>
                          <w:p w14:paraId="05F3DEE2" w14:textId="18CE49B3" w:rsidR="00AD273A" w:rsidRPr="001422B3" w:rsidRDefault="005E4F62" w:rsidP="00F84FEA">
                            <w:pPr>
                              <w:jc w:val="both"/>
                              <w:rPr>
                                <w:color w:val="2C2D5B"/>
                              </w:rPr>
                            </w:pPr>
                            <w:r w:rsidRPr="001422B3">
                              <w:rPr>
                                <w:rFonts w:asciiTheme="minorHAnsi" w:hAnsiTheme="minorHAnsi" w:cstheme="minorHAnsi"/>
                                <w:i/>
                                <w:iCs/>
                                <w:color w:val="2C2D5B"/>
                                <w:sz w:val="20"/>
                                <w:szCs w:val="20"/>
                              </w:rPr>
                              <w:t>“3. When a single decision is addressed to all the member states the necessity for uniform application and accordingly for uniform interpretation makes it impossible to consider one version of the text in isolation but requires that it be interpreted on the basis of both the real intention of its author and the aim he seeks to achieve, and in the light in particular of the versions in all [...] languages. [...] 7. Interpreted in this way the provision at issue contains nothing capable of prejudicing the fundamental human rights enshrined in the general principles of Community law and protected by the Court</w:t>
                            </w:r>
                            <w:r w:rsidRPr="001422B3">
                              <w:rPr>
                                <w:rFonts w:asciiTheme="minorHAnsi" w:hAnsiTheme="minorHAnsi" w:cstheme="minorHAnsi"/>
                                <w:color w:val="2C2D5B"/>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3B273AA4" id="_x0000_s1027" style="position:absolute;left:0;text-align:left;margin-left:7.95pt;margin-top:35.4pt;width:423.75pt;height:323.4pt;z-index:2517094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mmxIgIAACwEAAAOAAAAZHJzL2Uyb0RvYy54bWysk99u2yAUxu8n7R0Q94vtLElTK06Vpus0&#10;qfujdXsAjLGNhjkMSOzu6XfAbppld9N8gTgGPs75nY/NzdApchTWSdAFzWYpJUJzqKRuCvr92/2b&#10;NSXOM10xBVoU9Ek4erN9/WrTm1zMoQVVCUtQRLu8NwVtvTd5kjjeio65GRihcbEG2zGPoW2SyrIe&#10;1TuVzNN0lfRgK2OBC+fw7924SLdRv64F95/r2glPVEExNx9HG8cyjMl2w/LGMtNKPqXB/iGLjkmN&#10;l56k7phn5GDlX1Kd5BYc1H7GoUugriUXsQasJksvqnlsmRGxFoTjzAmT+3+y/NPx0XyxxA+3MGAD&#10;YxHOPAD/4YiGfct0I3bWQt8KVuHFWUCW9Mbl09GA2uUuiJT9R6iwyezgIQoNte0CFayToDo24OkE&#10;XQyecPy5fLvOVvMlJRzXFll6la1jWxKWPx831vn3AjoSJgW1cNDVV2xtvIMdH5wPObH8eV+40oGS&#10;1b1UKgbBTmKvLDkyNELZjFVc7FKa9FjgdbpMRwx/SNimPAncrnbpYh9JXGh00qOflewKuk7DNzos&#10;wHunq+g2z6Qa55iy0hPNAHBE6YdyILKaUAe4JVRPiNfCaF98bjhpwf6ipEfrFtT9PDArKFEfNLbo&#10;OlssgtdjsFhezTGw5yvl+QrTHKUK6ikZp3sf30fgpmGHraxl5PuSyZQyWjJin55P8Px5HHe9PPLt&#10;bwAAAP//AwBQSwMEFAAGAAgAAAAhAEvF5FPeAAAACQEAAA8AAABkcnMvZG93bnJldi54bWxMj8FO&#10;wzAQRO9I/IO1SNyoU2hTN41TRZW4cGsoB25ObOKUeB3Fbhr+nuVEj7Mzmn2T72fXs8mMofMoYblI&#10;gBlsvO6wlXB6f30SwEJUqFXv0Uj4MQH2xf1drjLtr3g0UxVbRiUYMiXBxjhknIfGGqfCwg8Gyfvy&#10;o1OR5NhyPaorlbuePydJyp3qkD5YNZiDNc13dXESptNxXYrD56qyH/y8fStFLZyQ8vFhLnfAopnj&#10;fxj+8AkdCmKq/QV1YD3p9ZaSEjYJLSBfpC8rYDUdlpsUeJHz2wXFLwAAAP//AwBQSwECLQAUAAYA&#10;CAAAACEAtoM4kv4AAADhAQAAEwAAAAAAAAAAAAAAAAAAAAAAW0NvbnRlbnRfVHlwZXNdLnhtbFBL&#10;AQItABQABgAIAAAAIQA4/SH/1gAAAJQBAAALAAAAAAAAAAAAAAAAAC8BAABfcmVscy8ucmVsc1BL&#10;AQItABQABgAIAAAAIQDVammxIgIAACwEAAAOAAAAAAAAAAAAAAAAAC4CAABkcnMvZTJvRG9jLnht&#10;bFBLAQItABQABgAIAAAAIQBLxeRT3gAAAAkBAAAPAAAAAAAAAAAAAAAAAHwEAABkcnMvZG93bnJl&#10;di54bWxQSwUGAAAAAAQABADzAAAAhwUAAAAA&#10;" fillcolor="white [3212]" strokecolor="#b6a04c" strokeweight="1.5pt">
                <v:stroke joinstyle="miter"/>
                <v:textbox>
                  <w:txbxContent>
                    <w:p w14:paraId="70652430" w14:textId="27BB2590" w:rsidR="00AD273A" w:rsidRPr="007A6459" w:rsidRDefault="009D52AD" w:rsidP="001422B3">
                      <w:pPr>
                        <w:spacing w:line="276" w:lineRule="auto"/>
                        <w:jc w:val="center"/>
                        <w:rPr>
                          <w:rFonts w:asciiTheme="minorHAnsi" w:hAnsiTheme="minorHAnsi" w:cstheme="minorHAnsi"/>
                          <w:b/>
                          <w:bCs/>
                          <w:color w:val="B6A04C"/>
                          <w:sz w:val="20"/>
                          <w:szCs w:val="20"/>
                        </w:rPr>
                      </w:pPr>
                      <w:hyperlink r:id="rId15" w:history="1">
                        <w:r w:rsidR="00AD273A" w:rsidRPr="007A6459">
                          <w:rPr>
                            <w:rStyle w:val="Lienhypertexte"/>
                            <w:rFonts w:asciiTheme="minorHAnsi" w:hAnsiTheme="minorHAnsi" w:cstheme="minorHAnsi"/>
                            <w:b/>
                            <w:bCs/>
                            <w:color w:val="B6A04C"/>
                            <w:sz w:val="20"/>
                            <w:szCs w:val="20"/>
                          </w:rPr>
                          <w:t xml:space="preserve">CJEU Judgement, 12 November 1969, </w:t>
                        </w:r>
                        <w:r w:rsidR="00AD273A" w:rsidRPr="007A6459">
                          <w:rPr>
                            <w:rStyle w:val="Lienhypertexte"/>
                            <w:rFonts w:asciiTheme="minorHAnsi" w:hAnsiTheme="minorHAnsi" w:cstheme="minorHAnsi"/>
                            <w:b/>
                            <w:bCs/>
                            <w:i/>
                            <w:iCs/>
                            <w:color w:val="B6A04C"/>
                            <w:sz w:val="20"/>
                            <w:szCs w:val="20"/>
                          </w:rPr>
                          <w:t>Stauder v. City of Ulm - Sozialamt</w:t>
                        </w:r>
                        <w:r w:rsidR="00AD273A" w:rsidRPr="007A6459">
                          <w:rPr>
                            <w:rStyle w:val="Lienhypertexte"/>
                            <w:rFonts w:asciiTheme="minorHAnsi" w:hAnsiTheme="minorHAnsi" w:cstheme="minorHAnsi"/>
                            <w:b/>
                            <w:bCs/>
                            <w:color w:val="B6A04C"/>
                            <w:sz w:val="20"/>
                            <w:szCs w:val="20"/>
                          </w:rPr>
                          <w:t>, C-29/69, ECLI:EU:C:1969:57</w:t>
                        </w:r>
                      </w:hyperlink>
                    </w:p>
                    <w:p w14:paraId="408F7FBF" w14:textId="77777777" w:rsidR="005E4F62" w:rsidRPr="00434064" w:rsidRDefault="005E4F62" w:rsidP="00F84FEA">
                      <w:pPr>
                        <w:spacing w:line="276" w:lineRule="auto"/>
                        <w:jc w:val="both"/>
                        <w:rPr>
                          <w:rFonts w:asciiTheme="minorHAnsi" w:hAnsiTheme="minorHAnsi" w:cstheme="minorHAnsi"/>
                          <w:b/>
                          <w:bCs/>
                          <w:sz w:val="20"/>
                          <w:szCs w:val="20"/>
                        </w:rPr>
                      </w:pPr>
                    </w:p>
                    <w:p w14:paraId="2D066E3C" w14:textId="19F6C001" w:rsidR="00D97D5D" w:rsidRPr="001422B3" w:rsidRDefault="00D97D5D" w:rsidP="005E4F62">
                      <w:pPr>
                        <w:jc w:val="both"/>
                        <w:rPr>
                          <w:rFonts w:asciiTheme="minorHAnsi" w:hAnsiTheme="minorHAnsi" w:cstheme="minorHAnsi"/>
                          <w:b/>
                          <w:bCs/>
                          <w:color w:val="2C2D5B"/>
                          <w:sz w:val="20"/>
                          <w:szCs w:val="20"/>
                        </w:rPr>
                      </w:pPr>
                      <w:proofErr w:type="gramStart"/>
                      <w:r w:rsidRPr="001422B3">
                        <w:rPr>
                          <w:rFonts w:asciiTheme="minorHAnsi" w:hAnsiTheme="minorHAnsi" w:cstheme="minorHAnsi"/>
                          <w:b/>
                          <w:bCs/>
                          <w:color w:val="2C2D5B"/>
                          <w:sz w:val="20"/>
                          <w:szCs w:val="20"/>
                        </w:rPr>
                        <w:t>Facts</w:t>
                      </w:r>
                      <w:r w:rsidR="001422B3" w:rsidRPr="001422B3">
                        <w:rPr>
                          <w:rFonts w:asciiTheme="minorHAnsi" w:hAnsiTheme="minorHAnsi" w:cstheme="minorHAnsi"/>
                          <w:b/>
                          <w:bCs/>
                          <w:color w:val="2C2D5B"/>
                          <w:sz w:val="20"/>
                          <w:szCs w:val="20"/>
                        </w:rPr>
                        <w:t xml:space="preserve"> </w:t>
                      </w:r>
                      <w:r w:rsidRPr="001422B3">
                        <w:rPr>
                          <w:rFonts w:asciiTheme="minorHAnsi" w:hAnsiTheme="minorHAnsi" w:cstheme="minorHAnsi"/>
                          <w:b/>
                          <w:bCs/>
                          <w:color w:val="2C2D5B"/>
                          <w:sz w:val="20"/>
                          <w:szCs w:val="20"/>
                        </w:rPr>
                        <w:t>:</w:t>
                      </w:r>
                      <w:proofErr w:type="gramEnd"/>
                      <w:r w:rsidRPr="001422B3">
                        <w:rPr>
                          <w:rFonts w:asciiTheme="minorHAnsi" w:hAnsiTheme="minorHAnsi" w:cstheme="minorHAnsi"/>
                          <w:b/>
                          <w:bCs/>
                          <w:color w:val="2C2D5B"/>
                          <w:sz w:val="20"/>
                          <w:szCs w:val="20"/>
                        </w:rPr>
                        <w:t xml:space="preserve"> </w:t>
                      </w:r>
                    </w:p>
                    <w:p w14:paraId="79E48164" w14:textId="6DACD061" w:rsidR="005E4F62" w:rsidRPr="001422B3" w:rsidRDefault="005E4F62" w:rsidP="005E4F62">
                      <w:pPr>
                        <w:jc w:val="both"/>
                        <w:rPr>
                          <w:rFonts w:asciiTheme="minorHAnsi" w:hAnsiTheme="minorHAnsi" w:cstheme="minorHAnsi"/>
                          <w:color w:val="2C2D5B"/>
                          <w:sz w:val="20"/>
                          <w:szCs w:val="20"/>
                        </w:rPr>
                      </w:pPr>
                      <w:r w:rsidRPr="001422B3">
                        <w:rPr>
                          <w:rFonts w:asciiTheme="minorHAnsi" w:hAnsiTheme="minorHAnsi" w:cstheme="minorHAnsi"/>
                          <w:color w:val="2C2D5B"/>
                          <w:sz w:val="20"/>
                          <w:szCs w:val="20"/>
                        </w:rPr>
                        <w:t xml:space="preserve">Mr. Stauder was a beneficiary of the war-disabled welfare plan. Pursuant to Decision 69/71 ECC Mr. Stauder was entitled to buy butter at a reduced price. </w:t>
                      </w:r>
                      <w:proofErr w:type="gramStart"/>
                      <w:r w:rsidRPr="001422B3">
                        <w:rPr>
                          <w:rFonts w:asciiTheme="minorHAnsi" w:hAnsiTheme="minorHAnsi" w:cstheme="minorHAnsi"/>
                          <w:color w:val="2C2D5B"/>
                          <w:sz w:val="20"/>
                          <w:szCs w:val="20"/>
                        </w:rPr>
                        <w:t>In order to</w:t>
                      </w:r>
                      <w:proofErr w:type="gramEnd"/>
                      <w:r w:rsidRPr="001422B3">
                        <w:rPr>
                          <w:rFonts w:asciiTheme="minorHAnsi" w:hAnsiTheme="minorHAnsi" w:cstheme="minorHAnsi"/>
                          <w:color w:val="2C2D5B"/>
                          <w:sz w:val="20"/>
                          <w:szCs w:val="20"/>
                        </w:rPr>
                        <w:t xml:space="preserve"> acquire the butter, a coupon with the beneficiary’s name and address was required. Mr. Stauder felt that this requirement violated his dignity, as it mandated the display of his name on the coupon.</w:t>
                      </w:r>
                      <w:r w:rsidR="00F05A5B" w:rsidRPr="001422B3">
                        <w:rPr>
                          <w:rFonts w:asciiTheme="minorHAnsi" w:hAnsiTheme="minorHAnsi" w:cstheme="minorHAnsi"/>
                          <w:color w:val="2C2D5B"/>
                          <w:sz w:val="20"/>
                          <w:szCs w:val="20"/>
                        </w:rPr>
                        <w:t xml:space="preserve"> </w:t>
                      </w:r>
                      <w:r w:rsidRPr="001422B3">
                        <w:rPr>
                          <w:rFonts w:asciiTheme="minorHAnsi" w:hAnsiTheme="minorHAnsi" w:cstheme="minorHAnsi"/>
                          <w:color w:val="2C2D5B"/>
                          <w:sz w:val="20"/>
                          <w:szCs w:val="20"/>
                        </w:rPr>
                        <w:t>Consequently</w:t>
                      </w:r>
                      <w:r w:rsidR="00EA3740" w:rsidRPr="001422B3">
                        <w:rPr>
                          <w:rFonts w:asciiTheme="minorHAnsi" w:hAnsiTheme="minorHAnsi" w:cstheme="minorHAnsi"/>
                          <w:color w:val="2C2D5B"/>
                          <w:sz w:val="20"/>
                          <w:szCs w:val="20"/>
                        </w:rPr>
                        <w:t>,</w:t>
                      </w:r>
                      <w:r w:rsidRPr="001422B3">
                        <w:rPr>
                          <w:rFonts w:asciiTheme="minorHAnsi" w:hAnsiTheme="minorHAnsi" w:cstheme="minorHAnsi"/>
                          <w:color w:val="2C2D5B"/>
                          <w:sz w:val="20"/>
                          <w:szCs w:val="20"/>
                        </w:rPr>
                        <w:t xml:space="preserve"> he filed the corresponding legal claim.</w:t>
                      </w:r>
                    </w:p>
                    <w:p w14:paraId="75319B51" w14:textId="77777777" w:rsidR="005E4F62" w:rsidRPr="001422B3" w:rsidRDefault="005E4F62" w:rsidP="005E4F62">
                      <w:pPr>
                        <w:jc w:val="both"/>
                        <w:rPr>
                          <w:rFonts w:asciiTheme="minorHAnsi" w:hAnsiTheme="minorHAnsi" w:cstheme="minorHAnsi"/>
                          <w:color w:val="2C2D5B"/>
                          <w:sz w:val="20"/>
                          <w:szCs w:val="20"/>
                        </w:rPr>
                      </w:pPr>
                    </w:p>
                    <w:p w14:paraId="30CAA7BD" w14:textId="2A30A874" w:rsidR="00D97D5D" w:rsidRPr="001422B3" w:rsidRDefault="00D97D5D" w:rsidP="005E4F62">
                      <w:pPr>
                        <w:jc w:val="both"/>
                        <w:rPr>
                          <w:rFonts w:asciiTheme="minorHAnsi" w:hAnsiTheme="minorHAnsi" w:cstheme="minorHAnsi"/>
                          <w:b/>
                          <w:bCs/>
                          <w:color w:val="2C2D5B"/>
                          <w:sz w:val="20"/>
                          <w:szCs w:val="20"/>
                        </w:rPr>
                      </w:pPr>
                      <w:proofErr w:type="gramStart"/>
                      <w:r w:rsidRPr="001422B3">
                        <w:rPr>
                          <w:rFonts w:asciiTheme="minorHAnsi" w:hAnsiTheme="minorHAnsi" w:cstheme="minorHAnsi"/>
                          <w:b/>
                          <w:bCs/>
                          <w:color w:val="2C2D5B"/>
                          <w:sz w:val="20"/>
                          <w:szCs w:val="20"/>
                        </w:rPr>
                        <w:t>Ruling</w:t>
                      </w:r>
                      <w:r w:rsidR="001422B3" w:rsidRPr="001422B3">
                        <w:rPr>
                          <w:rFonts w:asciiTheme="minorHAnsi" w:hAnsiTheme="minorHAnsi" w:cstheme="minorHAnsi"/>
                          <w:b/>
                          <w:bCs/>
                          <w:color w:val="2C2D5B"/>
                          <w:sz w:val="20"/>
                          <w:szCs w:val="20"/>
                        </w:rPr>
                        <w:t xml:space="preserve"> </w:t>
                      </w:r>
                      <w:r w:rsidRPr="001422B3">
                        <w:rPr>
                          <w:rFonts w:asciiTheme="minorHAnsi" w:hAnsiTheme="minorHAnsi" w:cstheme="minorHAnsi"/>
                          <w:b/>
                          <w:bCs/>
                          <w:color w:val="2C2D5B"/>
                          <w:sz w:val="20"/>
                          <w:szCs w:val="20"/>
                        </w:rPr>
                        <w:t>:</w:t>
                      </w:r>
                      <w:proofErr w:type="gramEnd"/>
                      <w:r w:rsidRPr="001422B3">
                        <w:rPr>
                          <w:rFonts w:asciiTheme="minorHAnsi" w:hAnsiTheme="minorHAnsi" w:cstheme="minorHAnsi"/>
                          <w:b/>
                          <w:bCs/>
                          <w:color w:val="2C2D5B"/>
                          <w:sz w:val="20"/>
                          <w:szCs w:val="20"/>
                        </w:rPr>
                        <w:t xml:space="preserve"> </w:t>
                      </w:r>
                    </w:p>
                    <w:p w14:paraId="4E44DCC0" w14:textId="1E7F7FF8" w:rsidR="005E4F62" w:rsidRPr="001422B3" w:rsidRDefault="005E4F62" w:rsidP="005E4F62">
                      <w:pPr>
                        <w:jc w:val="both"/>
                        <w:rPr>
                          <w:rFonts w:asciiTheme="minorHAnsi" w:hAnsiTheme="minorHAnsi" w:cstheme="minorHAnsi"/>
                          <w:color w:val="2C2D5B"/>
                          <w:sz w:val="20"/>
                          <w:szCs w:val="20"/>
                        </w:rPr>
                      </w:pPr>
                      <w:r w:rsidRPr="001422B3">
                        <w:rPr>
                          <w:rFonts w:asciiTheme="minorHAnsi" w:hAnsiTheme="minorHAnsi" w:cstheme="minorHAnsi"/>
                          <w:color w:val="2C2D5B"/>
                          <w:sz w:val="20"/>
                          <w:szCs w:val="20"/>
                        </w:rPr>
                        <w:t xml:space="preserve">The CJEU considered that a correct interpretation of the relevant European regulation did not require a name to appear on the coupon. One of the main arguments behind the Court’s decision was to </w:t>
                      </w:r>
                      <w:r w:rsidRPr="001422B3">
                        <w:rPr>
                          <w:rFonts w:asciiTheme="minorHAnsi" w:hAnsiTheme="minorHAnsi" w:cstheme="minorHAnsi"/>
                          <w:b/>
                          <w:bCs/>
                          <w:color w:val="2C2D5B"/>
                          <w:sz w:val="20"/>
                          <w:szCs w:val="20"/>
                        </w:rPr>
                        <w:t>include human rights as part of the general principles of EU law:</w:t>
                      </w:r>
                    </w:p>
                    <w:p w14:paraId="27D8623E" w14:textId="77777777" w:rsidR="00385BE7" w:rsidRPr="001422B3" w:rsidRDefault="00385BE7" w:rsidP="005E4F62">
                      <w:pPr>
                        <w:jc w:val="both"/>
                        <w:rPr>
                          <w:rFonts w:asciiTheme="minorHAnsi" w:hAnsiTheme="minorHAnsi" w:cstheme="minorHAnsi"/>
                          <w:color w:val="2C2D5B"/>
                          <w:sz w:val="20"/>
                          <w:szCs w:val="20"/>
                        </w:rPr>
                      </w:pPr>
                    </w:p>
                    <w:p w14:paraId="05F3DEE2" w14:textId="18CE49B3" w:rsidR="00AD273A" w:rsidRPr="001422B3" w:rsidRDefault="005E4F62" w:rsidP="00F84FEA">
                      <w:pPr>
                        <w:jc w:val="both"/>
                        <w:rPr>
                          <w:color w:val="2C2D5B"/>
                        </w:rPr>
                      </w:pPr>
                      <w:r w:rsidRPr="001422B3">
                        <w:rPr>
                          <w:rFonts w:asciiTheme="minorHAnsi" w:hAnsiTheme="minorHAnsi" w:cstheme="minorHAnsi"/>
                          <w:i/>
                          <w:iCs/>
                          <w:color w:val="2C2D5B"/>
                          <w:sz w:val="20"/>
                          <w:szCs w:val="20"/>
                        </w:rPr>
                        <w:t>“3. When a single decision is addressed to all the member states the necessity for uniform application and accordingly for uniform interpretation makes it impossible to consider one version of the text in isolation but requires that it be interpreted on the basis of both the real intention of its author and the aim he seeks to achieve, and in the light in particular of the versions in all [...] languages. [...] 7. Interpreted in this way the provision at issue contains nothing capable of prejudicing the fundamental human rights enshrined in the general principles of Community law and protected by the Court</w:t>
                      </w:r>
                      <w:r w:rsidRPr="001422B3">
                        <w:rPr>
                          <w:rFonts w:asciiTheme="minorHAnsi" w:hAnsiTheme="minorHAnsi" w:cstheme="minorHAnsi"/>
                          <w:color w:val="2C2D5B"/>
                          <w:sz w:val="20"/>
                          <w:szCs w:val="20"/>
                        </w:rPr>
                        <w:t>.”.</w:t>
                      </w:r>
                    </w:p>
                  </w:txbxContent>
                </v:textbox>
                <w10:wrap type="square" anchorx="margin"/>
              </v:roundrect>
            </w:pict>
          </mc:Fallback>
        </mc:AlternateContent>
      </w:r>
      <w:r w:rsidR="00E53B29" w:rsidRPr="00E53B29">
        <w:rPr>
          <w:rFonts w:asciiTheme="minorHAnsi" w:hAnsiTheme="minorHAnsi" w:cstheme="minorHAnsi"/>
          <w:b/>
          <w:bCs/>
          <w:noProof/>
          <w:color w:val="2F5496" w:themeColor="accent1" w:themeShade="BF"/>
          <w:sz w:val="32"/>
          <w:szCs w:val="32"/>
        </w:rPr>
        <w:drawing>
          <wp:anchor distT="0" distB="0" distL="114300" distR="114300" simplePos="0" relativeHeight="251895808" behindDoc="0" locked="0" layoutInCell="1" allowOverlap="1" wp14:anchorId="17BE59D0" wp14:editId="51BE8128">
            <wp:simplePos x="0" y="0"/>
            <wp:positionH relativeFrom="column">
              <wp:posOffset>4890770</wp:posOffset>
            </wp:positionH>
            <wp:positionV relativeFrom="paragraph">
              <wp:posOffset>134761</wp:posOffset>
            </wp:positionV>
            <wp:extent cx="713124" cy="575733"/>
            <wp:effectExtent l="0" t="0" r="0" b="0"/>
            <wp:wrapNone/>
            <wp:docPr id="252242108"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24" cy="575733"/>
                    </a:xfrm>
                    <a:prstGeom prst="rect">
                      <a:avLst/>
                    </a:prstGeom>
                  </pic:spPr>
                </pic:pic>
              </a:graphicData>
            </a:graphic>
            <wp14:sizeRelH relativeFrom="page">
              <wp14:pctWidth>0</wp14:pctWidth>
            </wp14:sizeRelH>
            <wp14:sizeRelV relativeFrom="page">
              <wp14:pctHeight>0</wp14:pctHeight>
            </wp14:sizeRelV>
          </wp:anchor>
        </w:drawing>
      </w:r>
    </w:p>
    <w:p w14:paraId="507C2A84" w14:textId="099DCE3E" w:rsidR="00B1680F" w:rsidRDefault="00B1680F" w:rsidP="00B1680F">
      <w:pPr>
        <w:spacing w:line="276" w:lineRule="auto"/>
        <w:jc w:val="both"/>
        <w:rPr>
          <w:rFonts w:ascii="Calibri" w:hAnsi="Calibri" w:cs="Calibri"/>
        </w:rPr>
      </w:pPr>
    </w:p>
    <w:p w14:paraId="63533DCE" w14:textId="77777777" w:rsidR="001422B3" w:rsidRPr="005A6959" w:rsidRDefault="001422B3" w:rsidP="00B1680F">
      <w:pPr>
        <w:spacing w:line="276" w:lineRule="auto"/>
        <w:jc w:val="both"/>
        <w:rPr>
          <w:rFonts w:ascii="Calibri" w:hAnsi="Calibri" w:cs="Calibri"/>
        </w:rPr>
      </w:pPr>
    </w:p>
    <w:p w14:paraId="023F620C" w14:textId="18E11A80" w:rsidR="00EC2273" w:rsidRDefault="000E5AAC" w:rsidP="00B1680F">
      <w:pPr>
        <w:spacing w:line="276" w:lineRule="auto"/>
        <w:jc w:val="both"/>
        <w:rPr>
          <w:rFonts w:asciiTheme="majorHAnsi" w:hAnsiTheme="majorHAnsi" w:cstheme="majorHAnsi"/>
          <w:color w:val="2C2D5B"/>
        </w:rPr>
      </w:pPr>
      <w:r w:rsidRPr="001422B3">
        <w:rPr>
          <w:rFonts w:asciiTheme="majorHAnsi" w:hAnsiTheme="majorHAnsi" w:cstheme="majorHAnsi"/>
          <w:color w:val="2C2D5B"/>
        </w:rPr>
        <w:t>The CJEU</w:t>
      </w:r>
      <w:r w:rsidR="00385BE7" w:rsidRPr="001422B3">
        <w:rPr>
          <w:rFonts w:asciiTheme="majorHAnsi" w:hAnsiTheme="majorHAnsi" w:cstheme="majorHAnsi"/>
          <w:color w:val="2C2D5B"/>
        </w:rPr>
        <w:t xml:space="preserve"> started </w:t>
      </w:r>
      <w:r w:rsidR="0000203F" w:rsidRPr="001422B3">
        <w:rPr>
          <w:rFonts w:asciiTheme="majorHAnsi" w:hAnsiTheme="majorHAnsi" w:cstheme="majorHAnsi"/>
          <w:color w:val="2C2D5B"/>
        </w:rPr>
        <w:t>consider</w:t>
      </w:r>
      <w:r w:rsidR="00385BE7" w:rsidRPr="001422B3">
        <w:rPr>
          <w:rFonts w:asciiTheme="majorHAnsi" w:hAnsiTheme="majorHAnsi" w:cstheme="majorHAnsi"/>
          <w:color w:val="2C2D5B"/>
        </w:rPr>
        <w:t xml:space="preserve">ing </w:t>
      </w:r>
      <w:r w:rsidR="00EC2273" w:rsidRPr="001422B3">
        <w:rPr>
          <w:rFonts w:asciiTheme="majorHAnsi" w:hAnsiTheme="majorHAnsi" w:cstheme="majorHAnsi"/>
          <w:color w:val="2C2D5B"/>
        </w:rPr>
        <w:t>the constitutional traditions common to Member States</w:t>
      </w:r>
      <w:r w:rsidR="00385BE7" w:rsidRPr="001422B3">
        <w:rPr>
          <w:rFonts w:asciiTheme="majorHAnsi" w:hAnsiTheme="majorHAnsi" w:cstheme="majorHAnsi"/>
          <w:color w:val="2C2D5B"/>
        </w:rPr>
        <w:t xml:space="preserve"> and started incorporating guidance from </w:t>
      </w:r>
      <w:r w:rsidR="00EC2273" w:rsidRPr="001422B3">
        <w:rPr>
          <w:rFonts w:asciiTheme="majorHAnsi" w:hAnsiTheme="majorHAnsi" w:cstheme="majorHAnsi"/>
          <w:color w:val="2C2D5B"/>
        </w:rPr>
        <w:t>international instruments related to the protection of human rights</w:t>
      </w:r>
      <w:r w:rsidR="00385BE7" w:rsidRPr="001422B3">
        <w:rPr>
          <w:rFonts w:asciiTheme="majorHAnsi" w:hAnsiTheme="majorHAnsi" w:cstheme="majorHAnsi"/>
          <w:color w:val="2C2D5B"/>
        </w:rPr>
        <w:t xml:space="preserve">. Notably, the CJEU </w:t>
      </w:r>
      <w:r w:rsidR="00547C5D" w:rsidRPr="001422B3">
        <w:rPr>
          <w:rFonts w:asciiTheme="majorHAnsi" w:hAnsiTheme="majorHAnsi" w:cstheme="majorHAnsi"/>
          <w:color w:val="2C2D5B"/>
        </w:rPr>
        <w:t xml:space="preserve">made frequent invocations of </w:t>
      </w:r>
      <w:r w:rsidR="00EC2273" w:rsidRPr="001422B3">
        <w:rPr>
          <w:rFonts w:asciiTheme="majorHAnsi" w:hAnsiTheme="majorHAnsi" w:cstheme="majorHAnsi"/>
          <w:color w:val="2C2D5B"/>
        </w:rPr>
        <w:t>the European Convention on Human Rights</w:t>
      </w:r>
      <w:r w:rsidR="00385BE7" w:rsidRPr="001422B3">
        <w:rPr>
          <w:rFonts w:asciiTheme="majorHAnsi" w:hAnsiTheme="majorHAnsi" w:cstheme="majorHAnsi"/>
          <w:color w:val="2C2D5B"/>
        </w:rPr>
        <w:t xml:space="preserve"> (ECHR)</w:t>
      </w:r>
      <w:r w:rsidR="00EC2273" w:rsidRPr="001422B3">
        <w:rPr>
          <w:rFonts w:asciiTheme="majorHAnsi" w:hAnsiTheme="majorHAnsi" w:cstheme="majorHAnsi"/>
          <w:color w:val="2C2D5B"/>
        </w:rPr>
        <w:t xml:space="preserve"> </w:t>
      </w:r>
      <w:r w:rsidR="00547C5D" w:rsidRPr="001422B3">
        <w:rPr>
          <w:rFonts w:asciiTheme="majorHAnsi" w:hAnsiTheme="majorHAnsi" w:cstheme="majorHAnsi"/>
          <w:color w:val="2C2D5B"/>
        </w:rPr>
        <w:t xml:space="preserve">which was </w:t>
      </w:r>
      <w:r w:rsidR="00385BE7" w:rsidRPr="001422B3">
        <w:rPr>
          <w:rFonts w:asciiTheme="majorHAnsi" w:hAnsiTheme="majorHAnsi" w:cstheme="majorHAnsi"/>
          <w:color w:val="2C2D5B"/>
        </w:rPr>
        <w:t xml:space="preserve">adopted on </w:t>
      </w:r>
      <w:r w:rsidR="00EC2273" w:rsidRPr="001422B3">
        <w:rPr>
          <w:rFonts w:asciiTheme="majorHAnsi" w:hAnsiTheme="majorHAnsi" w:cstheme="majorHAnsi"/>
          <w:color w:val="2C2D5B"/>
        </w:rPr>
        <w:t xml:space="preserve">November </w:t>
      </w:r>
      <w:r w:rsidR="00385BE7" w:rsidRPr="001422B3">
        <w:rPr>
          <w:rFonts w:asciiTheme="majorHAnsi" w:hAnsiTheme="majorHAnsi" w:cstheme="majorHAnsi"/>
          <w:color w:val="2C2D5B"/>
        </w:rPr>
        <w:t xml:space="preserve">4, </w:t>
      </w:r>
      <w:r w:rsidR="00EC2273" w:rsidRPr="001422B3">
        <w:rPr>
          <w:rFonts w:asciiTheme="majorHAnsi" w:hAnsiTheme="majorHAnsi" w:cstheme="majorHAnsi"/>
          <w:color w:val="2C2D5B"/>
        </w:rPr>
        <w:t>1950</w:t>
      </w:r>
      <w:r w:rsidR="00F66A56" w:rsidRPr="001422B3">
        <w:rPr>
          <w:rFonts w:asciiTheme="majorHAnsi" w:hAnsiTheme="majorHAnsi" w:cstheme="majorHAnsi"/>
          <w:color w:val="2C2D5B"/>
        </w:rPr>
        <w:t xml:space="preserve">. </w:t>
      </w:r>
    </w:p>
    <w:p w14:paraId="03BA11D7" w14:textId="77777777" w:rsidR="001422B3" w:rsidRDefault="001422B3" w:rsidP="00B1680F">
      <w:pPr>
        <w:spacing w:line="276" w:lineRule="auto"/>
        <w:jc w:val="both"/>
        <w:rPr>
          <w:rFonts w:asciiTheme="majorHAnsi" w:hAnsiTheme="majorHAnsi" w:cstheme="majorHAnsi"/>
          <w:color w:val="2C2D5B"/>
        </w:rPr>
      </w:pPr>
    </w:p>
    <w:p w14:paraId="2136B398" w14:textId="77777777" w:rsidR="001422B3" w:rsidRDefault="001422B3" w:rsidP="00B1680F">
      <w:pPr>
        <w:spacing w:line="276" w:lineRule="auto"/>
        <w:jc w:val="both"/>
        <w:rPr>
          <w:rFonts w:asciiTheme="majorHAnsi" w:hAnsiTheme="majorHAnsi" w:cstheme="majorHAnsi"/>
          <w:color w:val="2C2D5B"/>
        </w:rPr>
      </w:pPr>
    </w:p>
    <w:p w14:paraId="400966C6" w14:textId="77777777" w:rsidR="001422B3" w:rsidRDefault="001422B3" w:rsidP="00B1680F">
      <w:pPr>
        <w:spacing w:line="276" w:lineRule="auto"/>
        <w:jc w:val="both"/>
        <w:rPr>
          <w:rFonts w:asciiTheme="majorHAnsi" w:hAnsiTheme="majorHAnsi" w:cstheme="majorHAnsi"/>
          <w:color w:val="2C2D5B"/>
        </w:rPr>
      </w:pPr>
    </w:p>
    <w:p w14:paraId="1A82A452" w14:textId="77777777" w:rsidR="001422B3" w:rsidRDefault="001422B3" w:rsidP="00B1680F">
      <w:pPr>
        <w:spacing w:line="276" w:lineRule="auto"/>
        <w:jc w:val="both"/>
        <w:rPr>
          <w:rFonts w:asciiTheme="majorHAnsi" w:hAnsiTheme="majorHAnsi" w:cstheme="majorHAnsi"/>
          <w:color w:val="2C2D5B"/>
        </w:rPr>
      </w:pPr>
    </w:p>
    <w:p w14:paraId="48964CEB" w14:textId="77777777" w:rsidR="001422B3" w:rsidRDefault="001422B3" w:rsidP="00B1680F">
      <w:pPr>
        <w:spacing w:line="276" w:lineRule="auto"/>
        <w:jc w:val="both"/>
        <w:rPr>
          <w:rFonts w:asciiTheme="majorHAnsi" w:hAnsiTheme="majorHAnsi" w:cstheme="majorHAnsi"/>
          <w:color w:val="2C2D5B"/>
        </w:rPr>
      </w:pPr>
    </w:p>
    <w:p w14:paraId="45E125C8" w14:textId="77777777" w:rsidR="001422B3" w:rsidRDefault="001422B3" w:rsidP="00B1680F">
      <w:pPr>
        <w:spacing w:line="276" w:lineRule="auto"/>
        <w:jc w:val="both"/>
        <w:rPr>
          <w:rFonts w:asciiTheme="majorHAnsi" w:hAnsiTheme="majorHAnsi" w:cstheme="majorHAnsi"/>
          <w:color w:val="2C2D5B"/>
        </w:rPr>
      </w:pPr>
    </w:p>
    <w:p w14:paraId="054D582F" w14:textId="77777777" w:rsidR="001422B3" w:rsidRDefault="001422B3" w:rsidP="00B1680F">
      <w:pPr>
        <w:spacing w:line="276" w:lineRule="auto"/>
        <w:jc w:val="both"/>
        <w:rPr>
          <w:rFonts w:asciiTheme="majorHAnsi" w:hAnsiTheme="majorHAnsi" w:cstheme="majorHAnsi"/>
          <w:color w:val="2C2D5B"/>
        </w:rPr>
      </w:pPr>
    </w:p>
    <w:p w14:paraId="4BD7E986" w14:textId="77777777" w:rsidR="001422B3" w:rsidRDefault="001422B3" w:rsidP="00B1680F">
      <w:pPr>
        <w:spacing w:line="276" w:lineRule="auto"/>
        <w:jc w:val="both"/>
        <w:rPr>
          <w:rFonts w:asciiTheme="majorHAnsi" w:hAnsiTheme="majorHAnsi" w:cstheme="majorHAnsi"/>
          <w:color w:val="2C2D5B"/>
        </w:rPr>
      </w:pPr>
    </w:p>
    <w:p w14:paraId="232FE6EB" w14:textId="77777777" w:rsidR="001422B3" w:rsidRDefault="001422B3" w:rsidP="00B1680F">
      <w:pPr>
        <w:spacing w:line="276" w:lineRule="auto"/>
        <w:jc w:val="both"/>
        <w:rPr>
          <w:rFonts w:asciiTheme="majorHAnsi" w:hAnsiTheme="majorHAnsi" w:cstheme="majorHAnsi"/>
          <w:color w:val="2C2D5B"/>
        </w:rPr>
      </w:pPr>
    </w:p>
    <w:p w14:paraId="30AC63A4" w14:textId="77777777" w:rsidR="001422B3" w:rsidRDefault="001422B3" w:rsidP="00B1680F">
      <w:pPr>
        <w:spacing w:line="276" w:lineRule="auto"/>
        <w:jc w:val="both"/>
        <w:rPr>
          <w:rFonts w:asciiTheme="majorHAnsi" w:hAnsiTheme="majorHAnsi" w:cstheme="majorHAnsi"/>
          <w:color w:val="2C2D5B"/>
        </w:rPr>
      </w:pPr>
    </w:p>
    <w:p w14:paraId="5F26309C" w14:textId="77777777" w:rsidR="001422B3" w:rsidRPr="001422B3" w:rsidRDefault="001422B3" w:rsidP="00B1680F">
      <w:pPr>
        <w:spacing w:line="276" w:lineRule="auto"/>
        <w:jc w:val="both"/>
        <w:rPr>
          <w:rFonts w:asciiTheme="majorHAnsi" w:hAnsiTheme="majorHAnsi" w:cstheme="majorHAnsi"/>
          <w:strike/>
          <w:color w:val="2C2D5B"/>
        </w:rPr>
      </w:pPr>
    </w:p>
    <w:p w14:paraId="6C7167DC" w14:textId="77777777" w:rsidR="001422B3" w:rsidRDefault="001422B3" w:rsidP="002E3100">
      <w:pPr>
        <w:spacing w:line="276" w:lineRule="auto"/>
        <w:jc w:val="both"/>
        <w:rPr>
          <w:rFonts w:ascii="Calibri" w:hAnsi="Calibri" w:cs="Calibri"/>
        </w:rPr>
      </w:pPr>
    </w:p>
    <w:p w14:paraId="02B56AE1" w14:textId="0EFB498E" w:rsidR="001422B3" w:rsidRDefault="00E53B29" w:rsidP="002E3100">
      <w:pPr>
        <w:spacing w:line="276" w:lineRule="auto"/>
        <w:jc w:val="both"/>
        <w:rPr>
          <w:rFonts w:ascii="Calibri" w:hAnsi="Calibri" w:cs="Calibri"/>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897856" behindDoc="0" locked="0" layoutInCell="1" allowOverlap="1" wp14:anchorId="2DDA0CAE" wp14:editId="22A0966B">
            <wp:simplePos x="0" y="0"/>
            <wp:positionH relativeFrom="column">
              <wp:posOffset>4737100</wp:posOffset>
            </wp:positionH>
            <wp:positionV relativeFrom="paragraph">
              <wp:posOffset>127776</wp:posOffset>
            </wp:positionV>
            <wp:extent cx="713105" cy="575310"/>
            <wp:effectExtent l="0" t="0" r="0" b="0"/>
            <wp:wrapNone/>
            <wp:docPr id="1707651722"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p>
    <w:p w14:paraId="6D22351E" w14:textId="2B664F41" w:rsidR="00291C74" w:rsidRDefault="00385BE7" w:rsidP="002E3100">
      <w:pPr>
        <w:spacing w:line="276" w:lineRule="auto"/>
        <w:jc w:val="both"/>
        <w:rPr>
          <w:rFonts w:ascii="Calibri" w:hAnsi="Calibri" w:cs="Calibri"/>
        </w:rPr>
      </w:pPr>
      <w:r w:rsidRPr="005A6959">
        <w:rPr>
          <w:rFonts w:ascii="Calibri" w:hAnsi="Calibri" w:cs="Calibri"/>
          <w:noProof/>
        </w:rPr>
        <mc:AlternateContent>
          <mc:Choice Requires="wps">
            <w:drawing>
              <wp:anchor distT="45720" distB="45720" distL="114300" distR="114300" simplePos="0" relativeHeight="251711488" behindDoc="0" locked="0" layoutInCell="1" allowOverlap="1" wp14:anchorId="76CBC63A" wp14:editId="20529980">
                <wp:simplePos x="0" y="0"/>
                <wp:positionH relativeFrom="margin">
                  <wp:align>left</wp:align>
                </wp:positionH>
                <wp:positionV relativeFrom="paragraph">
                  <wp:posOffset>252730</wp:posOffset>
                </wp:positionV>
                <wp:extent cx="5381625" cy="5638800"/>
                <wp:effectExtent l="0" t="0" r="28575" b="19050"/>
                <wp:wrapSquare wrapText="bothSides"/>
                <wp:docPr id="120589738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1625" cy="5638800"/>
                        </a:xfrm>
                        <a:prstGeom prst="roundRect">
                          <a:avLst/>
                        </a:prstGeom>
                        <a:solidFill>
                          <a:schemeClr val="bg1"/>
                        </a:solidFill>
                        <a:ln w="19050">
                          <a:solidFill>
                            <a:srgbClr val="B6A04C"/>
                          </a:solidFill>
                          <a:miter lim="800000"/>
                          <a:headEnd/>
                          <a:tailEnd/>
                        </a:ln>
                      </wps:spPr>
                      <wps:txbx>
                        <w:txbxContent>
                          <w:p w14:paraId="7692650B" w14:textId="7BB30FEA" w:rsidR="00385BE7" w:rsidRPr="007A6459" w:rsidRDefault="00385BE7" w:rsidP="001422B3">
                            <w:pPr>
                              <w:jc w:val="center"/>
                              <w:rPr>
                                <w:rFonts w:asciiTheme="minorHAnsi" w:hAnsiTheme="minorHAnsi" w:cstheme="minorHAnsi"/>
                                <w:b/>
                                <w:bCs/>
                                <w:color w:val="B6A04C"/>
                                <w:sz w:val="20"/>
                                <w:szCs w:val="20"/>
                                <w:lang w:val="de-DE"/>
                              </w:rPr>
                            </w:pPr>
                            <w:hyperlink r:id="rId17" w:history="1">
                              <w:r w:rsidRPr="007A6459">
                                <w:rPr>
                                  <w:rStyle w:val="Hypertextovodkaz"/>
                                  <w:rFonts w:asciiTheme="minorHAnsi" w:hAnsiTheme="minorHAnsi" w:cstheme="minorHAnsi"/>
                                  <w:b/>
                                  <w:bCs/>
                                  <w:color w:val="B6A04C"/>
                                  <w:sz w:val="20"/>
                                  <w:szCs w:val="20"/>
                                  <w:lang w:val="de-DE"/>
                                </w:rPr>
                                <w:t>CJEU Judgement, 17 december 1970, Internationale</w:t>
                              </w:r>
                              <w:r w:rsidRPr="007A6459">
                                <w:rPr>
                                  <w:rStyle w:val="Hypertextovodkaz"/>
                                  <w:rFonts w:asciiTheme="minorHAnsi" w:hAnsiTheme="minorHAnsi" w:cstheme="minorHAnsi"/>
                                  <w:b/>
                                  <w:bCs/>
                                  <w:i/>
                                  <w:iCs/>
                                  <w:color w:val="B6A04C"/>
                                  <w:sz w:val="20"/>
                                  <w:szCs w:val="20"/>
                                  <w:lang w:val="de-DE"/>
                                </w:rPr>
                                <w:t xml:space="preserve"> Handelsgesellschaft mbH v. Einfuhr- und Vorratsstelle für Getreide und Futtermittel</w:t>
                              </w:r>
                              <w:r w:rsidRPr="007A6459">
                                <w:rPr>
                                  <w:rStyle w:val="Hypertextovodkaz"/>
                                  <w:rFonts w:asciiTheme="minorHAnsi" w:hAnsiTheme="minorHAnsi" w:cstheme="minorHAnsi"/>
                                  <w:b/>
                                  <w:bCs/>
                                  <w:color w:val="B6A04C"/>
                                  <w:sz w:val="20"/>
                                  <w:szCs w:val="20"/>
                                  <w:lang w:val="de-DE"/>
                                </w:rPr>
                                <w:t>, C-11/70, ECLI:EU:C:1970:114</w:t>
                              </w:r>
                            </w:hyperlink>
                          </w:p>
                          <w:p w14:paraId="4F64ED84" w14:textId="07C00114" w:rsidR="00385BE7" w:rsidRPr="00856642" w:rsidRDefault="00385BE7" w:rsidP="00385BE7">
                            <w:pPr>
                              <w:jc w:val="both"/>
                              <w:rPr>
                                <w:rFonts w:asciiTheme="minorHAnsi" w:hAnsiTheme="minorHAnsi" w:cstheme="minorHAnsi"/>
                                <w:b/>
                                <w:bCs/>
                                <w:sz w:val="20"/>
                                <w:szCs w:val="20"/>
                                <w:lang w:val="de-DE"/>
                              </w:rPr>
                            </w:pPr>
                          </w:p>
                          <w:p w14:paraId="1A743FD5" w14:textId="1F76809E" w:rsidR="00D97D5D" w:rsidRPr="001422B3" w:rsidRDefault="00D97D5D" w:rsidP="00385BE7">
                            <w:pPr>
                              <w:jc w:val="both"/>
                              <w:rPr>
                                <w:rFonts w:asciiTheme="minorHAnsi" w:hAnsiTheme="minorHAnsi" w:cstheme="minorHAnsi"/>
                                <w:b/>
                                <w:bCs/>
                                <w:color w:val="2C2D5B"/>
                                <w:sz w:val="20"/>
                                <w:szCs w:val="20"/>
                              </w:rPr>
                            </w:pPr>
                            <w:r w:rsidRPr="001422B3">
                              <w:rPr>
                                <w:rFonts w:asciiTheme="minorHAnsi" w:hAnsiTheme="minorHAnsi" w:cstheme="minorHAnsi"/>
                                <w:b/>
                                <w:bCs/>
                                <w:color w:val="2C2D5B"/>
                                <w:sz w:val="20"/>
                                <w:szCs w:val="20"/>
                              </w:rPr>
                              <w:t>Facts</w:t>
                            </w:r>
                            <w:r w:rsidR="001422B3" w:rsidRPr="001422B3">
                              <w:rPr>
                                <w:rFonts w:asciiTheme="minorHAnsi" w:hAnsiTheme="minorHAnsi" w:cstheme="minorHAnsi"/>
                                <w:b/>
                                <w:bCs/>
                                <w:color w:val="2C2D5B"/>
                                <w:sz w:val="20"/>
                                <w:szCs w:val="20"/>
                              </w:rPr>
                              <w:t xml:space="preserve"> </w:t>
                            </w:r>
                            <w:r w:rsidRPr="001422B3">
                              <w:rPr>
                                <w:rFonts w:asciiTheme="minorHAnsi" w:hAnsiTheme="minorHAnsi" w:cstheme="minorHAnsi"/>
                                <w:b/>
                                <w:bCs/>
                                <w:color w:val="2C2D5B"/>
                                <w:sz w:val="20"/>
                                <w:szCs w:val="20"/>
                              </w:rPr>
                              <w:t xml:space="preserve">: </w:t>
                            </w:r>
                          </w:p>
                          <w:p w14:paraId="6B98BBCB" w14:textId="6EE6A24A" w:rsidR="00385BE7" w:rsidRPr="001422B3" w:rsidRDefault="00385BE7" w:rsidP="00385BE7">
                            <w:pPr>
                              <w:jc w:val="both"/>
                              <w:rPr>
                                <w:rFonts w:asciiTheme="minorHAnsi" w:hAnsiTheme="minorHAnsi" w:cstheme="minorHAnsi"/>
                                <w:color w:val="2C2D5B"/>
                                <w:sz w:val="20"/>
                                <w:szCs w:val="20"/>
                              </w:rPr>
                            </w:pPr>
                            <w:r w:rsidRPr="001422B3">
                              <w:rPr>
                                <w:rFonts w:asciiTheme="minorHAnsi" w:hAnsiTheme="minorHAnsi" w:cstheme="minorHAnsi"/>
                                <w:color w:val="2C2D5B"/>
                                <w:sz w:val="20"/>
                                <w:szCs w:val="20"/>
                              </w:rPr>
                              <w:t>Also known as Solange I, this case involved a conflict between national and EU law. The Common Agricultural Policy established as a requirement a deposit of a sum of money to obtain export licenses. If the export was not carried out during the period of validity of the license, the deposit would be lost. The Internationale Handelsgesellschaft mbH claimed that this licensing system was a violation of its right to conduct a business enshrined in the German constitution. The German Administrative Court submitted a preliminary question to the CJEU.</w:t>
                            </w:r>
                          </w:p>
                          <w:p w14:paraId="5E007165" w14:textId="77777777" w:rsidR="00D97D5D" w:rsidRPr="001422B3" w:rsidRDefault="00D97D5D" w:rsidP="00385BE7">
                            <w:pPr>
                              <w:jc w:val="both"/>
                              <w:rPr>
                                <w:rFonts w:asciiTheme="minorHAnsi" w:hAnsiTheme="minorHAnsi" w:cstheme="minorHAnsi"/>
                                <w:color w:val="2C2D5B"/>
                                <w:sz w:val="20"/>
                                <w:szCs w:val="20"/>
                              </w:rPr>
                            </w:pPr>
                          </w:p>
                          <w:p w14:paraId="5D695328" w14:textId="2030E393" w:rsidR="00385BE7" w:rsidRPr="001422B3" w:rsidRDefault="00D97D5D" w:rsidP="00385BE7">
                            <w:pPr>
                              <w:jc w:val="both"/>
                              <w:rPr>
                                <w:rFonts w:asciiTheme="minorHAnsi" w:hAnsiTheme="minorHAnsi" w:cstheme="minorHAnsi"/>
                                <w:b/>
                                <w:bCs/>
                                <w:color w:val="2C2D5B"/>
                                <w:sz w:val="20"/>
                                <w:szCs w:val="20"/>
                              </w:rPr>
                            </w:pPr>
                            <w:r w:rsidRPr="001422B3">
                              <w:rPr>
                                <w:rFonts w:asciiTheme="minorHAnsi" w:hAnsiTheme="minorHAnsi" w:cstheme="minorHAnsi"/>
                                <w:b/>
                                <w:bCs/>
                                <w:color w:val="2C2D5B"/>
                                <w:sz w:val="20"/>
                                <w:szCs w:val="20"/>
                              </w:rPr>
                              <w:t>Ruling</w:t>
                            </w:r>
                            <w:r w:rsidR="001422B3" w:rsidRPr="001422B3">
                              <w:rPr>
                                <w:rFonts w:asciiTheme="minorHAnsi" w:hAnsiTheme="minorHAnsi" w:cstheme="minorHAnsi"/>
                                <w:b/>
                                <w:bCs/>
                                <w:color w:val="2C2D5B"/>
                                <w:sz w:val="20"/>
                                <w:szCs w:val="20"/>
                              </w:rPr>
                              <w:t xml:space="preserve"> </w:t>
                            </w:r>
                            <w:r w:rsidRPr="001422B3">
                              <w:rPr>
                                <w:rFonts w:asciiTheme="minorHAnsi" w:hAnsiTheme="minorHAnsi" w:cstheme="minorHAnsi"/>
                                <w:b/>
                                <w:bCs/>
                                <w:color w:val="2C2D5B"/>
                                <w:sz w:val="20"/>
                                <w:szCs w:val="20"/>
                              </w:rPr>
                              <w:t xml:space="preserve">: </w:t>
                            </w:r>
                          </w:p>
                          <w:p w14:paraId="14B5D168" w14:textId="56235818" w:rsidR="00385BE7" w:rsidRPr="001422B3" w:rsidRDefault="00385BE7" w:rsidP="00385BE7">
                            <w:pPr>
                              <w:jc w:val="both"/>
                              <w:rPr>
                                <w:rFonts w:asciiTheme="minorHAnsi" w:hAnsiTheme="minorHAnsi" w:cstheme="minorHAnsi"/>
                                <w:color w:val="2C2D5B"/>
                                <w:sz w:val="20"/>
                                <w:szCs w:val="20"/>
                              </w:rPr>
                            </w:pPr>
                            <w:r w:rsidRPr="001422B3">
                              <w:rPr>
                                <w:rFonts w:asciiTheme="minorHAnsi" w:hAnsiTheme="minorHAnsi" w:cstheme="minorHAnsi"/>
                                <w:color w:val="2C2D5B"/>
                                <w:sz w:val="20"/>
                                <w:szCs w:val="20"/>
                              </w:rPr>
                              <w:t>Despite not finding any violation of rights in the specific case, the CJEU indicated that national law, even at constitutional level, cannot determine the validity of EU law:</w:t>
                            </w:r>
                          </w:p>
                          <w:p w14:paraId="01946D8C" w14:textId="77777777" w:rsidR="00385BE7" w:rsidRPr="001422B3" w:rsidRDefault="00385BE7" w:rsidP="00385BE7">
                            <w:pPr>
                              <w:jc w:val="both"/>
                              <w:rPr>
                                <w:rFonts w:asciiTheme="minorHAnsi" w:hAnsiTheme="minorHAnsi" w:cstheme="minorHAnsi"/>
                                <w:color w:val="2C2D5B"/>
                                <w:sz w:val="20"/>
                                <w:szCs w:val="20"/>
                              </w:rPr>
                            </w:pPr>
                          </w:p>
                          <w:p w14:paraId="29E23EC1" w14:textId="05A35F6C" w:rsidR="00385BE7" w:rsidRPr="001422B3" w:rsidRDefault="00385BE7" w:rsidP="00385BE7">
                            <w:pPr>
                              <w:jc w:val="both"/>
                              <w:rPr>
                                <w:rFonts w:asciiTheme="minorHAnsi" w:hAnsiTheme="minorHAnsi" w:cstheme="minorHAnsi"/>
                                <w:i/>
                                <w:iCs/>
                                <w:color w:val="2C2D5B"/>
                                <w:sz w:val="20"/>
                                <w:szCs w:val="20"/>
                              </w:rPr>
                            </w:pPr>
                            <w:r w:rsidRPr="001422B3">
                              <w:rPr>
                                <w:rFonts w:asciiTheme="minorHAnsi" w:hAnsiTheme="minorHAnsi" w:cstheme="minorHAnsi"/>
                                <w:i/>
                                <w:iCs/>
                                <w:color w:val="2C2D5B"/>
                                <w:sz w:val="20"/>
                                <w:szCs w:val="20"/>
                              </w:rPr>
                              <w:t>“3. Recourse to the legal rules or concepts of national law in order to judge the validity of measures adopted by the institutions of the Community would have an adverse effect on the uniformity and efficacy of Community law. The validity of such measures can only be judged in the light of Community law. In fact, the law stemming from the Treaty, an independent source of law, cannot because of its very nature be overridden by rules of national law, however framed, without being deprived of its character as Community law and without the legal basis of the Community itself being called in question. […]”.</w:t>
                            </w:r>
                          </w:p>
                          <w:p w14:paraId="66E44A63" w14:textId="77777777" w:rsidR="00385BE7" w:rsidRPr="001422B3" w:rsidRDefault="00385BE7" w:rsidP="00385BE7">
                            <w:pPr>
                              <w:jc w:val="both"/>
                              <w:rPr>
                                <w:rFonts w:asciiTheme="minorHAnsi" w:hAnsiTheme="minorHAnsi" w:cstheme="minorHAnsi"/>
                                <w:i/>
                                <w:iCs/>
                                <w:color w:val="2C2D5B"/>
                                <w:sz w:val="20"/>
                                <w:szCs w:val="20"/>
                              </w:rPr>
                            </w:pPr>
                          </w:p>
                          <w:p w14:paraId="329E7C21" w14:textId="620048A3" w:rsidR="00385BE7" w:rsidRPr="001422B3" w:rsidRDefault="00385BE7" w:rsidP="00385BE7">
                            <w:pPr>
                              <w:jc w:val="both"/>
                              <w:rPr>
                                <w:rFonts w:asciiTheme="minorHAnsi" w:hAnsiTheme="minorHAnsi" w:cstheme="minorHAnsi"/>
                                <w:color w:val="2C2D5B"/>
                                <w:sz w:val="20"/>
                                <w:szCs w:val="20"/>
                              </w:rPr>
                            </w:pPr>
                            <w:r w:rsidRPr="001422B3">
                              <w:rPr>
                                <w:rFonts w:asciiTheme="minorHAnsi" w:hAnsiTheme="minorHAnsi" w:cstheme="minorHAnsi"/>
                                <w:color w:val="2C2D5B"/>
                                <w:sz w:val="20"/>
                                <w:szCs w:val="20"/>
                              </w:rPr>
                              <w:t xml:space="preserve">However, the CJEU acknowledged that constitutional texts could broaden the scope of general legal principles: </w:t>
                            </w:r>
                          </w:p>
                          <w:p w14:paraId="49D3D136" w14:textId="77777777" w:rsidR="00385BE7" w:rsidRPr="001422B3" w:rsidRDefault="00385BE7" w:rsidP="00385BE7">
                            <w:pPr>
                              <w:jc w:val="both"/>
                              <w:rPr>
                                <w:rFonts w:asciiTheme="minorHAnsi" w:hAnsiTheme="minorHAnsi" w:cstheme="minorHAnsi"/>
                                <w:i/>
                                <w:iCs/>
                                <w:color w:val="2C2D5B"/>
                                <w:sz w:val="20"/>
                                <w:szCs w:val="20"/>
                              </w:rPr>
                            </w:pPr>
                          </w:p>
                          <w:p w14:paraId="37B1A7D4" w14:textId="762BE746" w:rsidR="00385BE7" w:rsidRPr="001422B3" w:rsidRDefault="00385BE7" w:rsidP="00385BE7">
                            <w:pPr>
                              <w:jc w:val="both"/>
                              <w:rPr>
                                <w:rFonts w:asciiTheme="minorHAnsi" w:hAnsiTheme="minorHAnsi" w:cstheme="minorHAnsi"/>
                                <w:b/>
                                <w:bCs/>
                                <w:color w:val="2C2D5B"/>
                                <w:sz w:val="20"/>
                                <w:szCs w:val="20"/>
                              </w:rPr>
                            </w:pPr>
                            <w:r w:rsidRPr="001422B3">
                              <w:rPr>
                                <w:rFonts w:asciiTheme="minorHAnsi" w:hAnsiTheme="minorHAnsi" w:cstheme="minorHAnsi"/>
                                <w:b/>
                                <w:bCs/>
                                <w:color w:val="2C2D5B"/>
                                <w:sz w:val="20"/>
                                <w:szCs w:val="20"/>
                              </w:rPr>
                              <w:t>Important Insight</w:t>
                            </w:r>
                            <w:r w:rsidR="001422B3" w:rsidRPr="001422B3">
                              <w:rPr>
                                <w:rFonts w:asciiTheme="minorHAnsi" w:hAnsiTheme="minorHAnsi" w:cstheme="minorHAnsi"/>
                                <w:b/>
                                <w:bCs/>
                                <w:color w:val="2C2D5B"/>
                                <w:sz w:val="20"/>
                                <w:szCs w:val="20"/>
                              </w:rPr>
                              <w:t xml:space="preserve"> </w:t>
                            </w:r>
                            <w:r w:rsidRPr="001422B3">
                              <w:rPr>
                                <w:rFonts w:asciiTheme="minorHAnsi" w:hAnsiTheme="minorHAnsi" w:cstheme="minorHAnsi"/>
                                <w:b/>
                                <w:bCs/>
                                <w:color w:val="2C2D5B"/>
                                <w:sz w:val="20"/>
                                <w:szCs w:val="20"/>
                              </w:rPr>
                              <w:t xml:space="preserve">: </w:t>
                            </w:r>
                          </w:p>
                          <w:p w14:paraId="51AEFA57" w14:textId="7BEBAFB0" w:rsidR="00385BE7" w:rsidRPr="001422B3" w:rsidRDefault="00C91C97" w:rsidP="00385BE7">
                            <w:pPr>
                              <w:jc w:val="both"/>
                              <w:rPr>
                                <w:rFonts w:asciiTheme="minorHAnsi" w:hAnsiTheme="minorHAnsi" w:cstheme="minorHAnsi"/>
                                <w:i/>
                                <w:iCs/>
                                <w:color w:val="2C2D5B"/>
                                <w:sz w:val="20"/>
                                <w:szCs w:val="20"/>
                              </w:rPr>
                            </w:pPr>
                            <w:r w:rsidRPr="001422B3">
                              <w:rPr>
                                <w:rFonts w:asciiTheme="minorHAnsi" w:hAnsiTheme="minorHAnsi" w:cstheme="minorHAnsi"/>
                                <w:i/>
                                <w:iCs/>
                                <w:color w:val="2C2D5B"/>
                                <w:sz w:val="20"/>
                                <w:szCs w:val="20"/>
                              </w:rPr>
                              <w:t>“4. However, an examination should be made as to whether or not any analogous guarantee inherent in Community law has been disregarded. In fact, respect for fundamental rights forms an integral part of the general principles of law protected by the Court of Justice. The protection of such rights, whilst inspired by the constitutional traditions common to the Member States, must be ensured within the framework of the structure and objectives of the Community. It must therefore be ascertained, in the light of the doubts expressed by the Verwaltungsgericht, whether the system of deposits has infringed rights of a fundamental nature, respect for which must be ensured in the Community legal system.”.</w:t>
                            </w:r>
                          </w:p>
                          <w:p w14:paraId="52A6B03A" w14:textId="77777777" w:rsidR="00385BE7" w:rsidRPr="00434064" w:rsidRDefault="00385BE7" w:rsidP="00385BE7">
                            <w:pPr>
                              <w:jc w:val="both"/>
                              <w:rPr>
                                <w:rFonts w:asciiTheme="minorHAnsi" w:hAnsiTheme="minorHAnsi" w:cstheme="minorHAnsi"/>
                                <w:i/>
                                <w:iCs/>
                                <w:sz w:val="20"/>
                                <w:szCs w:val="20"/>
                              </w:rPr>
                            </w:pPr>
                          </w:p>
                          <w:p w14:paraId="154A56E8" w14:textId="77777777" w:rsidR="00385BE7" w:rsidRPr="00434064" w:rsidRDefault="00385BE7" w:rsidP="00385BE7">
                            <w:pPr>
                              <w:jc w:val="both"/>
                              <w:rPr>
                                <w:rFonts w:asciiTheme="minorHAnsi" w:hAnsiTheme="minorHAnsi" w:cstheme="minorHAnsi"/>
                                <w:i/>
                                <w:iCs/>
                                <w:sz w:val="20"/>
                                <w:szCs w:val="20"/>
                              </w:rPr>
                            </w:pPr>
                          </w:p>
                          <w:p w14:paraId="267FFF37" w14:textId="77777777" w:rsidR="00385BE7" w:rsidRPr="00DC6DCF" w:rsidRDefault="00385BE7" w:rsidP="00CA23A4">
                            <w:pPr>
                              <w:jc w:val="both"/>
                              <w:rPr>
                                <w:rFonts w:asciiTheme="minorHAnsi" w:hAnsiTheme="minorHAnsi" w:cstheme="minorHAnsi"/>
                                <w:b/>
                                <w:bCs/>
                                <w:i/>
                                <w:iCs/>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76CBC63A" id="_x0000_s1028" style="position:absolute;left:0;text-align:left;margin-left:0;margin-top:19.9pt;width:423.75pt;height:444pt;z-index:25171148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PSxIwIAACwEAAAOAAAAZHJzL2Uyb0RvYy54bWysU9uO2yAQfa/Uf0C8N3aySZq14qyy2W5V&#10;aXtRt/0ADNhGxQwFEnv79R1wNpumb1X9gBgPHOacObO+GTpNDtJ5Baak00lOiTQchDJNSb9/u3+z&#10;osQHZgTTYGRJn6SnN5vXr9a9LeQMWtBCOoIgxhe9LWkbgi2yzPNWdsxPwEqDyRpcxwKGrsmEYz2i&#10;dzqb5fky68EJ64BL7/Hv3Zikm4Rf15KHz3XtZSC6pFhbSKtLaxXXbLNmReOYbRU/lsH+oYqOKYOP&#10;nqDuWGBk79RfUJ3iDjzUYcKhy6CuFZeJA7KZ5hdsHltmZeKC4nh7ksn/P1j+6fBovzgShlsYsIGJ&#10;hLcPwH94YmDXMtPIrXPQt5IJfHgaJct664vj1Si1L3wEqfqPILDJbB8gAQ2166IqyJMgOjbg6SS6&#10;HALh+HNxtZouZwtKOOYWy6vVKk9tyVjxfN06H95L6EjclNTB3oiv2Nr0Bjs8+BBrYsXzufikB63E&#10;vdI6BdFOcqcdOTA0QtWMLC5OaUN6JHidL/JRhj8gXFOdAG6X23y+S0pcYHQqoJ+16kqKPPAbHRbF&#10;e2dEcltgSo97LFmbo5pRwFHKMFQDUaKks3g3iluBeEJ5HYz2xXHDTQvuFyU9Wrek/ueeOUmJ/mCw&#10;RdfT+Tx6PQXzxdsZBu48U51nmOEIVdJAybjdhTQfUTcDW2xlrZK+L5UcS0ZLJtmP4xM9fx6nUy9D&#10;vvkNAAD//wMAUEsDBBQABgAIAAAAIQCoXXM53AAAAAcBAAAPAAAAZHJzL2Rvd25yZXYueG1sTM/B&#10;TsMwDAbgOxLvEBmJG0sZG0tL3amaxIXbyjhwS1vTFJqkarKuvD3mBEfrt35/zveLHcRMU+i9Q7hf&#10;JSDINb7tXYdwen2+UyBC1K7Vg3eE8E0B9sX1Va6z1l/ckeYqdoJLXMg0golxzKQMjSGrw8qP5Dj7&#10;8JPVkcepk+2kL1xuB7lOkkdpde/4gtEjHQw1X9XZIsyn47ZUh/dNZd7kZ/pSqlpZhXh7s5RPICIt&#10;8W8ZfvlMh4JNtT+7NogBgR+JCA8p+zlVm90WRI2QrncKZJHL//7iBwAA//8DAFBLAQItABQABgAI&#10;AAAAIQC2gziS/gAAAOEBAAATAAAAAAAAAAAAAAAAAAAAAABbQ29udGVudF9UeXBlc10ueG1sUEsB&#10;Ai0AFAAGAAgAAAAhADj9If/WAAAAlAEAAAsAAAAAAAAAAAAAAAAALwEAAF9yZWxzLy5yZWxzUEsB&#10;Ai0AFAAGAAgAAAAhAN+49LEjAgAALAQAAA4AAAAAAAAAAAAAAAAALgIAAGRycy9lMm9Eb2MueG1s&#10;UEsBAi0AFAAGAAgAAAAhAKhdczncAAAABwEAAA8AAAAAAAAAAAAAAAAAfQQAAGRycy9kb3ducmV2&#10;LnhtbFBLBQYAAAAABAAEAPMAAACGBQAAAAA=&#10;" fillcolor="white [3212]" strokecolor="#b6a04c" strokeweight="1.5pt">
                <v:stroke joinstyle="miter"/>
                <v:textbox>
                  <w:txbxContent>
                    <w:p w14:paraId="7692650B" w14:textId="7BB30FEA" w:rsidR="00385BE7" w:rsidRPr="007A6459" w:rsidRDefault="00385BE7" w:rsidP="001422B3">
                      <w:pPr>
                        <w:jc w:val="center"/>
                        <w:rPr>
                          <w:rFonts w:asciiTheme="minorHAnsi" w:hAnsiTheme="minorHAnsi" w:cstheme="minorHAnsi"/>
                          <w:b/>
                          <w:bCs/>
                          <w:color w:val="B6A04C"/>
                          <w:sz w:val="20"/>
                          <w:szCs w:val="20"/>
                          <w:lang w:val="de-DE"/>
                        </w:rPr>
                      </w:pPr>
                      <w:r>
                        <w:fldChar w:fldCharType="begin"/>
                      </w:r>
                      <w:r w:rsidRPr="00E57DB6">
                        <w:rPr>
                          <w:lang w:val="de-DE"/>
                        </w:rPr>
                        <w:instrText>HYPERLINK "https://eur-lex.europa.eu/legal-content/EN/TXT/?uri=celex%3A61970CJ0011"</w:instrText>
                      </w:r>
                      <w:r>
                        <w:fldChar w:fldCharType="separate"/>
                      </w:r>
                      <w:r w:rsidRPr="007A6459">
                        <w:rPr>
                          <w:rStyle w:val="Lienhypertexte"/>
                          <w:rFonts w:asciiTheme="minorHAnsi" w:hAnsiTheme="minorHAnsi" w:cstheme="minorHAnsi"/>
                          <w:b/>
                          <w:bCs/>
                          <w:color w:val="B6A04C"/>
                          <w:sz w:val="20"/>
                          <w:szCs w:val="20"/>
                          <w:lang w:val="de-DE"/>
                        </w:rPr>
                        <w:t>CJEU Judgement, 17 december 1970, Internationale</w:t>
                      </w:r>
                      <w:r w:rsidRPr="007A6459">
                        <w:rPr>
                          <w:rStyle w:val="Lienhypertexte"/>
                          <w:rFonts w:asciiTheme="minorHAnsi" w:hAnsiTheme="minorHAnsi" w:cstheme="minorHAnsi"/>
                          <w:b/>
                          <w:bCs/>
                          <w:i/>
                          <w:iCs/>
                          <w:color w:val="B6A04C"/>
                          <w:sz w:val="20"/>
                          <w:szCs w:val="20"/>
                          <w:lang w:val="de-DE"/>
                        </w:rPr>
                        <w:t xml:space="preserve"> Handelsgesellschaft mbH v. Einfuhr- und Vorratsstelle für Getreide und Futtermittel</w:t>
                      </w:r>
                      <w:r w:rsidRPr="007A6459">
                        <w:rPr>
                          <w:rStyle w:val="Lienhypertexte"/>
                          <w:rFonts w:asciiTheme="minorHAnsi" w:hAnsiTheme="minorHAnsi" w:cstheme="minorHAnsi"/>
                          <w:b/>
                          <w:bCs/>
                          <w:color w:val="B6A04C"/>
                          <w:sz w:val="20"/>
                          <w:szCs w:val="20"/>
                          <w:lang w:val="de-DE"/>
                        </w:rPr>
                        <w:t>, C-11/70, ECLI:EU:C:1970:114</w:t>
                      </w:r>
                      <w:r>
                        <w:fldChar w:fldCharType="end"/>
                      </w:r>
                    </w:p>
                    <w:p w14:paraId="4F64ED84" w14:textId="07C00114" w:rsidR="00385BE7" w:rsidRPr="00856642" w:rsidRDefault="00385BE7" w:rsidP="00385BE7">
                      <w:pPr>
                        <w:jc w:val="both"/>
                        <w:rPr>
                          <w:rFonts w:asciiTheme="minorHAnsi" w:hAnsiTheme="minorHAnsi" w:cstheme="minorHAnsi"/>
                          <w:b/>
                          <w:bCs/>
                          <w:sz w:val="20"/>
                          <w:szCs w:val="20"/>
                          <w:lang w:val="de-DE"/>
                        </w:rPr>
                      </w:pPr>
                    </w:p>
                    <w:p w14:paraId="1A743FD5" w14:textId="1F76809E" w:rsidR="00D97D5D" w:rsidRPr="001422B3" w:rsidRDefault="00D97D5D" w:rsidP="00385BE7">
                      <w:pPr>
                        <w:jc w:val="both"/>
                        <w:rPr>
                          <w:rFonts w:asciiTheme="minorHAnsi" w:hAnsiTheme="minorHAnsi" w:cstheme="minorHAnsi"/>
                          <w:b/>
                          <w:bCs/>
                          <w:color w:val="2C2D5B"/>
                          <w:sz w:val="20"/>
                          <w:szCs w:val="20"/>
                        </w:rPr>
                      </w:pPr>
                      <w:r w:rsidRPr="001422B3">
                        <w:rPr>
                          <w:rFonts w:asciiTheme="minorHAnsi" w:hAnsiTheme="minorHAnsi" w:cstheme="minorHAnsi"/>
                          <w:b/>
                          <w:bCs/>
                          <w:color w:val="2C2D5B"/>
                          <w:sz w:val="20"/>
                          <w:szCs w:val="20"/>
                        </w:rPr>
                        <w:t>Facts</w:t>
                      </w:r>
                      <w:r w:rsidR="001422B3" w:rsidRPr="001422B3">
                        <w:rPr>
                          <w:rFonts w:asciiTheme="minorHAnsi" w:hAnsiTheme="minorHAnsi" w:cstheme="minorHAnsi"/>
                          <w:b/>
                          <w:bCs/>
                          <w:color w:val="2C2D5B"/>
                          <w:sz w:val="20"/>
                          <w:szCs w:val="20"/>
                        </w:rPr>
                        <w:t xml:space="preserve"> </w:t>
                      </w:r>
                      <w:r w:rsidRPr="001422B3">
                        <w:rPr>
                          <w:rFonts w:asciiTheme="minorHAnsi" w:hAnsiTheme="minorHAnsi" w:cstheme="minorHAnsi"/>
                          <w:b/>
                          <w:bCs/>
                          <w:color w:val="2C2D5B"/>
                          <w:sz w:val="20"/>
                          <w:szCs w:val="20"/>
                        </w:rPr>
                        <w:t xml:space="preserve">: </w:t>
                      </w:r>
                    </w:p>
                    <w:p w14:paraId="6B98BBCB" w14:textId="6EE6A24A" w:rsidR="00385BE7" w:rsidRPr="001422B3" w:rsidRDefault="00385BE7" w:rsidP="00385BE7">
                      <w:pPr>
                        <w:jc w:val="both"/>
                        <w:rPr>
                          <w:rFonts w:asciiTheme="minorHAnsi" w:hAnsiTheme="minorHAnsi" w:cstheme="minorHAnsi"/>
                          <w:color w:val="2C2D5B"/>
                          <w:sz w:val="20"/>
                          <w:szCs w:val="20"/>
                        </w:rPr>
                      </w:pPr>
                      <w:r w:rsidRPr="001422B3">
                        <w:rPr>
                          <w:rFonts w:asciiTheme="minorHAnsi" w:hAnsiTheme="minorHAnsi" w:cstheme="minorHAnsi"/>
                          <w:color w:val="2C2D5B"/>
                          <w:sz w:val="20"/>
                          <w:szCs w:val="20"/>
                        </w:rPr>
                        <w:t>Also known as Solange I, this case involved a conflict between national and EU law. The Common Agricultural Policy established as a requirement a deposit of a sum of money to obtain export licenses. If the export was not carried out during the period of validity of the license, the deposit would be lost. The Internationale Handelsgesellschaft mbH claimed that this licensing system was a violation of its right to conduct a business enshrined in the German constitution. The German Administrative Court submitted a preliminary question to the CJEU.</w:t>
                      </w:r>
                    </w:p>
                    <w:p w14:paraId="5E007165" w14:textId="77777777" w:rsidR="00D97D5D" w:rsidRPr="001422B3" w:rsidRDefault="00D97D5D" w:rsidP="00385BE7">
                      <w:pPr>
                        <w:jc w:val="both"/>
                        <w:rPr>
                          <w:rFonts w:asciiTheme="minorHAnsi" w:hAnsiTheme="minorHAnsi" w:cstheme="minorHAnsi"/>
                          <w:color w:val="2C2D5B"/>
                          <w:sz w:val="20"/>
                          <w:szCs w:val="20"/>
                        </w:rPr>
                      </w:pPr>
                    </w:p>
                    <w:p w14:paraId="5D695328" w14:textId="2030E393" w:rsidR="00385BE7" w:rsidRPr="001422B3" w:rsidRDefault="00D97D5D" w:rsidP="00385BE7">
                      <w:pPr>
                        <w:jc w:val="both"/>
                        <w:rPr>
                          <w:rFonts w:asciiTheme="minorHAnsi" w:hAnsiTheme="minorHAnsi" w:cstheme="minorHAnsi"/>
                          <w:b/>
                          <w:bCs/>
                          <w:color w:val="2C2D5B"/>
                          <w:sz w:val="20"/>
                          <w:szCs w:val="20"/>
                        </w:rPr>
                      </w:pPr>
                      <w:r w:rsidRPr="001422B3">
                        <w:rPr>
                          <w:rFonts w:asciiTheme="minorHAnsi" w:hAnsiTheme="minorHAnsi" w:cstheme="minorHAnsi"/>
                          <w:b/>
                          <w:bCs/>
                          <w:color w:val="2C2D5B"/>
                          <w:sz w:val="20"/>
                          <w:szCs w:val="20"/>
                        </w:rPr>
                        <w:t>Ruling</w:t>
                      </w:r>
                      <w:r w:rsidR="001422B3" w:rsidRPr="001422B3">
                        <w:rPr>
                          <w:rFonts w:asciiTheme="minorHAnsi" w:hAnsiTheme="minorHAnsi" w:cstheme="minorHAnsi"/>
                          <w:b/>
                          <w:bCs/>
                          <w:color w:val="2C2D5B"/>
                          <w:sz w:val="20"/>
                          <w:szCs w:val="20"/>
                        </w:rPr>
                        <w:t xml:space="preserve"> </w:t>
                      </w:r>
                      <w:r w:rsidRPr="001422B3">
                        <w:rPr>
                          <w:rFonts w:asciiTheme="minorHAnsi" w:hAnsiTheme="minorHAnsi" w:cstheme="minorHAnsi"/>
                          <w:b/>
                          <w:bCs/>
                          <w:color w:val="2C2D5B"/>
                          <w:sz w:val="20"/>
                          <w:szCs w:val="20"/>
                        </w:rPr>
                        <w:t xml:space="preserve">: </w:t>
                      </w:r>
                    </w:p>
                    <w:p w14:paraId="14B5D168" w14:textId="56235818" w:rsidR="00385BE7" w:rsidRPr="001422B3" w:rsidRDefault="00385BE7" w:rsidP="00385BE7">
                      <w:pPr>
                        <w:jc w:val="both"/>
                        <w:rPr>
                          <w:rFonts w:asciiTheme="minorHAnsi" w:hAnsiTheme="minorHAnsi" w:cstheme="minorHAnsi"/>
                          <w:color w:val="2C2D5B"/>
                          <w:sz w:val="20"/>
                          <w:szCs w:val="20"/>
                        </w:rPr>
                      </w:pPr>
                      <w:r w:rsidRPr="001422B3">
                        <w:rPr>
                          <w:rFonts w:asciiTheme="minorHAnsi" w:hAnsiTheme="minorHAnsi" w:cstheme="minorHAnsi"/>
                          <w:color w:val="2C2D5B"/>
                          <w:sz w:val="20"/>
                          <w:szCs w:val="20"/>
                        </w:rPr>
                        <w:t>Despite not finding any violation of rights in the specific case, the CJEU indicated that national law, even at constitutional level, cannot determine the validity of EU law:</w:t>
                      </w:r>
                    </w:p>
                    <w:p w14:paraId="01946D8C" w14:textId="77777777" w:rsidR="00385BE7" w:rsidRPr="001422B3" w:rsidRDefault="00385BE7" w:rsidP="00385BE7">
                      <w:pPr>
                        <w:jc w:val="both"/>
                        <w:rPr>
                          <w:rFonts w:asciiTheme="minorHAnsi" w:hAnsiTheme="minorHAnsi" w:cstheme="minorHAnsi"/>
                          <w:color w:val="2C2D5B"/>
                          <w:sz w:val="20"/>
                          <w:szCs w:val="20"/>
                        </w:rPr>
                      </w:pPr>
                    </w:p>
                    <w:p w14:paraId="29E23EC1" w14:textId="05A35F6C" w:rsidR="00385BE7" w:rsidRPr="001422B3" w:rsidRDefault="00385BE7" w:rsidP="00385BE7">
                      <w:pPr>
                        <w:jc w:val="both"/>
                        <w:rPr>
                          <w:rFonts w:asciiTheme="minorHAnsi" w:hAnsiTheme="minorHAnsi" w:cstheme="minorHAnsi"/>
                          <w:i/>
                          <w:iCs/>
                          <w:color w:val="2C2D5B"/>
                          <w:sz w:val="20"/>
                          <w:szCs w:val="20"/>
                        </w:rPr>
                      </w:pPr>
                      <w:r w:rsidRPr="001422B3">
                        <w:rPr>
                          <w:rFonts w:asciiTheme="minorHAnsi" w:hAnsiTheme="minorHAnsi" w:cstheme="minorHAnsi"/>
                          <w:i/>
                          <w:iCs/>
                          <w:color w:val="2C2D5B"/>
                          <w:sz w:val="20"/>
                          <w:szCs w:val="20"/>
                        </w:rPr>
                        <w:t>“3. Recourse to the legal rules or concepts of national law in order to judge the validity of measures adopted by the institutions of the Community would have an adverse effect on the uniformity and efficacy of Community law. The validity of such measures can only be judged in the light of Community law. In fact, the law stemming from the Treaty, an independent source of law, cannot because of its very nature be overridden by rules of national law, however framed, without being deprived of its character as Community law and without the legal basis of the Community itself being called in question. […]”.</w:t>
                      </w:r>
                    </w:p>
                    <w:p w14:paraId="66E44A63" w14:textId="77777777" w:rsidR="00385BE7" w:rsidRPr="001422B3" w:rsidRDefault="00385BE7" w:rsidP="00385BE7">
                      <w:pPr>
                        <w:jc w:val="both"/>
                        <w:rPr>
                          <w:rFonts w:asciiTheme="minorHAnsi" w:hAnsiTheme="minorHAnsi" w:cstheme="minorHAnsi"/>
                          <w:i/>
                          <w:iCs/>
                          <w:color w:val="2C2D5B"/>
                          <w:sz w:val="20"/>
                          <w:szCs w:val="20"/>
                        </w:rPr>
                      </w:pPr>
                    </w:p>
                    <w:p w14:paraId="329E7C21" w14:textId="620048A3" w:rsidR="00385BE7" w:rsidRPr="001422B3" w:rsidRDefault="00385BE7" w:rsidP="00385BE7">
                      <w:pPr>
                        <w:jc w:val="both"/>
                        <w:rPr>
                          <w:rFonts w:asciiTheme="minorHAnsi" w:hAnsiTheme="minorHAnsi" w:cstheme="minorHAnsi"/>
                          <w:color w:val="2C2D5B"/>
                          <w:sz w:val="20"/>
                          <w:szCs w:val="20"/>
                        </w:rPr>
                      </w:pPr>
                      <w:r w:rsidRPr="001422B3">
                        <w:rPr>
                          <w:rFonts w:asciiTheme="minorHAnsi" w:hAnsiTheme="minorHAnsi" w:cstheme="minorHAnsi"/>
                          <w:color w:val="2C2D5B"/>
                          <w:sz w:val="20"/>
                          <w:szCs w:val="20"/>
                        </w:rPr>
                        <w:t xml:space="preserve">However, the CJEU acknowledged that constitutional texts could broaden the scope of general legal principles: </w:t>
                      </w:r>
                    </w:p>
                    <w:p w14:paraId="49D3D136" w14:textId="77777777" w:rsidR="00385BE7" w:rsidRPr="001422B3" w:rsidRDefault="00385BE7" w:rsidP="00385BE7">
                      <w:pPr>
                        <w:jc w:val="both"/>
                        <w:rPr>
                          <w:rFonts w:asciiTheme="minorHAnsi" w:hAnsiTheme="minorHAnsi" w:cstheme="minorHAnsi"/>
                          <w:i/>
                          <w:iCs/>
                          <w:color w:val="2C2D5B"/>
                          <w:sz w:val="20"/>
                          <w:szCs w:val="20"/>
                        </w:rPr>
                      </w:pPr>
                    </w:p>
                    <w:p w14:paraId="37B1A7D4" w14:textId="762BE746" w:rsidR="00385BE7" w:rsidRPr="001422B3" w:rsidRDefault="00385BE7" w:rsidP="00385BE7">
                      <w:pPr>
                        <w:jc w:val="both"/>
                        <w:rPr>
                          <w:rFonts w:asciiTheme="minorHAnsi" w:hAnsiTheme="minorHAnsi" w:cstheme="minorHAnsi"/>
                          <w:b/>
                          <w:bCs/>
                          <w:color w:val="2C2D5B"/>
                          <w:sz w:val="20"/>
                          <w:szCs w:val="20"/>
                        </w:rPr>
                      </w:pPr>
                      <w:r w:rsidRPr="001422B3">
                        <w:rPr>
                          <w:rFonts w:asciiTheme="minorHAnsi" w:hAnsiTheme="minorHAnsi" w:cstheme="minorHAnsi"/>
                          <w:b/>
                          <w:bCs/>
                          <w:color w:val="2C2D5B"/>
                          <w:sz w:val="20"/>
                          <w:szCs w:val="20"/>
                        </w:rPr>
                        <w:t>Important Insight</w:t>
                      </w:r>
                      <w:r w:rsidR="001422B3" w:rsidRPr="001422B3">
                        <w:rPr>
                          <w:rFonts w:asciiTheme="minorHAnsi" w:hAnsiTheme="minorHAnsi" w:cstheme="minorHAnsi"/>
                          <w:b/>
                          <w:bCs/>
                          <w:color w:val="2C2D5B"/>
                          <w:sz w:val="20"/>
                          <w:szCs w:val="20"/>
                        </w:rPr>
                        <w:t xml:space="preserve"> </w:t>
                      </w:r>
                      <w:r w:rsidRPr="001422B3">
                        <w:rPr>
                          <w:rFonts w:asciiTheme="minorHAnsi" w:hAnsiTheme="minorHAnsi" w:cstheme="minorHAnsi"/>
                          <w:b/>
                          <w:bCs/>
                          <w:color w:val="2C2D5B"/>
                          <w:sz w:val="20"/>
                          <w:szCs w:val="20"/>
                        </w:rPr>
                        <w:t xml:space="preserve">: </w:t>
                      </w:r>
                    </w:p>
                    <w:p w14:paraId="51AEFA57" w14:textId="7BEBAFB0" w:rsidR="00385BE7" w:rsidRPr="001422B3" w:rsidRDefault="00C91C97" w:rsidP="00385BE7">
                      <w:pPr>
                        <w:jc w:val="both"/>
                        <w:rPr>
                          <w:rFonts w:asciiTheme="minorHAnsi" w:hAnsiTheme="minorHAnsi" w:cstheme="minorHAnsi"/>
                          <w:i/>
                          <w:iCs/>
                          <w:color w:val="2C2D5B"/>
                          <w:sz w:val="20"/>
                          <w:szCs w:val="20"/>
                        </w:rPr>
                      </w:pPr>
                      <w:r w:rsidRPr="001422B3">
                        <w:rPr>
                          <w:rFonts w:asciiTheme="minorHAnsi" w:hAnsiTheme="minorHAnsi" w:cstheme="minorHAnsi"/>
                          <w:i/>
                          <w:iCs/>
                          <w:color w:val="2C2D5B"/>
                          <w:sz w:val="20"/>
                          <w:szCs w:val="20"/>
                        </w:rPr>
                        <w:t>“4. However, an examination should be made as to whether or not any analogous guarantee inherent in Community law has been disregarded. In fact, respect for fundamental rights forms an integral part of the general principles of law protected by the Court of Justice. The protection of such rights, whilst inspired by the constitutional traditions common to the Member States, must be ensured within the framework of the structure and objectives of the Community. It must therefore be ascertained, in the light of the doubts expressed by the Verwaltungsgericht, whether the system of deposits has infringed rights of a fundamental nature, respect for which must be ensured in the Community legal system.”.</w:t>
                      </w:r>
                    </w:p>
                    <w:p w14:paraId="52A6B03A" w14:textId="77777777" w:rsidR="00385BE7" w:rsidRPr="00434064" w:rsidRDefault="00385BE7" w:rsidP="00385BE7">
                      <w:pPr>
                        <w:jc w:val="both"/>
                        <w:rPr>
                          <w:rFonts w:asciiTheme="minorHAnsi" w:hAnsiTheme="minorHAnsi" w:cstheme="minorHAnsi"/>
                          <w:i/>
                          <w:iCs/>
                          <w:sz w:val="20"/>
                          <w:szCs w:val="20"/>
                        </w:rPr>
                      </w:pPr>
                    </w:p>
                    <w:p w14:paraId="154A56E8" w14:textId="77777777" w:rsidR="00385BE7" w:rsidRPr="00434064" w:rsidRDefault="00385BE7" w:rsidP="00385BE7">
                      <w:pPr>
                        <w:jc w:val="both"/>
                        <w:rPr>
                          <w:rFonts w:asciiTheme="minorHAnsi" w:hAnsiTheme="minorHAnsi" w:cstheme="minorHAnsi"/>
                          <w:i/>
                          <w:iCs/>
                          <w:sz w:val="20"/>
                          <w:szCs w:val="20"/>
                        </w:rPr>
                      </w:pPr>
                    </w:p>
                    <w:p w14:paraId="267FFF37" w14:textId="77777777" w:rsidR="00385BE7" w:rsidRPr="00DC6DCF" w:rsidRDefault="00385BE7" w:rsidP="00CA23A4">
                      <w:pPr>
                        <w:jc w:val="both"/>
                        <w:rPr>
                          <w:rFonts w:asciiTheme="minorHAnsi" w:hAnsiTheme="minorHAnsi" w:cstheme="minorHAnsi"/>
                          <w:b/>
                          <w:bCs/>
                          <w:i/>
                          <w:iCs/>
                          <w:sz w:val="20"/>
                          <w:szCs w:val="20"/>
                        </w:rPr>
                      </w:pPr>
                    </w:p>
                  </w:txbxContent>
                </v:textbox>
                <w10:wrap type="square" anchorx="margin"/>
              </v:roundrect>
            </w:pict>
          </mc:Fallback>
        </mc:AlternateContent>
      </w:r>
    </w:p>
    <w:p w14:paraId="089842E1" w14:textId="77777777" w:rsidR="00291C74" w:rsidRDefault="00291C74" w:rsidP="0000203F">
      <w:pPr>
        <w:rPr>
          <w:rFonts w:ascii="Calibri" w:hAnsi="Calibri" w:cs="Calibri"/>
        </w:rPr>
      </w:pPr>
    </w:p>
    <w:p w14:paraId="025CC85B" w14:textId="77777777" w:rsidR="001422B3" w:rsidRDefault="001422B3" w:rsidP="0000203F">
      <w:pPr>
        <w:rPr>
          <w:rFonts w:ascii="Calibri" w:hAnsi="Calibri" w:cs="Calibri"/>
        </w:rPr>
      </w:pPr>
    </w:p>
    <w:p w14:paraId="70F4688D" w14:textId="77777777" w:rsidR="001422B3" w:rsidRDefault="001422B3" w:rsidP="0000203F">
      <w:pPr>
        <w:rPr>
          <w:rFonts w:ascii="Calibri" w:hAnsi="Calibri" w:cs="Calibri"/>
        </w:rPr>
      </w:pPr>
    </w:p>
    <w:p w14:paraId="2A040F57" w14:textId="77777777" w:rsidR="001422B3" w:rsidRDefault="001422B3" w:rsidP="0000203F">
      <w:pPr>
        <w:rPr>
          <w:rFonts w:ascii="Calibri" w:hAnsi="Calibri" w:cs="Calibri"/>
        </w:rPr>
      </w:pPr>
    </w:p>
    <w:p w14:paraId="5390C3BE" w14:textId="77777777" w:rsidR="001422B3" w:rsidRDefault="001422B3" w:rsidP="0000203F">
      <w:pPr>
        <w:rPr>
          <w:rFonts w:ascii="Calibri" w:hAnsi="Calibri" w:cs="Calibri"/>
        </w:rPr>
      </w:pPr>
    </w:p>
    <w:p w14:paraId="4C64E926" w14:textId="77777777" w:rsidR="001422B3" w:rsidRDefault="001422B3" w:rsidP="0000203F">
      <w:pPr>
        <w:rPr>
          <w:rFonts w:ascii="Calibri" w:hAnsi="Calibri" w:cs="Calibri"/>
        </w:rPr>
      </w:pPr>
    </w:p>
    <w:p w14:paraId="13DF4C7C" w14:textId="77777777" w:rsidR="001422B3" w:rsidRDefault="001422B3" w:rsidP="0000203F">
      <w:pPr>
        <w:rPr>
          <w:rFonts w:ascii="Calibri" w:hAnsi="Calibri" w:cs="Calibri"/>
        </w:rPr>
      </w:pPr>
    </w:p>
    <w:p w14:paraId="563A1C41" w14:textId="77777777" w:rsidR="001422B3" w:rsidRDefault="001422B3" w:rsidP="0000203F">
      <w:pPr>
        <w:rPr>
          <w:rFonts w:ascii="Calibri" w:hAnsi="Calibri" w:cs="Calibri"/>
        </w:rPr>
      </w:pPr>
    </w:p>
    <w:p w14:paraId="3ADAE565" w14:textId="77777777" w:rsidR="001422B3" w:rsidRDefault="001422B3" w:rsidP="0000203F">
      <w:pPr>
        <w:rPr>
          <w:rFonts w:ascii="Calibri" w:hAnsi="Calibri" w:cs="Calibri"/>
        </w:rPr>
      </w:pPr>
    </w:p>
    <w:p w14:paraId="54963321" w14:textId="77777777" w:rsidR="001422B3" w:rsidRDefault="001422B3" w:rsidP="0000203F">
      <w:pPr>
        <w:rPr>
          <w:rFonts w:ascii="Calibri" w:hAnsi="Calibri" w:cs="Calibri"/>
        </w:rPr>
      </w:pPr>
    </w:p>
    <w:p w14:paraId="3CB17029" w14:textId="77777777" w:rsidR="001422B3" w:rsidRDefault="001422B3" w:rsidP="0000203F">
      <w:pPr>
        <w:rPr>
          <w:rFonts w:ascii="Calibri" w:hAnsi="Calibri" w:cs="Calibri"/>
        </w:rPr>
      </w:pPr>
    </w:p>
    <w:p w14:paraId="0523C3D6" w14:textId="77777777" w:rsidR="001422B3" w:rsidRDefault="001422B3" w:rsidP="0000203F">
      <w:pPr>
        <w:rPr>
          <w:rFonts w:ascii="Calibri" w:hAnsi="Calibri" w:cs="Calibri"/>
        </w:rPr>
      </w:pPr>
    </w:p>
    <w:p w14:paraId="7B7EBED8" w14:textId="77777777" w:rsidR="001422B3" w:rsidRDefault="001422B3" w:rsidP="0000203F">
      <w:pPr>
        <w:rPr>
          <w:rFonts w:ascii="Calibri" w:hAnsi="Calibri" w:cs="Calibri"/>
        </w:rPr>
      </w:pPr>
    </w:p>
    <w:p w14:paraId="444AA0DC" w14:textId="77777777" w:rsidR="001422B3" w:rsidRDefault="001422B3" w:rsidP="0000203F">
      <w:pPr>
        <w:rPr>
          <w:rFonts w:ascii="Calibri" w:hAnsi="Calibri" w:cs="Calibri"/>
        </w:rPr>
      </w:pPr>
    </w:p>
    <w:p w14:paraId="20DD502D" w14:textId="77777777" w:rsidR="001422B3" w:rsidRDefault="001422B3" w:rsidP="0000203F">
      <w:pPr>
        <w:rPr>
          <w:rFonts w:ascii="Calibri" w:hAnsi="Calibri" w:cs="Calibri"/>
        </w:rPr>
      </w:pPr>
    </w:p>
    <w:p w14:paraId="5E98114B" w14:textId="77777777" w:rsidR="001422B3" w:rsidRPr="00B644FB" w:rsidRDefault="001422B3" w:rsidP="0000203F">
      <w:pPr>
        <w:rPr>
          <w:rFonts w:ascii="Calibri" w:hAnsi="Calibri" w:cs="Calibri"/>
        </w:rPr>
      </w:pPr>
    </w:p>
    <w:p w14:paraId="592E3A61" w14:textId="5D827DFE" w:rsidR="00EE1250" w:rsidRPr="001422B3" w:rsidRDefault="0071339D" w:rsidP="001422B3">
      <w:pPr>
        <w:pStyle w:val="Odstavecseseznamem"/>
        <w:spacing w:line="276" w:lineRule="auto"/>
        <w:ind w:left="284" w:hanging="568"/>
        <w:jc w:val="both"/>
        <w:rPr>
          <w:rFonts w:asciiTheme="minorHAnsi" w:hAnsiTheme="minorHAnsi" w:cstheme="minorHAnsi"/>
          <w:b/>
          <w:bCs/>
          <w:color w:val="2F5496" w:themeColor="accent1" w:themeShade="BF"/>
          <w:sz w:val="32"/>
          <w:szCs w:val="32"/>
        </w:rPr>
      </w:pPr>
      <w:bookmarkStart w:id="3" w:name="_Toc188457862"/>
      <w:r w:rsidRPr="001422B3">
        <w:rPr>
          <w:rFonts w:asciiTheme="minorHAnsi" w:hAnsiTheme="minorHAnsi" w:cstheme="minorHAnsi"/>
          <w:b/>
          <w:bCs/>
          <w:color w:val="B6A04C"/>
          <w:sz w:val="32"/>
          <w:szCs w:val="32"/>
        </w:rPr>
        <w:t>2.</w:t>
      </w:r>
      <w:r w:rsidR="00C32E62" w:rsidRPr="001422B3">
        <w:rPr>
          <w:rFonts w:asciiTheme="minorHAnsi" w:hAnsiTheme="minorHAnsi" w:cstheme="minorHAnsi"/>
          <w:b/>
          <w:bCs/>
          <w:color w:val="B6A04C"/>
          <w:sz w:val="32"/>
          <w:szCs w:val="32"/>
        </w:rPr>
        <w:t>2</w:t>
      </w:r>
      <w:r w:rsidR="00EE1250" w:rsidRPr="001422B3">
        <w:rPr>
          <w:rFonts w:asciiTheme="minorHAnsi" w:hAnsiTheme="minorHAnsi" w:cstheme="minorHAnsi"/>
          <w:b/>
          <w:bCs/>
          <w:color w:val="B6A04C"/>
          <w:sz w:val="32"/>
          <w:szCs w:val="32"/>
        </w:rPr>
        <w:t xml:space="preserve"> </w:t>
      </w:r>
      <w:r w:rsidR="00EE1250" w:rsidRPr="001422B3">
        <w:rPr>
          <w:rFonts w:asciiTheme="minorHAnsi" w:hAnsiTheme="minorHAnsi" w:cstheme="minorHAnsi"/>
          <w:b/>
          <w:bCs/>
          <w:color w:val="2F5496" w:themeColor="accent1" w:themeShade="BF"/>
          <w:sz w:val="32"/>
          <w:szCs w:val="32"/>
        </w:rPr>
        <w:t>From the proclamation to its full legal status with the Lisbon Treaty</w:t>
      </w:r>
      <w:bookmarkEnd w:id="3"/>
    </w:p>
    <w:p w14:paraId="2FD40065" w14:textId="2EED1AE9" w:rsidR="00F66A56" w:rsidRPr="005A6959" w:rsidRDefault="00C32E62" w:rsidP="00F66A56">
      <w:pPr>
        <w:rPr>
          <w:rFonts w:ascii="Calibri" w:hAnsi="Calibri" w:cs="Calibri"/>
        </w:rPr>
      </w:pPr>
      <w:r w:rsidRPr="005A6959">
        <w:rPr>
          <w:rFonts w:ascii="Calibri" w:hAnsi="Calibri" w:cs="Calibri"/>
        </w:rPr>
        <w:t xml:space="preserve"> </w:t>
      </w:r>
    </w:p>
    <w:p w14:paraId="5C93500E" w14:textId="563F70A8" w:rsidR="00071D61" w:rsidRPr="001422B3" w:rsidRDefault="00AC1D1B" w:rsidP="001422B3">
      <w:pPr>
        <w:jc w:val="both"/>
        <w:rPr>
          <w:rFonts w:asciiTheme="majorHAnsi" w:hAnsiTheme="majorHAnsi" w:cstheme="majorHAnsi"/>
          <w:color w:val="2C2D5B"/>
        </w:rPr>
      </w:pPr>
      <w:r w:rsidRPr="001422B3">
        <w:rPr>
          <w:rFonts w:asciiTheme="majorHAnsi" w:hAnsiTheme="majorHAnsi" w:cstheme="majorHAnsi"/>
          <w:color w:val="2C2D5B"/>
        </w:rPr>
        <w:t xml:space="preserve">With a gradual introduction of material references to treaties, there was a growing case law </w:t>
      </w:r>
      <w:r w:rsidR="00C91C97" w:rsidRPr="001422B3">
        <w:rPr>
          <w:rFonts w:asciiTheme="majorHAnsi" w:hAnsiTheme="majorHAnsi" w:cstheme="majorHAnsi"/>
          <w:color w:val="2C2D5B"/>
        </w:rPr>
        <w:t xml:space="preserve">addressing </w:t>
      </w:r>
      <w:r w:rsidRPr="001422B3">
        <w:rPr>
          <w:rFonts w:asciiTheme="majorHAnsi" w:hAnsiTheme="majorHAnsi" w:cstheme="majorHAnsi"/>
          <w:color w:val="2C2D5B"/>
        </w:rPr>
        <w:t>human rights issues. In 2000</w:t>
      </w:r>
      <w:r w:rsidR="00EA3740" w:rsidRPr="001422B3">
        <w:rPr>
          <w:rFonts w:asciiTheme="majorHAnsi" w:hAnsiTheme="majorHAnsi" w:cstheme="majorHAnsi"/>
          <w:color w:val="2C2D5B"/>
        </w:rPr>
        <w:t>,</w:t>
      </w:r>
      <w:r w:rsidRPr="001422B3">
        <w:rPr>
          <w:rFonts w:asciiTheme="majorHAnsi" w:hAnsiTheme="majorHAnsi" w:cstheme="majorHAnsi"/>
          <w:color w:val="2C2D5B"/>
        </w:rPr>
        <w:t xml:space="preserve"> a political agreement was reached on the content of the </w:t>
      </w:r>
      <w:r w:rsidR="00F66A56" w:rsidRPr="001422B3">
        <w:rPr>
          <w:rFonts w:asciiTheme="majorHAnsi" w:hAnsiTheme="majorHAnsi" w:cstheme="majorHAnsi"/>
          <w:color w:val="2C2D5B"/>
        </w:rPr>
        <w:t xml:space="preserve">EChFR </w:t>
      </w:r>
      <w:r w:rsidRPr="001422B3">
        <w:rPr>
          <w:rFonts w:asciiTheme="majorHAnsi" w:hAnsiTheme="majorHAnsi" w:cstheme="majorHAnsi"/>
          <w:color w:val="2C2D5B"/>
        </w:rPr>
        <w:t>which h</w:t>
      </w:r>
      <w:r w:rsidR="00C91C97" w:rsidRPr="001422B3">
        <w:rPr>
          <w:rFonts w:asciiTheme="majorHAnsi" w:hAnsiTheme="majorHAnsi" w:cstheme="majorHAnsi"/>
          <w:color w:val="2C2D5B"/>
        </w:rPr>
        <w:t>olds</w:t>
      </w:r>
      <w:r w:rsidRPr="001422B3">
        <w:rPr>
          <w:rFonts w:asciiTheme="majorHAnsi" w:hAnsiTheme="majorHAnsi" w:cstheme="majorHAnsi"/>
          <w:color w:val="2C2D5B"/>
        </w:rPr>
        <w:t xml:space="preserve"> the same legal status as other EU primary law since the entry into force of the Treaty of Lisbon. </w:t>
      </w:r>
    </w:p>
    <w:p w14:paraId="68BDCCF1" w14:textId="77777777" w:rsidR="00071D61" w:rsidRPr="001422B3" w:rsidRDefault="00071D61" w:rsidP="009F7D3D">
      <w:pPr>
        <w:spacing w:after="120" w:line="276" w:lineRule="auto"/>
        <w:jc w:val="both"/>
        <w:rPr>
          <w:rFonts w:asciiTheme="majorHAnsi" w:hAnsiTheme="majorHAnsi" w:cstheme="majorHAnsi"/>
          <w:color w:val="2C2D5B"/>
        </w:rPr>
      </w:pPr>
    </w:p>
    <w:p w14:paraId="3C15FFD9" w14:textId="76A4150A" w:rsidR="004C725C" w:rsidRPr="00FB67A1" w:rsidRDefault="00571143" w:rsidP="009F7D3D">
      <w:pPr>
        <w:spacing w:after="120" w:line="276" w:lineRule="auto"/>
        <w:jc w:val="both"/>
        <w:rPr>
          <w:rFonts w:asciiTheme="majorHAnsi" w:hAnsiTheme="majorHAnsi" w:cstheme="majorHAnsi"/>
          <w:color w:val="000000"/>
        </w:rPr>
      </w:pPr>
      <w:r w:rsidRPr="00E53B29">
        <w:rPr>
          <w:rFonts w:ascii="Calibri" w:hAnsi="Calibri" w:cs="Calibri"/>
          <w:b/>
          <w:bCs/>
          <w:i/>
          <w:iCs/>
          <w:noProof/>
          <w:color w:val="2F5496" w:themeColor="accent1" w:themeShade="BF"/>
          <w:sz w:val="26"/>
          <w:szCs w:val="26"/>
        </w:rPr>
        <w:drawing>
          <wp:anchor distT="0" distB="0" distL="114300" distR="114300" simplePos="0" relativeHeight="251900928" behindDoc="0" locked="0" layoutInCell="1" allowOverlap="1" wp14:anchorId="0F88FAB6" wp14:editId="532CC059">
            <wp:simplePos x="0" y="0"/>
            <wp:positionH relativeFrom="column">
              <wp:posOffset>4201019</wp:posOffset>
            </wp:positionH>
            <wp:positionV relativeFrom="paragraph">
              <wp:posOffset>1932940</wp:posOffset>
            </wp:positionV>
            <wp:extent cx="582930" cy="508000"/>
            <wp:effectExtent l="0" t="0" r="7620" b="6350"/>
            <wp:wrapNone/>
            <wp:docPr id="886034878" name="Image 1" descr="Une image contenant clipart, croquis, dessin humoristique, dess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888710" name="Image 1" descr="Une image contenant clipart, croquis, dessin humoristique, dessin&#10;&#10;Description générée automatiquement"/>
                    <pic:cNvPicPr/>
                  </pic:nvPicPr>
                  <pic:blipFill>
                    <a:blip r:embed="rId13">
                      <a:extLst>
                        <a:ext uri="{28A0092B-C50C-407E-A947-70E740481C1C}">
                          <a14:useLocalDpi xmlns:a14="http://schemas.microsoft.com/office/drawing/2010/main" val="0"/>
                        </a:ext>
                      </a:extLst>
                    </a:blip>
                    <a:stretch>
                      <a:fillRect/>
                    </a:stretch>
                  </pic:blipFill>
                  <pic:spPr>
                    <a:xfrm>
                      <a:off x="0" y="0"/>
                      <a:ext cx="582930" cy="508000"/>
                    </a:xfrm>
                    <a:prstGeom prst="rect">
                      <a:avLst/>
                    </a:prstGeom>
                  </pic:spPr>
                </pic:pic>
              </a:graphicData>
            </a:graphic>
            <wp14:sizeRelH relativeFrom="page">
              <wp14:pctWidth>0</wp14:pctWidth>
            </wp14:sizeRelH>
            <wp14:sizeRelV relativeFrom="page">
              <wp14:pctHeight>0</wp14:pctHeight>
            </wp14:sizeRelV>
          </wp:anchor>
        </w:drawing>
      </w:r>
      <w:r>
        <w:rPr>
          <w:rFonts w:ascii="Calibri" w:hAnsi="Calibri" w:cs="Calibri"/>
          <w:b/>
          <w:bCs/>
          <w:i/>
          <w:iCs/>
          <w:noProof/>
          <w:color w:val="2F5496" w:themeColor="accent1" w:themeShade="BF"/>
          <w:sz w:val="26"/>
          <w:szCs w:val="26"/>
          <w14:ligatures w14:val="standardContextual"/>
        </w:rPr>
        <mc:AlternateContent>
          <mc:Choice Requires="wps">
            <w:drawing>
              <wp:anchor distT="0" distB="0" distL="114300" distR="114300" simplePos="0" relativeHeight="251899904" behindDoc="0" locked="0" layoutInCell="1" allowOverlap="1" wp14:anchorId="33A97F39" wp14:editId="0FC82A6E">
                <wp:simplePos x="0" y="0"/>
                <wp:positionH relativeFrom="column">
                  <wp:posOffset>4138930</wp:posOffset>
                </wp:positionH>
                <wp:positionV relativeFrom="paragraph">
                  <wp:posOffset>1847215</wp:posOffset>
                </wp:positionV>
                <wp:extent cx="665480" cy="676910"/>
                <wp:effectExtent l="0" t="0" r="1270" b="8890"/>
                <wp:wrapNone/>
                <wp:docPr id="579407003" name="Ellipse 67"/>
                <wp:cNvGraphicFramePr/>
                <a:graphic xmlns:a="http://schemas.openxmlformats.org/drawingml/2006/main">
                  <a:graphicData uri="http://schemas.microsoft.com/office/word/2010/wordprocessingShape">
                    <wps:wsp>
                      <wps:cNvSpPr/>
                      <wps:spPr>
                        <a:xfrm>
                          <a:off x="0" y="0"/>
                          <a:ext cx="665480" cy="676910"/>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F72F665" id="Ellipse 67" o:spid="_x0000_s1026" style="position:absolute;margin-left:325.9pt;margin-top:145.45pt;width:52.4pt;height:53.3pt;z-index:251899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2dlfAIAAGAFAAAOAAAAZHJzL2Uyb0RvYy54bWysVE1v2zAMvQ/YfxB0X20HSdoGdYqgRYYB&#10;RVusHXpWZCkWIIuapMTJfv0o+SPtWuww7CKLIvlIPpO8uj40muyF8wpMSYuznBJhOFTKbEv643n9&#10;5YISH5ipmAYjSnoUnl4vP3+6au1CTKAGXQlHEMT4RWtLWodgF1nmeS0a5s/ACoNKCa5hAUW3zSrH&#10;WkRvdDbJ83nWgqusAy68x9fbTkmXCV9KwcODlF4EokuKuYV0unRu4pktr9hi65itFe/TYP+QRcOU&#10;waAj1C0LjOycegfVKO7AgwxnHJoMpFRcpBqwmiL/o5qnmlmRakFyvB1p8v8Plt/vn+yjQxpa6xce&#10;r7GKg3RN/GJ+5JDIOo5kiUMgHB/n89n0AinlqJqfzy+LRGZ2crbOh68CGhIvJRVaK+tjOWzB9nc+&#10;YEy0HqziswetqrXSOgmxBcSNdmTP8OdttkX8WejxxkqbaGsgenXq+JKdikm3cNQi2mnzXUiiKkx/&#10;khJJfXYKwjgXJhSdqmaV6GIXszwfqhs9Ui4JMCJLjD9i9wBvCxiwuyx7++gqUpuOzvnfEuucR48U&#10;GUwYnRtlwH0EoLGqPnJnP5DUURNZ2kB1fHTEQTck3vK1wj93x3x4ZA6nAn82Tnp4wENqaEsK/Y2S&#10;Gtyvj96jPTYrailpccpK6n/umBOU6G8G2/iymE7jWCZhOjufoOBeazavNWbX3AD2QoE7xfJ0jfZB&#10;D1fpoHnBhbCKUVHFDMfYJeXBDcJN6KYfVwoXq1Uyw1G0LNyZJ8sjeGQ1tuXz4YU527dvwL6/h2Ei&#10;37VwZxs9Dax2AaRK/X3itecbxzg1Tr9y4p54LSer02Jc/gYAAP//AwBQSwMEFAAGAAgAAAAhAGNd&#10;2pzjAAAACwEAAA8AAABkcnMvZG93bnJldi54bWxMj8tOwzAURPdI/IN1kdhRu42SkpCbCvHalIcI&#10;SIidG5skanwd2W4T/h6zguVoRjNnys1sBnbUzveWEJYLAUxTY1VPLcL72/3FJTAfJCk5WNII39rD&#10;pjo9KWWh7ESv+liHlsUS8oVE6EIYC85902kj/cKOmqL3ZZ2RIUrXcuXkFMvNwFdCZNzInuJCJ0d9&#10;0+lmXx8MwuPH8z5x6cPty9PddqpFkvb19hPx/Gy+vgIW9Bz+wvCLH9Ghikw7eyDl2YCQpcuIHhBW&#10;uciBxcQ6zTJgO4QkX6fAq5L//1D9AAAA//8DAFBLAQItABQABgAIAAAAIQC2gziS/gAAAOEBAAAT&#10;AAAAAAAAAAAAAAAAAAAAAABbQ29udGVudF9UeXBlc10ueG1sUEsBAi0AFAAGAAgAAAAhADj9If/W&#10;AAAAlAEAAAsAAAAAAAAAAAAAAAAALwEAAF9yZWxzLy5yZWxzUEsBAi0AFAAGAAgAAAAhAJ5/Z2V8&#10;AgAAYAUAAA4AAAAAAAAAAAAAAAAALgIAAGRycy9lMm9Eb2MueG1sUEsBAi0AFAAGAAgAAAAhAGNd&#10;2pzjAAAACwEAAA8AAAAAAAAAAAAAAAAA1gQAAGRycy9kb3ducmV2LnhtbFBLBQYAAAAABAAEAPMA&#10;AADmBQAAAAA=&#10;" fillcolor="white [3212]" stroked="f" strokeweight="1pt">
                <v:stroke joinstyle="miter"/>
              </v:oval>
            </w:pict>
          </mc:Fallback>
        </mc:AlternateContent>
      </w:r>
      <w:r w:rsidR="007A6459" w:rsidRPr="001422B3">
        <w:rPr>
          <w:rFonts w:asciiTheme="majorHAnsi" w:hAnsiTheme="majorHAnsi" w:cstheme="majorHAnsi"/>
          <w:noProof/>
          <w:color w:val="2C2D5B"/>
        </w:rPr>
        <mc:AlternateContent>
          <mc:Choice Requires="wps">
            <w:drawing>
              <wp:anchor distT="45720" distB="45720" distL="114300" distR="114300" simplePos="0" relativeHeight="251800576" behindDoc="0" locked="0" layoutInCell="1" allowOverlap="1" wp14:anchorId="59694564" wp14:editId="5BE80C82">
                <wp:simplePos x="0" y="0"/>
                <wp:positionH relativeFrom="margin">
                  <wp:posOffset>793750</wp:posOffset>
                </wp:positionH>
                <wp:positionV relativeFrom="paragraph">
                  <wp:posOffset>2133600</wp:posOffset>
                </wp:positionV>
                <wp:extent cx="3679825" cy="1579880"/>
                <wp:effectExtent l="0" t="0" r="15875" b="20320"/>
                <wp:wrapSquare wrapText="bothSides"/>
                <wp:docPr id="100652560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79825" cy="1579880"/>
                        </a:xfrm>
                        <a:prstGeom prst="roundRect">
                          <a:avLst/>
                        </a:prstGeom>
                        <a:solidFill>
                          <a:srgbClr val="C9CAE5"/>
                        </a:solidFill>
                        <a:ln w="9525">
                          <a:solidFill>
                            <a:schemeClr val="accent5">
                              <a:lumMod val="20000"/>
                              <a:lumOff val="80000"/>
                            </a:schemeClr>
                          </a:solidFill>
                          <a:miter lim="800000"/>
                          <a:headEnd/>
                          <a:tailEnd/>
                        </a:ln>
                      </wps:spPr>
                      <wps:txbx>
                        <w:txbxContent>
                          <w:p w14:paraId="36E72394" w14:textId="6C5EB4B2" w:rsidR="00291C74" w:rsidRDefault="00E53B29">
                            <w:pPr>
                              <w:rPr>
                                <w:rFonts w:asciiTheme="minorHAnsi" w:hAnsiTheme="minorHAnsi" w:cstheme="minorHAnsi"/>
                                <w:b/>
                                <w:bCs/>
                                <w:color w:val="2C2D5B"/>
                                <w:sz w:val="20"/>
                                <w:szCs w:val="20"/>
                              </w:rPr>
                            </w:pPr>
                            <w:r>
                              <w:rPr>
                                <w:rFonts w:asciiTheme="minorHAnsi" w:hAnsiTheme="minorHAnsi" w:cstheme="minorHAnsi"/>
                                <w:b/>
                                <w:bCs/>
                                <w:color w:val="2C2D5B"/>
                                <w:sz w:val="20"/>
                                <w:szCs w:val="20"/>
                              </w:rPr>
                              <w:t xml:space="preserve">        </w:t>
                            </w:r>
                            <w:r w:rsidR="007A6459">
                              <w:rPr>
                                <w:rFonts w:asciiTheme="minorHAnsi" w:hAnsiTheme="minorHAnsi" w:cstheme="minorHAnsi"/>
                                <w:b/>
                                <w:bCs/>
                                <w:color w:val="2C2D5B"/>
                                <w:sz w:val="20"/>
                                <w:szCs w:val="20"/>
                              </w:rPr>
                              <w:t xml:space="preserve"> </w:t>
                            </w:r>
                            <w:r w:rsidR="00291C74" w:rsidRPr="00E53B29">
                              <w:rPr>
                                <w:rFonts w:asciiTheme="minorHAnsi" w:hAnsiTheme="minorHAnsi" w:cstheme="minorHAnsi"/>
                                <w:b/>
                                <w:bCs/>
                                <w:color w:val="2C2D5B"/>
                                <w:sz w:val="20"/>
                                <w:szCs w:val="20"/>
                              </w:rPr>
                              <w:t xml:space="preserve">Art 6 TEU </w:t>
                            </w:r>
                          </w:p>
                          <w:p w14:paraId="311A0832" w14:textId="77777777" w:rsidR="007A6459" w:rsidRPr="00E53B29" w:rsidRDefault="007A6459">
                            <w:pPr>
                              <w:rPr>
                                <w:rFonts w:asciiTheme="minorHAnsi" w:hAnsiTheme="minorHAnsi" w:cstheme="minorHAnsi"/>
                                <w:b/>
                                <w:bCs/>
                                <w:color w:val="2C2D5B"/>
                                <w:sz w:val="20"/>
                                <w:szCs w:val="20"/>
                              </w:rPr>
                            </w:pPr>
                          </w:p>
                          <w:p w14:paraId="5BD0BC46" w14:textId="725A57A9" w:rsidR="00291C74" w:rsidRDefault="00E53B29">
                            <w:pPr>
                              <w:rPr>
                                <w:rFonts w:asciiTheme="minorHAnsi" w:hAnsiTheme="minorHAnsi" w:cstheme="minorHAnsi"/>
                                <w:color w:val="2C2D5B"/>
                                <w:sz w:val="20"/>
                                <w:szCs w:val="20"/>
                              </w:rPr>
                            </w:pPr>
                            <w:r>
                              <w:rPr>
                                <w:rFonts w:asciiTheme="minorHAnsi" w:hAnsiTheme="minorHAnsi" w:cstheme="minorHAnsi"/>
                                <w:color w:val="2C2D5B"/>
                                <w:sz w:val="20"/>
                                <w:szCs w:val="20"/>
                              </w:rPr>
                              <w:t xml:space="preserve">        </w:t>
                            </w:r>
                            <w:r w:rsidR="00291C74" w:rsidRPr="00E76C1B">
                              <w:rPr>
                                <w:rFonts w:asciiTheme="minorHAnsi" w:hAnsiTheme="minorHAnsi" w:cstheme="minorHAnsi"/>
                                <w:color w:val="2C2D5B"/>
                                <w:sz w:val="20"/>
                                <w:szCs w:val="20"/>
                              </w:rPr>
                              <w:t>Indicates the means of protection of rights such as</w:t>
                            </w:r>
                            <w:r w:rsidR="001422B3" w:rsidRPr="00E76C1B">
                              <w:rPr>
                                <w:rFonts w:asciiTheme="minorHAnsi" w:hAnsiTheme="minorHAnsi" w:cstheme="minorHAnsi"/>
                                <w:color w:val="2C2D5B"/>
                                <w:sz w:val="20"/>
                                <w:szCs w:val="20"/>
                              </w:rPr>
                              <w:t xml:space="preserve"> </w:t>
                            </w:r>
                            <w:r w:rsidR="00291C74" w:rsidRPr="00E76C1B">
                              <w:rPr>
                                <w:rFonts w:asciiTheme="minorHAnsi" w:hAnsiTheme="minorHAnsi" w:cstheme="minorHAnsi"/>
                                <w:color w:val="2C2D5B"/>
                                <w:sz w:val="20"/>
                                <w:szCs w:val="20"/>
                              </w:rPr>
                              <w:t xml:space="preserve">: </w:t>
                            </w:r>
                          </w:p>
                          <w:p w14:paraId="280E959A" w14:textId="77777777" w:rsidR="007A6459" w:rsidRPr="00E76C1B" w:rsidRDefault="007A6459">
                            <w:pPr>
                              <w:rPr>
                                <w:rFonts w:asciiTheme="minorHAnsi" w:hAnsiTheme="minorHAnsi" w:cstheme="minorHAnsi"/>
                                <w:color w:val="2C2D5B"/>
                                <w:sz w:val="20"/>
                                <w:szCs w:val="20"/>
                              </w:rPr>
                            </w:pPr>
                          </w:p>
                          <w:p w14:paraId="0BA97DCB" w14:textId="4EE264A3" w:rsidR="00291C74" w:rsidRPr="00E76C1B" w:rsidRDefault="00291C74" w:rsidP="00253E61">
                            <w:pPr>
                              <w:pStyle w:val="Odstavecseseznamem"/>
                              <w:numPr>
                                <w:ilvl w:val="0"/>
                                <w:numId w:val="30"/>
                              </w:numPr>
                              <w:rPr>
                                <w:rFonts w:asciiTheme="minorHAnsi" w:hAnsiTheme="minorHAnsi" w:cstheme="minorHAnsi"/>
                                <w:color w:val="2C2D5B"/>
                                <w:sz w:val="20"/>
                                <w:szCs w:val="20"/>
                              </w:rPr>
                            </w:pPr>
                            <w:r w:rsidRPr="00E76C1B">
                              <w:rPr>
                                <w:rFonts w:asciiTheme="minorHAnsi" w:hAnsiTheme="minorHAnsi" w:cstheme="minorHAnsi"/>
                                <w:color w:val="2C2D5B"/>
                                <w:sz w:val="20"/>
                                <w:szCs w:val="20"/>
                              </w:rPr>
                              <w:t>The EChFR with the same legal value as the Treaties</w:t>
                            </w:r>
                            <w:r w:rsidR="001422B3" w:rsidRPr="00E76C1B">
                              <w:rPr>
                                <w:rFonts w:asciiTheme="minorHAnsi" w:hAnsiTheme="minorHAnsi" w:cstheme="minorHAnsi"/>
                                <w:color w:val="2C2D5B"/>
                                <w:sz w:val="20"/>
                                <w:szCs w:val="20"/>
                              </w:rPr>
                              <w:t xml:space="preserve"> </w:t>
                            </w:r>
                            <w:r w:rsidRPr="00E76C1B">
                              <w:rPr>
                                <w:rFonts w:asciiTheme="minorHAnsi" w:hAnsiTheme="minorHAnsi" w:cstheme="minorHAnsi"/>
                                <w:color w:val="2C2D5B"/>
                                <w:sz w:val="20"/>
                                <w:szCs w:val="20"/>
                              </w:rPr>
                              <w:t xml:space="preserve">; </w:t>
                            </w:r>
                          </w:p>
                          <w:p w14:paraId="54972A7D" w14:textId="5E3B9056" w:rsidR="00291C74" w:rsidRPr="00E76C1B" w:rsidRDefault="00291C74" w:rsidP="00253E61">
                            <w:pPr>
                              <w:pStyle w:val="Odstavecseseznamem"/>
                              <w:numPr>
                                <w:ilvl w:val="0"/>
                                <w:numId w:val="30"/>
                              </w:numPr>
                              <w:rPr>
                                <w:rFonts w:asciiTheme="minorHAnsi" w:hAnsiTheme="minorHAnsi" w:cstheme="minorHAnsi"/>
                                <w:color w:val="2C2D5B"/>
                                <w:sz w:val="20"/>
                                <w:szCs w:val="20"/>
                              </w:rPr>
                            </w:pPr>
                            <w:r w:rsidRPr="00E76C1B">
                              <w:rPr>
                                <w:rFonts w:asciiTheme="minorHAnsi" w:hAnsiTheme="minorHAnsi" w:cstheme="minorHAnsi"/>
                                <w:color w:val="2C2D5B"/>
                                <w:sz w:val="20"/>
                                <w:szCs w:val="20"/>
                              </w:rPr>
                              <w:t>The future accession of the EU to the ECHR and</w:t>
                            </w:r>
                            <w:r w:rsidR="001422B3" w:rsidRPr="00E76C1B">
                              <w:rPr>
                                <w:rFonts w:asciiTheme="minorHAnsi" w:hAnsiTheme="minorHAnsi" w:cstheme="minorHAnsi"/>
                                <w:color w:val="2C2D5B"/>
                                <w:sz w:val="20"/>
                                <w:szCs w:val="20"/>
                              </w:rPr>
                              <w:t xml:space="preserve"> </w:t>
                            </w:r>
                            <w:r w:rsidRPr="00E76C1B">
                              <w:rPr>
                                <w:rFonts w:asciiTheme="minorHAnsi" w:hAnsiTheme="minorHAnsi" w:cstheme="minorHAnsi"/>
                                <w:color w:val="2C2D5B"/>
                                <w:sz w:val="20"/>
                                <w:szCs w:val="20"/>
                              </w:rPr>
                              <w:t xml:space="preserve">; </w:t>
                            </w:r>
                          </w:p>
                          <w:p w14:paraId="2BDAA14B" w14:textId="4FCAD673" w:rsidR="00291C74" w:rsidRPr="00E76C1B" w:rsidRDefault="00291C74" w:rsidP="00253E61">
                            <w:pPr>
                              <w:pStyle w:val="Odstavecseseznamem"/>
                              <w:numPr>
                                <w:ilvl w:val="0"/>
                                <w:numId w:val="30"/>
                              </w:numPr>
                              <w:rPr>
                                <w:rFonts w:asciiTheme="minorHAnsi" w:hAnsiTheme="minorHAnsi" w:cstheme="minorHAnsi"/>
                                <w:color w:val="2C2D5B"/>
                                <w:sz w:val="20"/>
                                <w:szCs w:val="20"/>
                              </w:rPr>
                            </w:pPr>
                            <w:r w:rsidRPr="00E76C1B">
                              <w:rPr>
                                <w:rFonts w:asciiTheme="minorHAnsi" w:hAnsiTheme="minorHAnsi" w:cstheme="minorHAnsi"/>
                                <w:color w:val="2C2D5B"/>
                                <w:sz w:val="20"/>
                                <w:szCs w:val="20"/>
                              </w:rPr>
                              <w:t xml:space="preserve">The general principles of EU law as they result from the constitutional traditions common to Member States.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59694564" id="_x0000_s1029" style="position:absolute;left:0;text-align:left;margin-left:62.5pt;margin-top:168pt;width:289.75pt;height:124.4pt;z-index:251800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MffOwIAAGoEAAAOAAAAZHJzL2Uyb0RvYy54bWysVF1v2yAUfZ+0/4B4X5xkSZtYcaosbadJ&#10;3YfW7QdgwDEa5jIgsdNfvwt20qx9m/aCuBd8uPecc7266RpNDtJ5Baagk9GYEmk4CGV2Bf354/7d&#10;ghIfmBFMg5EFPUpPb9Zv36xam8sp1KCFdARBjM9bW9A6BJtnmee1bJgfgZUGDytwDQsYul0mHGsR&#10;vdHZdDy+ylpwwjrg0nvM3vaHdJ3wq0ry8LWqvAxEFxRrC2l1aS3jmq1XLN85ZmvFhzLYP1TRMGXw&#10;0TPULQuM7J16BdUo7sBDFUYcmgyqSnGZesBuJuMX3TzWzMrUC5Lj7Zkm//9g+ZfDo/3mSOg+QIcC&#10;pia8fQD+yxMD25qZndw4B20tmcCHJ5GyrLU+Hz6NVPvcR5Cy/QwCRWb7AAmoq1wTWcE+CaKjAMcz&#10;6bILhGPy/dX1cjGdU8LxbDLHYJFkyVh++tw6Hz5KaEjcFNTB3ojvKG16gx0efIg1sfx0Lz7pQStx&#10;r7ROgduVW+3IgaENtsvt5m6e2nhxTRvSFnQ5x2peQ0RHyjMI41ya0N/T+wb77sHRk+PBVZhG7/Xp&#10;xSmNVSZvR6RU8191NirgNGjVFDR9MSBF6u+MSF4NTOl+j1DaDFpE+nshQld2RAnkNXYYpSlBHFEc&#10;B735cVhxU4N7oqRF4xfU/94zJynRnwwKvJzMZnFSUjCbX08xcJcn5eUJMxyhChoo6bfbkKYr8mdg&#10;g0aoVFLnuZKhZDR0ImAYvjgxl3G69fyLWP8BAAD//wMAUEsDBBQABgAIAAAAIQArGbId4QAAAAsB&#10;AAAPAAAAZHJzL2Rvd25yZXYueG1sTI/NTsMwEITvSLyDtUjcqE2alCjEqRDQGwdaKrW9ufESR8Q/&#10;it02vD3LCW472tHMN/VysgM74xh77yTczwQwdK3XveskbD9WdyWwmJTTavAOJXxjhGVzfVWrSvuL&#10;W+N5kzpGIS5WSoJJKVScx9agVXHmAzr6ffrRqkRy7Lge1YXC7cAzIRbcqt5Rg1EBnw22X5uTlXDY&#10;r8Q4hffXrVm3+i3ku+zF7qS8vZmeHoElnNKfGX7xCR0aYjr6k9ORDaSzgrYkCfP5gg5yPIi8AHaU&#10;UJR5Cbyp+f8NzQ8AAAD//wMAUEsBAi0AFAAGAAgAAAAhALaDOJL+AAAA4QEAABMAAAAAAAAAAAAA&#10;AAAAAAAAAFtDb250ZW50X1R5cGVzXS54bWxQSwECLQAUAAYACAAAACEAOP0h/9YAAACUAQAACwAA&#10;AAAAAAAAAAAAAAAvAQAAX3JlbHMvLnJlbHNQSwECLQAUAAYACAAAACEAzcjH3zsCAABqBAAADgAA&#10;AAAAAAAAAAAAAAAuAgAAZHJzL2Uyb0RvYy54bWxQSwECLQAUAAYACAAAACEAKxmyHeEAAAALAQAA&#10;DwAAAAAAAAAAAAAAAACVBAAAZHJzL2Rvd25yZXYueG1sUEsFBgAAAAAEAAQA8wAAAKMFAAAAAA==&#10;" fillcolor="#c9cae5" strokecolor="#deeaf6 [664]">
                <v:stroke joinstyle="miter"/>
                <v:textbox>
                  <w:txbxContent>
                    <w:p w14:paraId="36E72394" w14:textId="6C5EB4B2" w:rsidR="00291C74" w:rsidRDefault="00E53B29">
                      <w:pPr>
                        <w:rPr>
                          <w:rFonts w:asciiTheme="minorHAnsi" w:hAnsiTheme="minorHAnsi" w:cstheme="minorHAnsi"/>
                          <w:b/>
                          <w:bCs/>
                          <w:color w:val="2C2D5B"/>
                          <w:sz w:val="20"/>
                          <w:szCs w:val="20"/>
                        </w:rPr>
                      </w:pPr>
                      <w:r>
                        <w:rPr>
                          <w:rFonts w:asciiTheme="minorHAnsi" w:hAnsiTheme="minorHAnsi" w:cstheme="minorHAnsi"/>
                          <w:b/>
                          <w:bCs/>
                          <w:color w:val="2C2D5B"/>
                          <w:sz w:val="20"/>
                          <w:szCs w:val="20"/>
                        </w:rPr>
                        <w:t xml:space="preserve">        </w:t>
                      </w:r>
                      <w:r w:rsidR="007A6459">
                        <w:rPr>
                          <w:rFonts w:asciiTheme="minorHAnsi" w:hAnsiTheme="minorHAnsi" w:cstheme="minorHAnsi"/>
                          <w:b/>
                          <w:bCs/>
                          <w:color w:val="2C2D5B"/>
                          <w:sz w:val="20"/>
                          <w:szCs w:val="20"/>
                        </w:rPr>
                        <w:t xml:space="preserve"> </w:t>
                      </w:r>
                      <w:r w:rsidR="00291C74" w:rsidRPr="00E53B29">
                        <w:rPr>
                          <w:rFonts w:asciiTheme="minorHAnsi" w:hAnsiTheme="minorHAnsi" w:cstheme="minorHAnsi"/>
                          <w:b/>
                          <w:bCs/>
                          <w:color w:val="2C2D5B"/>
                          <w:sz w:val="20"/>
                          <w:szCs w:val="20"/>
                        </w:rPr>
                        <w:t xml:space="preserve">Art 6 TEU </w:t>
                      </w:r>
                    </w:p>
                    <w:p w14:paraId="311A0832" w14:textId="77777777" w:rsidR="007A6459" w:rsidRPr="00E53B29" w:rsidRDefault="007A6459">
                      <w:pPr>
                        <w:rPr>
                          <w:rFonts w:asciiTheme="minorHAnsi" w:hAnsiTheme="minorHAnsi" w:cstheme="minorHAnsi"/>
                          <w:b/>
                          <w:bCs/>
                          <w:color w:val="2C2D5B"/>
                          <w:sz w:val="20"/>
                          <w:szCs w:val="20"/>
                        </w:rPr>
                      </w:pPr>
                    </w:p>
                    <w:p w14:paraId="5BD0BC46" w14:textId="725A57A9" w:rsidR="00291C74" w:rsidRDefault="00E53B29">
                      <w:pPr>
                        <w:rPr>
                          <w:rFonts w:asciiTheme="minorHAnsi" w:hAnsiTheme="minorHAnsi" w:cstheme="minorHAnsi"/>
                          <w:color w:val="2C2D5B"/>
                          <w:sz w:val="20"/>
                          <w:szCs w:val="20"/>
                        </w:rPr>
                      </w:pPr>
                      <w:r>
                        <w:rPr>
                          <w:rFonts w:asciiTheme="minorHAnsi" w:hAnsiTheme="minorHAnsi" w:cstheme="minorHAnsi"/>
                          <w:color w:val="2C2D5B"/>
                          <w:sz w:val="20"/>
                          <w:szCs w:val="20"/>
                        </w:rPr>
                        <w:t xml:space="preserve">        </w:t>
                      </w:r>
                      <w:r w:rsidR="00291C74" w:rsidRPr="00E76C1B">
                        <w:rPr>
                          <w:rFonts w:asciiTheme="minorHAnsi" w:hAnsiTheme="minorHAnsi" w:cstheme="minorHAnsi"/>
                          <w:color w:val="2C2D5B"/>
                          <w:sz w:val="20"/>
                          <w:szCs w:val="20"/>
                        </w:rPr>
                        <w:t>Indicates the means of protection of rights such as</w:t>
                      </w:r>
                      <w:r w:rsidR="001422B3" w:rsidRPr="00E76C1B">
                        <w:rPr>
                          <w:rFonts w:asciiTheme="minorHAnsi" w:hAnsiTheme="minorHAnsi" w:cstheme="minorHAnsi"/>
                          <w:color w:val="2C2D5B"/>
                          <w:sz w:val="20"/>
                          <w:szCs w:val="20"/>
                        </w:rPr>
                        <w:t xml:space="preserve"> </w:t>
                      </w:r>
                      <w:r w:rsidR="00291C74" w:rsidRPr="00E76C1B">
                        <w:rPr>
                          <w:rFonts w:asciiTheme="minorHAnsi" w:hAnsiTheme="minorHAnsi" w:cstheme="minorHAnsi"/>
                          <w:color w:val="2C2D5B"/>
                          <w:sz w:val="20"/>
                          <w:szCs w:val="20"/>
                        </w:rPr>
                        <w:t xml:space="preserve">: </w:t>
                      </w:r>
                    </w:p>
                    <w:p w14:paraId="280E959A" w14:textId="77777777" w:rsidR="007A6459" w:rsidRPr="00E76C1B" w:rsidRDefault="007A6459">
                      <w:pPr>
                        <w:rPr>
                          <w:rFonts w:asciiTheme="minorHAnsi" w:hAnsiTheme="minorHAnsi" w:cstheme="minorHAnsi"/>
                          <w:color w:val="2C2D5B"/>
                          <w:sz w:val="20"/>
                          <w:szCs w:val="20"/>
                        </w:rPr>
                      </w:pPr>
                    </w:p>
                    <w:p w14:paraId="0BA97DCB" w14:textId="4EE264A3" w:rsidR="00291C74" w:rsidRPr="00E76C1B" w:rsidRDefault="00291C74" w:rsidP="00253E61">
                      <w:pPr>
                        <w:pStyle w:val="Paragraphedeliste"/>
                        <w:numPr>
                          <w:ilvl w:val="0"/>
                          <w:numId w:val="30"/>
                        </w:numPr>
                        <w:rPr>
                          <w:rFonts w:asciiTheme="minorHAnsi" w:hAnsiTheme="minorHAnsi" w:cstheme="minorHAnsi"/>
                          <w:color w:val="2C2D5B"/>
                          <w:sz w:val="20"/>
                          <w:szCs w:val="20"/>
                        </w:rPr>
                      </w:pPr>
                      <w:r w:rsidRPr="00E76C1B">
                        <w:rPr>
                          <w:rFonts w:asciiTheme="minorHAnsi" w:hAnsiTheme="minorHAnsi" w:cstheme="minorHAnsi"/>
                          <w:color w:val="2C2D5B"/>
                          <w:sz w:val="20"/>
                          <w:szCs w:val="20"/>
                        </w:rPr>
                        <w:t>The EChFR with the same legal value as the Treaties</w:t>
                      </w:r>
                      <w:r w:rsidR="001422B3" w:rsidRPr="00E76C1B">
                        <w:rPr>
                          <w:rFonts w:asciiTheme="minorHAnsi" w:hAnsiTheme="minorHAnsi" w:cstheme="minorHAnsi"/>
                          <w:color w:val="2C2D5B"/>
                          <w:sz w:val="20"/>
                          <w:szCs w:val="20"/>
                        </w:rPr>
                        <w:t xml:space="preserve"> </w:t>
                      </w:r>
                      <w:r w:rsidRPr="00E76C1B">
                        <w:rPr>
                          <w:rFonts w:asciiTheme="minorHAnsi" w:hAnsiTheme="minorHAnsi" w:cstheme="minorHAnsi"/>
                          <w:color w:val="2C2D5B"/>
                          <w:sz w:val="20"/>
                          <w:szCs w:val="20"/>
                        </w:rPr>
                        <w:t xml:space="preserve">; </w:t>
                      </w:r>
                    </w:p>
                    <w:p w14:paraId="54972A7D" w14:textId="5E3B9056" w:rsidR="00291C74" w:rsidRPr="00E76C1B" w:rsidRDefault="00291C74" w:rsidP="00253E61">
                      <w:pPr>
                        <w:pStyle w:val="Paragraphedeliste"/>
                        <w:numPr>
                          <w:ilvl w:val="0"/>
                          <w:numId w:val="30"/>
                        </w:numPr>
                        <w:rPr>
                          <w:rFonts w:asciiTheme="minorHAnsi" w:hAnsiTheme="minorHAnsi" w:cstheme="minorHAnsi"/>
                          <w:color w:val="2C2D5B"/>
                          <w:sz w:val="20"/>
                          <w:szCs w:val="20"/>
                        </w:rPr>
                      </w:pPr>
                      <w:r w:rsidRPr="00E76C1B">
                        <w:rPr>
                          <w:rFonts w:asciiTheme="minorHAnsi" w:hAnsiTheme="minorHAnsi" w:cstheme="minorHAnsi"/>
                          <w:color w:val="2C2D5B"/>
                          <w:sz w:val="20"/>
                          <w:szCs w:val="20"/>
                        </w:rPr>
                        <w:t>The future accession of the EU to the ECHR and</w:t>
                      </w:r>
                      <w:r w:rsidR="001422B3" w:rsidRPr="00E76C1B">
                        <w:rPr>
                          <w:rFonts w:asciiTheme="minorHAnsi" w:hAnsiTheme="minorHAnsi" w:cstheme="minorHAnsi"/>
                          <w:color w:val="2C2D5B"/>
                          <w:sz w:val="20"/>
                          <w:szCs w:val="20"/>
                        </w:rPr>
                        <w:t xml:space="preserve"> </w:t>
                      </w:r>
                      <w:r w:rsidRPr="00E76C1B">
                        <w:rPr>
                          <w:rFonts w:asciiTheme="minorHAnsi" w:hAnsiTheme="minorHAnsi" w:cstheme="minorHAnsi"/>
                          <w:color w:val="2C2D5B"/>
                          <w:sz w:val="20"/>
                          <w:szCs w:val="20"/>
                        </w:rPr>
                        <w:t xml:space="preserve">; </w:t>
                      </w:r>
                    </w:p>
                    <w:p w14:paraId="2BDAA14B" w14:textId="4FCAD673" w:rsidR="00291C74" w:rsidRPr="00E76C1B" w:rsidRDefault="00291C74" w:rsidP="00253E61">
                      <w:pPr>
                        <w:pStyle w:val="Paragraphedeliste"/>
                        <w:numPr>
                          <w:ilvl w:val="0"/>
                          <w:numId w:val="30"/>
                        </w:numPr>
                        <w:rPr>
                          <w:rFonts w:asciiTheme="minorHAnsi" w:hAnsiTheme="minorHAnsi" w:cstheme="minorHAnsi"/>
                          <w:color w:val="2C2D5B"/>
                          <w:sz w:val="20"/>
                          <w:szCs w:val="20"/>
                        </w:rPr>
                      </w:pPr>
                      <w:r w:rsidRPr="00E76C1B">
                        <w:rPr>
                          <w:rFonts w:asciiTheme="minorHAnsi" w:hAnsiTheme="minorHAnsi" w:cstheme="minorHAnsi"/>
                          <w:color w:val="2C2D5B"/>
                          <w:sz w:val="20"/>
                          <w:szCs w:val="20"/>
                        </w:rPr>
                        <w:t xml:space="preserve">The general principles of EU law as they result from the constitutional traditions common to Member States. </w:t>
                      </w:r>
                    </w:p>
                  </w:txbxContent>
                </v:textbox>
                <w10:wrap type="square" anchorx="margin"/>
              </v:roundrect>
            </w:pict>
          </mc:Fallback>
        </mc:AlternateContent>
      </w:r>
      <w:r w:rsidR="00C91C97" w:rsidRPr="001422B3">
        <w:rPr>
          <w:rFonts w:asciiTheme="majorHAnsi" w:hAnsiTheme="majorHAnsi" w:cstheme="majorHAnsi"/>
          <w:color w:val="2C2D5B"/>
        </w:rPr>
        <w:t>Referred to</w:t>
      </w:r>
      <w:r w:rsidR="00667DC6" w:rsidRPr="001422B3">
        <w:rPr>
          <w:rFonts w:asciiTheme="majorHAnsi" w:hAnsiTheme="majorHAnsi" w:cstheme="majorHAnsi"/>
          <w:color w:val="2C2D5B"/>
        </w:rPr>
        <w:t xml:space="preserve"> </w:t>
      </w:r>
      <w:r w:rsidR="00505929" w:rsidRPr="001422B3">
        <w:rPr>
          <w:rFonts w:asciiTheme="majorHAnsi" w:hAnsiTheme="majorHAnsi" w:cstheme="majorHAnsi"/>
          <w:color w:val="2C2D5B"/>
        </w:rPr>
        <w:t xml:space="preserve">as the EU's </w:t>
      </w:r>
      <w:r w:rsidR="00505929" w:rsidRPr="001422B3">
        <w:rPr>
          <w:rFonts w:asciiTheme="majorHAnsi" w:hAnsiTheme="majorHAnsi" w:cstheme="majorHAnsi"/>
          <w:i/>
          <w:iCs/>
          <w:color w:val="2C2D5B"/>
        </w:rPr>
        <w:t>Bill of Rights</w:t>
      </w:r>
      <w:r w:rsidR="00505929" w:rsidRPr="001422B3">
        <w:rPr>
          <w:rFonts w:asciiTheme="majorHAnsi" w:hAnsiTheme="majorHAnsi" w:cstheme="majorHAnsi"/>
          <w:color w:val="2C2D5B"/>
        </w:rPr>
        <w:t>, the EChFR sets out a comprehensive spectrum of civil, political, economic, social and other more modern categories of rights within the</w:t>
      </w:r>
      <w:r w:rsidR="00C91C97" w:rsidRPr="001422B3">
        <w:rPr>
          <w:rFonts w:asciiTheme="majorHAnsi" w:hAnsiTheme="majorHAnsi" w:cstheme="majorHAnsi"/>
          <w:color w:val="2C2D5B"/>
        </w:rPr>
        <w:t xml:space="preserve"> EU</w:t>
      </w:r>
      <w:r w:rsidR="00505929" w:rsidRPr="001422B3">
        <w:rPr>
          <w:rFonts w:asciiTheme="majorHAnsi" w:hAnsiTheme="majorHAnsi" w:cstheme="majorHAnsi"/>
          <w:color w:val="2C2D5B"/>
        </w:rPr>
        <w:t xml:space="preserve"> legal</w:t>
      </w:r>
      <w:r w:rsidR="00263A2C" w:rsidRPr="001422B3">
        <w:rPr>
          <w:rFonts w:asciiTheme="majorHAnsi" w:hAnsiTheme="majorHAnsi" w:cstheme="majorHAnsi"/>
          <w:color w:val="2C2D5B"/>
        </w:rPr>
        <w:t xml:space="preserve"> order</w:t>
      </w:r>
      <w:r w:rsidR="00F66A56" w:rsidRPr="001422B3">
        <w:rPr>
          <w:rFonts w:asciiTheme="majorHAnsi" w:hAnsiTheme="majorHAnsi" w:cstheme="majorHAnsi"/>
          <w:color w:val="2C2D5B"/>
        </w:rPr>
        <w:t>.</w:t>
      </w:r>
      <w:r w:rsidR="00505929" w:rsidRPr="001422B3">
        <w:rPr>
          <w:rFonts w:asciiTheme="majorHAnsi" w:hAnsiTheme="majorHAnsi" w:cstheme="majorHAnsi"/>
          <w:color w:val="2C2D5B"/>
        </w:rPr>
        <w:t xml:space="preserve"> </w:t>
      </w:r>
      <w:r w:rsidR="001E6D6E" w:rsidRPr="001422B3">
        <w:rPr>
          <w:rFonts w:asciiTheme="majorHAnsi" w:hAnsiTheme="majorHAnsi" w:cstheme="majorHAnsi"/>
          <w:color w:val="2C2D5B"/>
        </w:rPr>
        <w:t>Nowadays</w:t>
      </w:r>
      <w:r w:rsidR="00505929" w:rsidRPr="001422B3">
        <w:rPr>
          <w:rFonts w:asciiTheme="majorHAnsi" w:hAnsiTheme="majorHAnsi" w:cstheme="majorHAnsi"/>
          <w:color w:val="2C2D5B"/>
        </w:rPr>
        <w:t xml:space="preserve">, the EChFR enjoys the status of a legally binding instrument. </w:t>
      </w:r>
      <w:r w:rsidR="00CB6313" w:rsidRPr="001422B3">
        <w:rPr>
          <w:rFonts w:asciiTheme="majorHAnsi" w:hAnsiTheme="majorHAnsi" w:cstheme="majorHAnsi"/>
          <w:color w:val="2C2D5B"/>
        </w:rPr>
        <w:t xml:space="preserve">The </w:t>
      </w:r>
      <w:r w:rsidR="00505929" w:rsidRPr="001422B3">
        <w:rPr>
          <w:rFonts w:asciiTheme="majorHAnsi" w:hAnsiTheme="majorHAnsi" w:cstheme="majorHAnsi"/>
          <w:color w:val="2C2D5B"/>
        </w:rPr>
        <w:t xml:space="preserve">adoption of </w:t>
      </w:r>
      <w:r w:rsidR="00DF66F8" w:rsidRPr="001422B3">
        <w:rPr>
          <w:rFonts w:asciiTheme="majorHAnsi" w:hAnsiTheme="majorHAnsi" w:cstheme="majorHAnsi"/>
          <w:color w:val="2C2D5B"/>
        </w:rPr>
        <w:t>the Charter</w:t>
      </w:r>
      <w:r w:rsidR="00505929" w:rsidRPr="001422B3">
        <w:rPr>
          <w:rFonts w:asciiTheme="majorHAnsi" w:hAnsiTheme="majorHAnsi" w:cstheme="majorHAnsi"/>
          <w:color w:val="2C2D5B"/>
        </w:rPr>
        <w:t xml:space="preserve"> is not the EU's first activity in the human rights</w:t>
      </w:r>
      <w:r w:rsidR="00DF66F8" w:rsidRPr="001422B3">
        <w:rPr>
          <w:rFonts w:asciiTheme="majorHAnsi" w:hAnsiTheme="majorHAnsi" w:cstheme="majorHAnsi"/>
          <w:color w:val="2C2D5B"/>
        </w:rPr>
        <w:t xml:space="preserve"> field</w:t>
      </w:r>
      <w:r w:rsidR="00505929" w:rsidRPr="001422B3">
        <w:rPr>
          <w:rFonts w:asciiTheme="majorHAnsi" w:hAnsiTheme="majorHAnsi" w:cstheme="majorHAnsi"/>
          <w:color w:val="2C2D5B"/>
        </w:rPr>
        <w:t>.</w:t>
      </w:r>
      <w:r w:rsidR="00AC1D1B" w:rsidRPr="001422B3">
        <w:rPr>
          <w:rFonts w:asciiTheme="majorHAnsi" w:hAnsiTheme="majorHAnsi" w:cstheme="majorHAnsi"/>
          <w:color w:val="2C2D5B"/>
        </w:rPr>
        <w:t xml:space="preserve"> </w:t>
      </w:r>
      <w:r w:rsidR="00505929" w:rsidRPr="001422B3">
        <w:rPr>
          <w:rFonts w:asciiTheme="majorHAnsi" w:hAnsiTheme="majorHAnsi" w:cstheme="majorHAnsi"/>
          <w:color w:val="2C2D5B"/>
        </w:rPr>
        <w:t xml:space="preserve">This is an important </w:t>
      </w:r>
      <w:r w:rsidR="005E4297" w:rsidRPr="001422B3">
        <w:rPr>
          <w:rFonts w:asciiTheme="majorHAnsi" w:hAnsiTheme="majorHAnsi" w:cstheme="majorHAnsi"/>
          <w:color w:val="2C2D5B"/>
        </w:rPr>
        <w:t>issue to address</w:t>
      </w:r>
      <w:r w:rsidR="00505929" w:rsidRPr="001422B3">
        <w:rPr>
          <w:rFonts w:asciiTheme="majorHAnsi" w:hAnsiTheme="majorHAnsi" w:cstheme="majorHAnsi"/>
          <w:color w:val="2C2D5B"/>
        </w:rPr>
        <w:t xml:space="preserve">, as the EChFR is often perceived as creating and formulating new rights. Instead, its purpose is to reaffirm the rights already existing in EU law. Nevertheless, the explicit formulation of </w:t>
      </w:r>
      <w:r w:rsidR="00FD025A" w:rsidRPr="001422B3">
        <w:rPr>
          <w:rFonts w:asciiTheme="majorHAnsi" w:hAnsiTheme="majorHAnsi" w:cstheme="majorHAnsi"/>
          <w:color w:val="2C2D5B"/>
        </w:rPr>
        <w:t xml:space="preserve">certain </w:t>
      </w:r>
      <w:r w:rsidR="00505929" w:rsidRPr="001422B3">
        <w:rPr>
          <w:rFonts w:asciiTheme="majorHAnsi" w:hAnsiTheme="majorHAnsi" w:cstheme="majorHAnsi"/>
          <w:color w:val="2C2D5B"/>
        </w:rPr>
        <w:t xml:space="preserve">rights within the EChFR </w:t>
      </w:r>
      <w:r w:rsidR="00FD025A" w:rsidRPr="001422B3">
        <w:rPr>
          <w:rFonts w:asciiTheme="majorHAnsi" w:hAnsiTheme="majorHAnsi" w:cstheme="majorHAnsi"/>
          <w:color w:val="2C2D5B"/>
        </w:rPr>
        <w:t>does not have</w:t>
      </w:r>
      <w:r w:rsidR="00F66A56" w:rsidRPr="001422B3">
        <w:rPr>
          <w:rFonts w:asciiTheme="majorHAnsi" w:hAnsiTheme="majorHAnsi" w:cstheme="majorHAnsi"/>
          <w:color w:val="2C2D5B"/>
        </w:rPr>
        <w:t xml:space="preserve"> </w:t>
      </w:r>
      <w:r w:rsidR="00505929" w:rsidRPr="001422B3">
        <w:rPr>
          <w:rFonts w:asciiTheme="majorHAnsi" w:hAnsiTheme="majorHAnsi" w:cstheme="majorHAnsi"/>
          <w:color w:val="2C2D5B"/>
        </w:rPr>
        <w:t>paralle</w:t>
      </w:r>
      <w:r w:rsidR="00FD025A" w:rsidRPr="001422B3">
        <w:rPr>
          <w:rFonts w:asciiTheme="majorHAnsi" w:hAnsiTheme="majorHAnsi" w:cstheme="majorHAnsi"/>
          <w:color w:val="2C2D5B"/>
        </w:rPr>
        <w:t>ls</w:t>
      </w:r>
      <w:r w:rsidR="00505929" w:rsidRPr="001422B3">
        <w:rPr>
          <w:rFonts w:asciiTheme="majorHAnsi" w:hAnsiTheme="majorHAnsi" w:cstheme="majorHAnsi"/>
          <w:color w:val="2C2D5B"/>
        </w:rPr>
        <w:t xml:space="preserve"> in international law or </w:t>
      </w:r>
      <w:r w:rsidR="007B2218" w:rsidRPr="001422B3">
        <w:rPr>
          <w:rFonts w:asciiTheme="majorHAnsi" w:hAnsiTheme="majorHAnsi" w:cstheme="majorHAnsi"/>
          <w:color w:val="2C2D5B"/>
        </w:rPr>
        <w:t>other human rights instruments.</w:t>
      </w:r>
      <w:r w:rsidR="00F2072F">
        <w:rPr>
          <w:rFonts w:asciiTheme="majorHAnsi" w:hAnsiTheme="majorHAnsi" w:cstheme="majorHAnsi"/>
          <w:color w:val="000000"/>
        </w:rPr>
        <w:br w:type="page"/>
      </w:r>
    </w:p>
    <w:p w14:paraId="7E0C7A37" w14:textId="24B79839" w:rsidR="004C725C" w:rsidRDefault="00CB0240" w:rsidP="00FB67A1">
      <w:pPr>
        <w:pStyle w:val="Nadpis1"/>
        <w:numPr>
          <w:ilvl w:val="0"/>
          <w:numId w:val="48"/>
        </w:numPr>
        <w:spacing w:before="0"/>
        <w:ind w:hanging="1004"/>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bookmarkStart w:id="4" w:name="_Toc188457863"/>
      <w:r w:rsidRPr="00AC4EAF">
        <w:rPr>
          <w:rStyle w:val="Siln"/>
          <w:rFonts w:ascii="Calibri Light" w:hAnsi="Calibri Light" w:cs="Calibri Light"/>
          <w:noProof/>
          <w:sz w:val="26"/>
          <w:szCs w:val="26"/>
        </w:rPr>
        <w:lastRenderedPageBreak/>
        <w:drawing>
          <wp:anchor distT="0" distB="0" distL="114300" distR="114300" simplePos="0" relativeHeight="251889664" behindDoc="0" locked="0" layoutInCell="1" allowOverlap="1" wp14:anchorId="04E3D48E" wp14:editId="1C6EED32">
            <wp:simplePos x="0" y="0"/>
            <wp:positionH relativeFrom="column">
              <wp:posOffset>1343025</wp:posOffset>
            </wp:positionH>
            <wp:positionV relativeFrom="paragraph">
              <wp:posOffset>916446</wp:posOffset>
            </wp:positionV>
            <wp:extent cx="676910" cy="646430"/>
            <wp:effectExtent l="0" t="0" r="8890" b="1270"/>
            <wp:wrapNone/>
            <wp:docPr id="1438940703" name="Image 1" descr="Une image contenant croquis, clipart, dessin humoristique, Dessin d’enf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187443" name="Image 1" descr="Une image contenant croquis, clipart, dessin humoristique, Dessin d’enfant&#10;&#10;Description générée automatiquement"/>
                    <pic:cNvPicPr/>
                  </pic:nvPicPr>
                  <pic:blipFill>
                    <a:blip r:embed="rId12">
                      <a:extLst>
                        <a:ext uri="{28A0092B-C50C-407E-A947-70E740481C1C}">
                          <a14:useLocalDpi xmlns:a14="http://schemas.microsoft.com/office/drawing/2010/main" val="0"/>
                        </a:ext>
                      </a:extLst>
                    </a:blip>
                    <a:stretch>
                      <a:fillRect/>
                    </a:stretch>
                  </pic:blipFill>
                  <pic:spPr>
                    <a:xfrm>
                      <a:off x="0" y="0"/>
                      <a:ext cx="676910" cy="646430"/>
                    </a:xfrm>
                    <a:prstGeom prst="rect">
                      <a:avLst/>
                    </a:prstGeom>
                  </pic:spPr>
                </pic:pic>
              </a:graphicData>
            </a:graphic>
            <wp14:sizeRelH relativeFrom="page">
              <wp14:pctWidth>0</wp14:pctWidth>
            </wp14:sizeRelH>
            <wp14:sizeRelV relativeFrom="page">
              <wp14:pctHeight>0</wp14:pctHeight>
            </wp14:sizeRelV>
          </wp:anchor>
        </w:drawing>
      </w:r>
      <w:r w:rsidR="00FB67A1" w:rsidRPr="00AA300E">
        <w:rPr>
          <w:rFonts w:ascii="Calibri" w:hAnsi="Calibri" w:cs="Calibri"/>
          <w:b/>
          <w:bCs/>
          <w:noProof/>
          <w:color w:val="FFFFFF" w:themeColor="background1"/>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Contextual"/>
        </w:rPr>
        <mc:AlternateContent>
          <mc:Choice Requires="wps">
            <w:drawing>
              <wp:anchor distT="0" distB="0" distL="114300" distR="114300" simplePos="0" relativeHeight="251836416" behindDoc="0" locked="0" layoutInCell="1" allowOverlap="1" wp14:anchorId="2D7983D9" wp14:editId="4F441B89">
                <wp:simplePos x="0" y="0"/>
                <wp:positionH relativeFrom="column">
                  <wp:posOffset>475615</wp:posOffset>
                </wp:positionH>
                <wp:positionV relativeFrom="paragraph">
                  <wp:posOffset>445833</wp:posOffset>
                </wp:positionV>
                <wp:extent cx="586740" cy="45085"/>
                <wp:effectExtent l="38100" t="38100" r="60960" b="88265"/>
                <wp:wrapNone/>
                <wp:docPr id="29739756" name="Rectangle 63"/>
                <wp:cNvGraphicFramePr/>
                <a:graphic xmlns:a="http://schemas.openxmlformats.org/drawingml/2006/main">
                  <a:graphicData uri="http://schemas.microsoft.com/office/word/2010/wordprocessingShape">
                    <wps:wsp>
                      <wps:cNvSpPr/>
                      <wps:spPr>
                        <a:xfrm>
                          <a:off x="0" y="0"/>
                          <a:ext cx="586740" cy="45085"/>
                        </a:xfrm>
                        <a:prstGeom prst="rect">
                          <a:avLst/>
                        </a:prstGeom>
                        <a:solidFill>
                          <a:srgbClr val="B6A04C"/>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0AB0D9D" id="Rectangle 63" o:spid="_x0000_s1026" style="position:absolute;margin-left:37.45pt;margin-top:35.1pt;width:46.2pt;height:3.55pt;z-index:251836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xMk0wIAABIGAAAOAAAAZHJzL2Uyb0RvYy54bWysVFFv2jAQfp+0/2D5fU1g0DLUUDGqTpOq&#10;FpVOfTaOQ6w5tmcbAvv1u7NDYG2fpvFgfPHdd9999t31zb5RZCecl0YXdHCRUyI0N6XUm4L+eL77&#10;NKHEB6ZLpowWBT0IT29mHz9ct3YqhqY2qhSOAIj209YWtA7BTrPM81o0zF8YKzQcVsY1LIDpNlnp&#10;WAvojcqGeX6ZtcaV1hkuvIevt+mQziJ+VQkeHqvKi0BUQYFbiKuL6xrXbHbNphvHbC15R4P9A4uG&#10;SQ1Je6hbFhjZOvkGqpHcGW+qcMFNk5mqklzEGqCaQf6qmlXNrIi1gDje9jL5/wfLH3Yru3QgQ2v9&#10;1MMWq9hXrsF/4Ef2UaxDL5bYB8Lh43hyeTUCSTkcjcb5ZIxaZqdY63z4JkxDcFNQB1cRFWK7ex+S&#10;69EFU3mjZHknlYqG26wXypEdg2v7ejnPR4sO/S83pdFZGwxLiOmLiBcPaWIN2yDcqi5bslZb98RK&#10;oJ5PcmBeSiT2eTJIBryK4VWOP0qY2sBzDooSZ8KLDHW8CtQAIZF3T2+tGP+ZKlO2ZonzKMKcqgTv&#10;KI45konWGc/sJH/chYMSmErpJ1ERWYLgw5gkdoboszPOhQ6DdFSzUqT8gzGWkfL3ETFnBETkCkTr&#10;sTsA7Lq32Amm88fQxLsPTqL0aRKDI7EU3EfEzEaHPriR2rj3KlNQVZc5+QP9M2lwuzblYenwiuIb&#10;9ZbfSbiae+bDkjnoY7hJmE3hEZZKmbagpttRUhv3+73v6A/tBaeUtDAXCup/bZkTlKjvGhrvy2CE&#10;rz5EYzS+GoLhzk/W5yd62ywMvOEBTEHL4xb9gzpuK2eaFxhhc8wKR0xzyF1QHtzRWIQ0r2AIcjGf&#10;RzcYHpaFe72yHMFRVXyUz/sX5mzXcQE69cEcZwibvmq85IuR2sy3wVQyduVJ105vGDzx4XRDEifb&#10;uR29TqN89gcAAP//AwBQSwMEFAAGAAgAAAAhAIO2+TTaAAAACAEAAA8AAABkcnMvZG93bnJldi54&#10;bWxMj8FuwjAQRO9I/QdrK/UGdiElNMRBVVHUM7QfYOJtEhGvo9iQ8Pcsp/Y02p3R7Nt8N7lOXHEI&#10;rScNrwsFAqnytqVaw893Od+ACNGQNZ0n1HDDALviaZabzPqRDng9xlpwCYXMaGhi7DMpQ9WgM2Hh&#10;eyT2fv3gTORxqKUdzMjlrpNLpdbSmZb4QmN6/GywOh8vTsPXmJRWVYl0uEoPsdzs30q71/rlefrY&#10;gog4xb8wPPAZHQpmOvkL2SA6DWnyzklWtQTx8NfpCsSJF6yyyOX/B4o7AAAA//8DAFBLAQItABQA&#10;BgAIAAAAIQC2gziS/gAAAOEBAAATAAAAAAAAAAAAAAAAAAAAAABbQ29udGVudF9UeXBlc10ueG1s&#10;UEsBAi0AFAAGAAgAAAAhADj9If/WAAAAlAEAAAsAAAAAAAAAAAAAAAAALwEAAF9yZWxzLy5yZWxz&#10;UEsBAi0AFAAGAAgAAAAhAK+DEyTTAgAAEgYAAA4AAAAAAAAAAAAAAAAALgIAAGRycy9lMm9Eb2Mu&#10;eG1sUEsBAi0AFAAGAAgAAAAhAIO2+TTaAAAACAEAAA8AAAAAAAAAAAAAAAAALQUAAGRycy9kb3du&#10;cmV2LnhtbFBLBQYAAAAABAAEAPMAAAA0BgAAAAA=&#10;" fillcolor="#b6a04c" stroked="f" strokeweight="1pt">
                <v:shadow on="t" color="black" opacity="26214f" origin="-.5,-.5" offset=".74836mm,.74836mm"/>
              </v:rect>
            </w:pict>
          </mc:Fallback>
        </mc:AlternateContent>
      </w:r>
      <w:r w:rsidR="00EE1250" w:rsidRPr="00FB67A1">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Structure and content of the Charter</w:t>
      </w:r>
      <w:bookmarkEnd w:id="4"/>
      <w:r w:rsidR="00EE1250" w:rsidRPr="00FB67A1">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52C622DB" w14:textId="08AB0A52" w:rsidR="00D0677D" w:rsidRDefault="00D0677D" w:rsidP="00327D5A">
      <w:pPr>
        <w:pStyle w:val="Nadpis2"/>
        <w:rPr>
          <w:rFonts w:ascii="Calibri" w:hAnsi="Calibri" w:cs="Calibri"/>
        </w:rPr>
      </w:pPr>
    </w:p>
    <w:p w14:paraId="1E952E70" w14:textId="056ADC86" w:rsidR="00CB0240" w:rsidRDefault="00CB0240" w:rsidP="00DA0751">
      <w:pPr>
        <w:jc w:val="both"/>
        <w:rPr>
          <w:rStyle w:val="Zdraznn"/>
          <w:rFonts w:ascii="Calibri Light" w:hAnsi="Calibri Light" w:cs="Calibri Light"/>
          <w:b/>
          <w:bCs/>
          <w:color w:val="2F5496" w:themeColor="accent1" w:themeShade="BF"/>
          <w:sz w:val="26"/>
          <w:szCs w:val="26"/>
        </w:rPr>
      </w:pPr>
      <w:r>
        <w:rPr>
          <w:rFonts w:ascii="Calibri Light" w:hAnsi="Calibri Light" w:cs="Calibri Light"/>
          <w:b/>
          <w:bCs/>
          <w:noProof/>
          <w:sz w:val="26"/>
          <w:szCs w:val="26"/>
          <w14:ligatures w14:val="standardContextual"/>
        </w:rPr>
        <mc:AlternateContent>
          <mc:Choice Requires="wps">
            <w:drawing>
              <wp:anchor distT="0" distB="0" distL="114300" distR="114300" simplePos="0" relativeHeight="251877376" behindDoc="1" locked="0" layoutInCell="1" allowOverlap="1" wp14:anchorId="12FCFCCA" wp14:editId="6DBB3B26">
                <wp:simplePos x="0" y="0"/>
                <wp:positionH relativeFrom="column">
                  <wp:posOffset>14605</wp:posOffset>
                </wp:positionH>
                <wp:positionV relativeFrom="paragraph">
                  <wp:posOffset>115711</wp:posOffset>
                </wp:positionV>
                <wp:extent cx="2008505" cy="428625"/>
                <wp:effectExtent l="0" t="0" r="0" b="9525"/>
                <wp:wrapNone/>
                <wp:docPr id="2042711006" name="Ellipse 66"/>
                <wp:cNvGraphicFramePr/>
                <a:graphic xmlns:a="http://schemas.openxmlformats.org/drawingml/2006/main">
                  <a:graphicData uri="http://schemas.microsoft.com/office/word/2010/wordprocessingShape">
                    <wps:wsp>
                      <wps:cNvSpPr/>
                      <wps:spPr>
                        <a:xfrm>
                          <a:off x="0" y="0"/>
                          <a:ext cx="2008505" cy="428625"/>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3177A5F1" id="Ellipse 66" o:spid="_x0000_s1026" style="position:absolute;margin-left:1.15pt;margin-top:9.1pt;width:158.15pt;height:33.75pt;z-index:-2514391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aSxewIAAGEFAAAOAAAAZHJzL2Uyb0RvYy54bWysVFFv2yAQfp+0/4B4X2xHSZdFdaqoVadJ&#10;URstnfpMMMRImGNA4mS/fgd2nHat9jDtBQN3993d5++4vjk2mhyE8wpMSYtRTokwHCpldiX98XT/&#10;aUaJD8xUTIMRJT0JT28WHz9ct3YuxlCDroQjCGL8vLUlrUOw8yzzvBYN8yOwwqBRgmtYwKPbZZVj&#10;LaI3Ohvn+VXWgqusAy68x9u7zkgXCV9KwcOjlF4EokuKtYW0urRu45otrtl855itFe/LYP9QRcOU&#10;waQD1B0LjOydegPVKO7AgwwjDk0GUiouUg/YTZH/0c2mZlakXpAcbwea/P+D5Q+HjV07pKG1fu5x&#10;G7s4StfEL9ZHjoms00CWOAbC8RLZn03zKSUcbZPx7Go8jWxml2jrfPgqoCFxU1KhtbI+9sPm7LDy&#10;ofM+e8VrD1pV90rrdIgaELfakQPDv7fdFT3+Ky9toq+BGNUBxpvs0k3ahZMW0U+b70ISVcX6UyFJ&#10;aJckjHNhQtGZalaJLncxzfOkFexuiEi9JsCILDH/gN0DvG7gjN1V2fvHUJF0OgTnfyusCx4iUmYw&#10;YQhulAH3HoDGrvrMnf+ZpI6ayNIWqtPaEQfdlHjL7xX+uRXzYc0cjgUOEI56eMRFamhLCv2Okhrc&#10;r/fuoz+qFa2UtDhmJfU/98wJSvQ3gzr+UkwmcS7TYTL9PMaDe2nZvrSYfXMLqIUCHxXL0zb6B33e&#10;SgfNM74Iy5gVTcxwzF1SHtz5cBu68cc3hYvlMrnhLFoWVmZjeQSPrEZZPh2fmbO9fAMK/wHOI/lG&#10;wp1vjDSw3AeQKun7wmvPN85xEk7/5sSH4uU5eV1exsVvAAAA//8DAFBLAwQUAAYACAAAACEAKIpD&#10;hd4AAAAHAQAADwAAAGRycy9kb3ducmV2LnhtbEyOS0+DQBSF9yb+h8k1cWeHQqgEGRrja1MfkTYx&#10;7qZwBVLmDpmZFvz3Xle6PI+c8xXr2QzihM73lhQsFxEIpNo2PbUKdtvHqwyED5oaPVhCBd/oYV2e&#10;nxU6b+xE73iqQit4hHyuFXQhjLmUvu7QaL+wIxJnX9YZHVi6VjZOTzxuBhlH0Uoa3RM/dHrEuw7r&#10;Q3U0Cp4/Xg+JS5/u314eNlMVJWlfbT6VuryYb29ABJzDXxl+8RkdSmba2yM1XgwK4oSLbGcxCI6T&#10;ZbYCsVeQpdcgy0L+5y9/AAAA//8DAFBLAQItABQABgAIAAAAIQC2gziS/gAAAOEBAAATAAAAAAAA&#10;AAAAAAAAAAAAAABbQ29udGVudF9UeXBlc10ueG1sUEsBAi0AFAAGAAgAAAAhADj9If/WAAAAlAEA&#10;AAsAAAAAAAAAAAAAAAAALwEAAF9yZWxzLy5yZWxzUEsBAi0AFAAGAAgAAAAhAPRhpLF7AgAAYQUA&#10;AA4AAAAAAAAAAAAAAAAALgIAAGRycy9lMm9Eb2MueG1sUEsBAi0AFAAGAAgAAAAhACiKQ4XeAAAA&#10;BwEAAA8AAAAAAAAAAAAAAAAA1QQAAGRycy9kb3ducmV2LnhtbFBLBQYAAAAABAAEAPMAAADgBQAA&#10;AAA=&#10;" fillcolor="white [3212]" stroked="f" strokeweight="1pt">
                <v:stroke joinstyle="miter"/>
              </v:oval>
            </w:pict>
          </mc:Fallback>
        </mc:AlternateContent>
      </w:r>
    </w:p>
    <w:p w14:paraId="209C0A3B" w14:textId="026F5DB7" w:rsidR="00DA0751" w:rsidRPr="00071D61" w:rsidRDefault="00CB0240" w:rsidP="00DA0751">
      <w:pPr>
        <w:jc w:val="both"/>
        <w:rPr>
          <w:rFonts w:ascii="Calibri Light" w:hAnsi="Calibri Light" w:cs="Calibri Light"/>
          <w:b/>
          <w:bCs/>
          <w:color w:val="2F5496" w:themeColor="accent1" w:themeShade="BF"/>
          <w:sz w:val="26"/>
          <w:szCs w:val="26"/>
        </w:rPr>
      </w:pPr>
      <w:r>
        <w:rPr>
          <w:rFonts w:ascii="Calibri Light" w:hAnsi="Calibri Light" w:cs="Calibri Light"/>
          <w:b/>
          <w:bCs/>
          <w:noProof/>
          <w:sz w:val="26"/>
          <w:szCs w:val="26"/>
          <w14:ligatures w14:val="standardContextual"/>
        </w:rPr>
        <mc:AlternateContent>
          <mc:Choice Requires="wps">
            <w:drawing>
              <wp:anchor distT="0" distB="0" distL="114300" distR="114300" simplePos="0" relativeHeight="251876352" behindDoc="1" locked="0" layoutInCell="1" allowOverlap="1" wp14:anchorId="4070DCFD" wp14:editId="72F22C14">
                <wp:simplePos x="0" y="0"/>
                <wp:positionH relativeFrom="column">
                  <wp:posOffset>-64135</wp:posOffset>
                </wp:positionH>
                <wp:positionV relativeFrom="paragraph">
                  <wp:posOffset>151906</wp:posOffset>
                </wp:positionV>
                <wp:extent cx="5892236" cy="733778"/>
                <wp:effectExtent l="0" t="0" r="13335" b="28575"/>
                <wp:wrapNone/>
                <wp:docPr id="1726403500" name="Rectangle : coins arrondis 65"/>
                <wp:cNvGraphicFramePr/>
                <a:graphic xmlns:a="http://schemas.openxmlformats.org/drawingml/2006/main">
                  <a:graphicData uri="http://schemas.microsoft.com/office/word/2010/wordprocessingShape">
                    <wps:wsp>
                      <wps:cNvSpPr/>
                      <wps:spPr>
                        <a:xfrm>
                          <a:off x="0" y="0"/>
                          <a:ext cx="5892236" cy="733778"/>
                        </a:xfrm>
                        <a:prstGeom prst="roundRect">
                          <a:avLst/>
                        </a:prstGeom>
                        <a:noFill/>
                        <a:ln w="19050">
                          <a:solidFill>
                            <a:schemeClr val="accent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748B20" id="Rectangle : coins arrondis 65" o:spid="_x0000_s1026" style="position:absolute;margin-left:-5.05pt;margin-top:11.95pt;width:463.95pt;height:57.8pt;z-index:-25144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zatxjwIAAJUFAAAOAAAAZHJzL2Uyb0RvYy54bWysVEtPGzEQvlfqf7B8L7sJhEDEBkUgqkoU&#10;EFBxNl6btWR7XNvJJv31HXs3m0DTS9WLPfa8v3lcXK6NJivhgwJb0dFRSYmwHGpl3yr64/nmyxkl&#10;ITJbMw1WVHQjAr2cf/500bqZGEMDuhaeoBEbZq2raBOjmxVF4I0wLByBExaZErxhEZ/+rag9a9G6&#10;0cW4LE+LFnztPHARAv5ed0w6z/alFDzeSxlEJLqiGFvMp8/nazqL+QWbvXnmGsX7MNg/RGGYsuh0&#10;MHXNIiNLr/4wZRT3EEDGIw6mACkVFzkHzGZUfsjmqWFO5FwQnOAGmML/M8vvVk/uwSMMrQuzgGTK&#10;Yi29STfGR9YZrM0AllhHwvFzcnY+Hh+fUsKRNz0+nk7PEprFTtv5EL8KMCQRFfWwtPUjViQDxVa3&#10;IXbyW7nk0cKN0jpXRVvSYkudl5MyawTQqk7cJJcbRFxpT1YMS8s4FzaOspxemu9Qd//TSVnmImNY&#10;g0oOcs8a8rTFzx0CmYobLZIrbR+FJKrGnMddIKk5D/sODatF53r0V9fZYLIsMZnBdhf8EOT7vDqg&#10;evmkKnJvD8o9QocD65QHjewZbByUjbLgD2WmEdHecye/BamDJqH0CvXmwRMP3WQFx28UVvuWhfjA&#10;PI4SDh2uh3iPh9SABYWeoqQB/+vQf5LHDkcuJS2OZkXDzyXzghL9zWLvn49OTtIs58fJZDrGh9/n&#10;vO5z7NJcAbbICBeR45lM8lFvSenBvOAWWSSvyGKWo++K8ui3j6vYrQzcQ1wsFlkM59exeGufHE/G&#10;E6qpkZ/XL8y7vuUjDssdbMeYzT40fSebNC0slhGkyhOxw7XHG2c/92y/p9Jy2X9nqd02nf8GAAD/&#10;/wMAUEsDBBQABgAIAAAAIQBp5yeJ3gAAAAoBAAAPAAAAZHJzL2Rvd25yZXYueG1sTI/LTsMwEEX3&#10;SPyDNUjsWjupeCTEqRCIFRuaFnXrxoMTEY9D7Lbh7xlWsBzN0b3nVuvZD+KEU+wDaciWCgRSG2xP&#10;TsNu+7K4BxGTIWuGQKjhGyOs68uLypQ2nGmDpyY5wSEUS6OhS2kspYxth97EZRiR+PcRJm8Sn5OT&#10;djJnDveDzJW6ld70xA2dGfGpw/azOXoNTf71/qY2e9e+Ps/e4Tbudy5qfX01Pz6ASDinPxh+9Vkd&#10;anY6hCPZKAYNi0xljGrIVwUIBorsjrccmFwVNyDrSv6fUP8AAAD//wMAUEsBAi0AFAAGAAgAAAAh&#10;ALaDOJL+AAAA4QEAABMAAAAAAAAAAAAAAAAAAAAAAFtDb250ZW50X1R5cGVzXS54bWxQSwECLQAU&#10;AAYACAAAACEAOP0h/9YAAACUAQAACwAAAAAAAAAAAAAAAAAvAQAAX3JlbHMvLnJlbHNQSwECLQAU&#10;AAYACAAAACEA/c2rcY8CAACVBQAADgAAAAAAAAAAAAAAAAAuAgAAZHJzL2Uyb0RvYy54bWxQSwEC&#10;LQAUAAYACAAAACEAaecnid4AAAAKAQAADwAAAAAAAAAAAAAAAADpBAAAZHJzL2Rvd25yZXYueG1s&#10;UEsFBgAAAAAEAAQA8wAAAPQFAAAAAA==&#10;" filled="f" strokecolor="#2f5496 [2404]" strokeweight="1.5pt">
                <v:stroke joinstyle="miter"/>
              </v:roundrect>
            </w:pict>
          </mc:Fallback>
        </mc:AlternateContent>
      </w:r>
      <w:r w:rsidR="008712B2" w:rsidRPr="00071D61">
        <w:rPr>
          <w:rStyle w:val="Zdraznn"/>
          <w:rFonts w:ascii="Calibri Light" w:hAnsi="Calibri Light" w:cs="Calibri Light"/>
          <w:b/>
          <w:bCs/>
          <w:color w:val="2F5496" w:themeColor="accent1" w:themeShade="BF"/>
          <w:sz w:val="26"/>
          <w:szCs w:val="26"/>
        </w:rPr>
        <w:t xml:space="preserve">What </w:t>
      </w:r>
      <w:r w:rsidR="00DA0751" w:rsidRPr="00071D61">
        <w:rPr>
          <w:rStyle w:val="Zdraznn"/>
          <w:rFonts w:ascii="Calibri Light" w:hAnsi="Calibri Light" w:cs="Calibri Light"/>
          <w:b/>
          <w:bCs/>
          <w:color w:val="2F5496" w:themeColor="accent1" w:themeShade="BF"/>
          <w:sz w:val="26"/>
          <w:szCs w:val="26"/>
        </w:rPr>
        <w:t>You will Learn</w:t>
      </w:r>
    </w:p>
    <w:p w14:paraId="78DF7BC5" w14:textId="77777777" w:rsidR="00CB0240" w:rsidRDefault="00CB0240" w:rsidP="00DA0751">
      <w:pPr>
        <w:jc w:val="both"/>
        <w:rPr>
          <w:rFonts w:ascii="Calibri Light" w:hAnsi="Calibri Light" w:cs="Calibri Light"/>
          <w:color w:val="2C2D5B"/>
        </w:rPr>
      </w:pPr>
    </w:p>
    <w:p w14:paraId="0D870B18" w14:textId="0E15E42E" w:rsidR="00071D61" w:rsidRPr="00FB67A1" w:rsidRDefault="008712B2" w:rsidP="00DA0751">
      <w:pPr>
        <w:jc w:val="both"/>
        <w:rPr>
          <w:rFonts w:ascii="Calibri Light" w:hAnsi="Calibri Light" w:cs="Calibri Light"/>
          <w:color w:val="2C2D5B"/>
        </w:rPr>
      </w:pPr>
      <w:r w:rsidRPr="00FB67A1">
        <w:rPr>
          <w:rFonts w:ascii="Calibri Light" w:hAnsi="Calibri Light" w:cs="Calibri Light"/>
          <w:color w:val="2C2D5B"/>
        </w:rPr>
        <w:t xml:space="preserve">Discover what makes the Charter unique, including its clear formulation of rights and its limited yet </w:t>
      </w:r>
      <w:r w:rsidRPr="007A5FFF">
        <w:rPr>
          <w:rFonts w:ascii="Calibri Light" w:hAnsi="Calibri Light" w:cs="Calibri Light"/>
          <w:color w:val="2C2D5B"/>
        </w:rPr>
        <w:t>impactful</w:t>
      </w:r>
      <w:r w:rsidRPr="00FB67A1">
        <w:rPr>
          <w:rFonts w:ascii="Calibri Light" w:hAnsi="Calibri Light" w:cs="Calibri Light"/>
          <w:color w:val="2C2D5B"/>
        </w:rPr>
        <w:t xml:space="preserve"> scope of application within EU law.</w:t>
      </w:r>
    </w:p>
    <w:p w14:paraId="497E2990" w14:textId="38A12038" w:rsidR="00FB67A1" w:rsidRPr="00DA0751" w:rsidRDefault="00FB67A1" w:rsidP="00DA0751">
      <w:pPr>
        <w:jc w:val="both"/>
        <w:rPr>
          <w:rFonts w:ascii="Calibri Light" w:hAnsi="Calibri Light" w:cs="Calibri Light"/>
        </w:rPr>
      </w:pPr>
    </w:p>
    <w:p w14:paraId="69F5A31D" w14:textId="77777777" w:rsidR="008941E8" w:rsidRDefault="008941E8" w:rsidP="008941E8"/>
    <w:p w14:paraId="7FA95B04" w14:textId="77777777" w:rsidR="00CB0240" w:rsidRPr="008941E8" w:rsidRDefault="00CB0240" w:rsidP="008941E8"/>
    <w:p w14:paraId="3561759C" w14:textId="2A24B766" w:rsidR="00E16DBB" w:rsidRPr="00FB67A1" w:rsidRDefault="00FB67A1" w:rsidP="00FB67A1">
      <w:pPr>
        <w:pStyle w:val="Odstavecseseznamem"/>
        <w:spacing w:line="276" w:lineRule="auto"/>
        <w:ind w:left="284" w:hanging="568"/>
        <w:jc w:val="both"/>
        <w:rPr>
          <w:rFonts w:asciiTheme="minorHAnsi" w:hAnsiTheme="minorHAnsi" w:cstheme="minorHAnsi"/>
          <w:b/>
          <w:bCs/>
          <w:color w:val="2F5496" w:themeColor="accent1" w:themeShade="BF"/>
          <w:sz w:val="32"/>
          <w:szCs w:val="32"/>
        </w:rPr>
      </w:pPr>
      <w:bookmarkStart w:id="5" w:name="_Toc188457864"/>
      <w:r>
        <w:rPr>
          <w:rFonts w:asciiTheme="minorHAnsi" w:hAnsiTheme="minorHAnsi" w:cstheme="minorHAnsi"/>
          <w:b/>
          <w:bCs/>
          <w:color w:val="B6A04C"/>
          <w:sz w:val="32"/>
          <w:szCs w:val="32"/>
        </w:rPr>
        <w:t xml:space="preserve">3.1 </w:t>
      </w:r>
      <w:r w:rsidR="00045EAA" w:rsidRPr="00FB67A1">
        <w:rPr>
          <w:rFonts w:asciiTheme="minorHAnsi" w:hAnsiTheme="minorHAnsi" w:cstheme="minorHAnsi"/>
          <w:b/>
          <w:bCs/>
          <w:color w:val="2F5496" w:themeColor="accent1" w:themeShade="BF"/>
          <w:sz w:val="32"/>
          <w:szCs w:val="32"/>
        </w:rPr>
        <w:t>The unique contributions and scope of the European Charter of Fundamental Rights</w:t>
      </w:r>
      <w:bookmarkEnd w:id="5"/>
    </w:p>
    <w:p w14:paraId="41516E50" w14:textId="77777777" w:rsidR="00071D61" w:rsidRDefault="00071D61" w:rsidP="00E16DBB">
      <w:pPr>
        <w:spacing w:after="120" w:line="276" w:lineRule="auto"/>
        <w:jc w:val="both"/>
        <w:rPr>
          <w:rFonts w:asciiTheme="majorHAnsi" w:hAnsiTheme="majorHAnsi" w:cstheme="majorHAnsi"/>
          <w:color w:val="000000"/>
        </w:rPr>
      </w:pPr>
    </w:p>
    <w:p w14:paraId="338D65CB" w14:textId="1DE3B4CA" w:rsidR="00505929" w:rsidRPr="00FB67A1" w:rsidRDefault="00505929" w:rsidP="00E16DBB">
      <w:pPr>
        <w:spacing w:after="120" w:line="276" w:lineRule="auto"/>
        <w:jc w:val="both"/>
        <w:rPr>
          <w:rFonts w:asciiTheme="majorHAnsi" w:hAnsiTheme="majorHAnsi" w:cstheme="majorHAnsi"/>
          <w:color w:val="2C2D5B"/>
        </w:rPr>
      </w:pPr>
      <w:r w:rsidRPr="00FB67A1">
        <w:rPr>
          <w:rFonts w:asciiTheme="majorHAnsi" w:hAnsiTheme="majorHAnsi" w:cstheme="majorHAnsi"/>
          <w:color w:val="2C2D5B"/>
        </w:rPr>
        <w:t xml:space="preserve">The principal </w:t>
      </w:r>
      <w:r w:rsidR="00FA03D0" w:rsidRPr="00FB67A1">
        <w:rPr>
          <w:rFonts w:asciiTheme="majorHAnsi" w:hAnsiTheme="majorHAnsi" w:cstheme="majorHAnsi"/>
          <w:color w:val="2C2D5B"/>
        </w:rPr>
        <w:t xml:space="preserve">contribution </w:t>
      </w:r>
      <w:r w:rsidRPr="00FB67A1">
        <w:rPr>
          <w:rFonts w:asciiTheme="majorHAnsi" w:hAnsiTheme="majorHAnsi" w:cstheme="majorHAnsi"/>
          <w:color w:val="2C2D5B"/>
        </w:rPr>
        <w:t>of the</w:t>
      </w:r>
      <w:r w:rsidR="00021892" w:rsidRPr="00FB67A1">
        <w:rPr>
          <w:rFonts w:asciiTheme="majorHAnsi" w:hAnsiTheme="majorHAnsi" w:cstheme="majorHAnsi"/>
          <w:color w:val="2C2D5B"/>
        </w:rPr>
        <w:t xml:space="preserve"> EChFR</w:t>
      </w:r>
      <w:r w:rsidRPr="00FB67A1">
        <w:rPr>
          <w:rFonts w:asciiTheme="majorHAnsi" w:hAnsiTheme="majorHAnsi" w:cstheme="majorHAnsi"/>
          <w:color w:val="2C2D5B"/>
        </w:rPr>
        <w:t xml:space="preserve"> arises from the fact</w:t>
      </w:r>
      <w:r w:rsidR="00CB6313" w:rsidRPr="00FB67A1">
        <w:rPr>
          <w:rFonts w:asciiTheme="majorHAnsi" w:hAnsiTheme="majorHAnsi" w:cstheme="majorHAnsi"/>
          <w:color w:val="2C2D5B"/>
        </w:rPr>
        <w:t xml:space="preserve"> that</w:t>
      </w:r>
      <w:r w:rsidRPr="00FB67A1">
        <w:rPr>
          <w:rFonts w:asciiTheme="majorHAnsi" w:hAnsiTheme="majorHAnsi" w:cstheme="majorHAnsi"/>
          <w:color w:val="2C2D5B"/>
        </w:rPr>
        <w:t xml:space="preserve"> the EU </w:t>
      </w:r>
      <w:r w:rsidR="00A44CAC" w:rsidRPr="00FB67A1">
        <w:rPr>
          <w:rFonts w:asciiTheme="majorHAnsi" w:hAnsiTheme="majorHAnsi" w:cstheme="majorHAnsi"/>
          <w:color w:val="2C2D5B"/>
        </w:rPr>
        <w:t>is</w:t>
      </w:r>
      <w:r w:rsidRPr="00FB67A1">
        <w:rPr>
          <w:rFonts w:asciiTheme="majorHAnsi" w:hAnsiTheme="majorHAnsi" w:cstheme="majorHAnsi"/>
          <w:color w:val="2C2D5B"/>
        </w:rPr>
        <w:t xml:space="preserve"> an instrument containing a binding set of clearly and transparently formulated rights.</w:t>
      </w:r>
    </w:p>
    <w:p w14:paraId="706F3467" w14:textId="3B124C6A" w:rsidR="00FD025A" w:rsidRPr="00FB67A1" w:rsidRDefault="00505929" w:rsidP="009F7D3D">
      <w:pPr>
        <w:spacing w:after="120" w:line="276" w:lineRule="auto"/>
        <w:jc w:val="both"/>
        <w:rPr>
          <w:rFonts w:asciiTheme="majorHAnsi" w:hAnsiTheme="majorHAnsi" w:cstheme="majorHAnsi"/>
          <w:color w:val="2C2D5B"/>
        </w:rPr>
      </w:pPr>
      <w:r w:rsidRPr="00FB67A1">
        <w:rPr>
          <w:rFonts w:asciiTheme="majorHAnsi" w:hAnsiTheme="majorHAnsi" w:cstheme="majorHAnsi"/>
          <w:color w:val="2C2D5B"/>
        </w:rPr>
        <w:t xml:space="preserve">However, the application of these rights </w:t>
      </w:r>
      <w:r w:rsidR="005E4297" w:rsidRPr="00FB67A1">
        <w:rPr>
          <w:rFonts w:asciiTheme="majorHAnsi" w:hAnsiTheme="majorHAnsi" w:cstheme="majorHAnsi"/>
          <w:color w:val="2C2D5B"/>
        </w:rPr>
        <w:t>are</w:t>
      </w:r>
      <w:r w:rsidRPr="00FB67A1">
        <w:rPr>
          <w:rFonts w:asciiTheme="majorHAnsi" w:hAnsiTheme="majorHAnsi" w:cstheme="majorHAnsi"/>
          <w:color w:val="2C2D5B"/>
        </w:rPr>
        <w:t xml:space="preserve"> not universal. </w:t>
      </w:r>
      <w:r w:rsidR="00FD025A" w:rsidRPr="00FB67A1">
        <w:rPr>
          <w:rFonts w:asciiTheme="majorHAnsi" w:hAnsiTheme="majorHAnsi" w:cstheme="majorHAnsi"/>
          <w:color w:val="2C2D5B"/>
        </w:rPr>
        <w:t xml:space="preserve">The EChFR only applies in specific </w:t>
      </w:r>
      <w:r w:rsidRPr="00FB67A1">
        <w:rPr>
          <w:rFonts w:asciiTheme="majorHAnsi" w:hAnsiTheme="majorHAnsi" w:cstheme="majorHAnsi"/>
          <w:color w:val="2C2D5B"/>
        </w:rPr>
        <w:t xml:space="preserve">situations where </w:t>
      </w:r>
      <w:r w:rsidRPr="00FB67A1">
        <w:rPr>
          <w:rFonts w:asciiTheme="majorHAnsi" w:hAnsiTheme="majorHAnsi" w:cstheme="majorHAnsi"/>
          <w:b/>
          <w:bCs/>
          <w:color w:val="2C2D5B"/>
        </w:rPr>
        <w:t>the EU Member States or the institutions of the Union are implementing EU law</w:t>
      </w:r>
      <w:r w:rsidR="00871E9D" w:rsidRPr="00FB67A1">
        <w:rPr>
          <w:rFonts w:asciiTheme="majorHAnsi" w:hAnsiTheme="majorHAnsi" w:cstheme="majorHAnsi"/>
          <w:color w:val="2C2D5B"/>
        </w:rPr>
        <w:t xml:space="preserve"> (Art. 51 EChFR).</w:t>
      </w:r>
      <w:r w:rsidR="008941E8" w:rsidRPr="00FB67A1">
        <w:rPr>
          <w:rFonts w:asciiTheme="majorHAnsi" w:hAnsiTheme="majorHAnsi" w:cstheme="majorHAnsi"/>
          <w:color w:val="2C2D5B"/>
        </w:rPr>
        <w:t xml:space="preserve"> </w:t>
      </w:r>
      <w:r w:rsidR="005E4297" w:rsidRPr="00FB67A1">
        <w:rPr>
          <w:rFonts w:asciiTheme="majorHAnsi" w:hAnsiTheme="majorHAnsi" w:cstheme="majorHAnsi"/>
          <w:color w:val="2C2D5B"/>
        </w:rPr>
        <w:t>The “</w:t>
      </w:r>
      <w:r w:rsidR="00A44CAC" w:rsidRPr="00FB67A1">
        <w:rPr>
          <w:rFonts w:asciiTheme="majorHAnsi" w:hAnsiTheme="majorHAnsi" w:cstheme="majorHAnsi"/>
          <w:color w:val="2C2D5B"/>
        </w:rPr>
        <w:t>implementation</w:t>
      </w:r>
      <w:r w:rsidRPr="00FB67A1">
        <w:rPr>
          <w:rFonts w:asciiTheme="majorHAnsi" w:hAnsiTheme="majorHAnsi" w:cstheme="majorHAnsi"/>
          <w:color w:val="2C2D5B"/>
        </w:rPr>
        <w:t xml:space="preserve"> of EU law</w:t>
      </w:r>
      <w:r w:rsidR="00263A2C" w:rsidRPr="00FB67A1">
        <w:rPr>
          <w:rFonts w:asciiTheme="majorHAnsi" w:hAnsiTheme="majorHAnsi" w:cstheme="majorHAnsi"/>
          <w:color w:val="2C2D5B"/>
        </w:rPr>
        <w:t>”</w:t>
      </w:r>
      <w:r w:rsidRPr="00FB67A1">
        <w:rPr>
          <w:rFonts w:asciiTheme="majorHAnsi" w:hAnsiTheme="majorHAnsi" w:cstheme="majorHAnsi"/>
          <w:color w:val="2C2D5B"/>
        </w:rPr>
        <w:t xml:space="preserve"> in a particular case is often a complex question </w:t>
      </w:r>
      <w:r w:rsidR="009E2FCD" w:rsidRPr="00FB67A1">
        <w:rPr>
          <w:rFonts w:asciiTheme="majorHAnsi" w:hAnsiTheme="majorHAnsi" w:cstheme="majorHAnsi"/>
          <w:color w:val="2C2D5B"/>
        </w:rPr>
        <w:t xml:space="preserve">which </w:t>
      </w:r>
      <w:r w:rsidRPr="00FB67A1">
        <w:rPr>
          <w:rFonts w:asciiTheme="majorHAnsi" w:hAnsiTheme="majorHAnsi" w:cstheme="majorHAnsi"/>
          <w:color w:val="2C2D5B"/>
        </w:rPr>
        <w:t>requir</w:t>
      </w:r>
      <w:r w:rsidR="009E2FCD" w:rsidRPr="00FB67A1">
        <w:rPr>
          <w:rFonts w:asciiTheme="majorHAnsi" w:hAnsiTheme="majorHAnsi" w:cstheme="majorHAnsi"/>
          <w:color w:val="2C2D5B"/>
        </w:rPr>
        <w:t>e</w:t>
      </w:r>
      <w:r w:rsidR="00CB6313" w:rsidRPr="00FB67A1">
        <w:rPr>
          <w:rFonts w:asciiTheme="majorHAnsi" w:hAnsiTheme="majorHAnsi" w:cstheme="majorHAnsi"/>
          <w:color w:val="2C2D5B"/>
        </w:rPr>
        <w:t>s</w:t>
      </w:r>
      <w:r w:rsidR="009E2FCD" w:rsidRPr="00FB67A1">
        <w:rPr>
          <w:rFonts w:asciiTheme="majorHAnsi" w:hAnsiTheme="majorHAnsi" w:cstheme="majorHAnsi"/>
          <w:color w:val="2C2D5B"/>
        </w:rPr>
        <w:t xml:space="preserve"> </w:t>
      </w:r>
      <w:r w:rsidRPr="00FB67A1">
        <w:rPr>
          <w:rFonts w:asciiTheme="majorHAnsi" w:hAnsiTheme="majorHAnsi" w:cstheme="majorHAnsi"/>
          <w:color w:val="2C2D5B"/>
        </w:rPr>
        <w:t>clarification</w:t>
      </w:r>
      <w:r w:rsidR="00871E9D" w:rsidRPr="00FB67A1">
        <w:rPr>
          <w:rFonts w:asciiTheme="majorHAnsi" w:hAnsiTheme="majorHAnsi" w:cstheme="majorHAnsi"/>
          <w:color w:val="2C2D5B"/>
        </w:rPr>
        <w:t>s</w:t>
      </w:r>
      <w:r w:rsidRPr="00FB67A1">
        <w:rPr>
          <w:rFonts w:asciiTheme="majorHAnsi" w:hAnsiTheme="majorHAnsi" w:cstheme="majorHAnsi"/>
          <w:color w:val="2C2D5B"/>
        </w:rPr>
        <w:t xml:space="preserve"> made by the CJEU</w:t>
      </w:r>
      <w:r w:rsidR="005E4297" w:rsidRPr="00FB67A1">
        <w:rPr>
          <w:rFonts w:asciiTheme="majorHAnsi" w:hAnsiTheme="majorHAnsi" w:cstheme="majorHAnsi"/>
          <w:color w:val="2C2D5B"/>
        </w:rPr>
        <w:t xml:space="preserve"> and will be outlined below. </w:t>
      </w:r>
    </w:p>
    <w:p w14:paraId="5267B9B0" w14:textId="3CFC22C6" w:rsidR="00F2072F" w:rsidRPr="00FB67A1" w:rsidRDefault="00F2072F" w:rsidP="009F7D3D">
      <w:pPr>
        <w:spacing w:after="120" w:line="276" w:lineRule="auto"/>
        <w:jc w:val="both"/>
        <w:rPr>
          <w:rFonts w:asciiTheme="majorHAnsi" w:hAnsiTheme="majorHAnsi" w:cstheme="majorHAnsi"/>
          <w:color w:val="2C2D5B"/>
        </w:rPr>
      </w:pPr>
      <w:r w:rsidRPr="00FB67A1">
        <w:rPr>
          <w:rFonts w:asciiTheme="majorHAnsi" w:hAnsiTheme="majorHAnsi" w:cstheme="majorHAnsi"/>
          <w:color w:val="2C2D5B"/>
        </w:rPr>
        <w:t>Nevertheless, this limited scope presents an opportunity to extend  fundamental rights and their protection into areas which States previously did not intend to regulate. At this point, it is helpful to</w:t>
      </w:r>
      <w:r w:rsidRPr="00FB67A1">
        <w:rPr>
          <w:rFonts w:ascii="Calibri" w:hAnsi="Calibri" w:cs="Calibri"/>
          <w:color w:val="2C2D5B"/>
        </w:rPr>
        <w:t xml:space="preserve"> </w:t>
      </w:r>
      <w:r w:rsidRPr="00FB67A1">
        <w:rPr>
          <w:rFonts w:asciiTheme="majorHAnsi" w:hAnsiTheme="majorHAnsi" w:cstheme="majorHAnsi"/>
          <w:color w:val="2C2D5B"/>
        </w:rPr>
        <w:t xml:space="preserve">illustrate the uniqueness of the Charter and its usability in the actual legal practice by looking at </w:t>
      </w:r>
      <w:r w:rsidRPr="00FB67A1">
        <w:rPr>
          <w:rFonts w:asciiTheme="majorHAnsi" w:hAnsiTheme="majorHAnsi" w:cstheme="majorHAnsi"/>
          <w:b/>
          <w:bCs/>
          <w:color w:val="2C2D5B"/>
        </w:rPr>
        <w:t>migration issues. These remain generally perceived as a matter of national discretion</w:t>
      </w:r>
      <w:r w:rsidRPr="00FB67A1">
        <w:rPr>
          <w:rFonts w:asciiTheme="majorHAnsi" w:hAnsiTheme="majorHAnsi" w:cstheme="majorHAnsi"/>
          <w:color w:val="2C2D5B"/>
        </w:rPr>
        <w:t xml:space="preserve"> (it is often stated that migration is the </w:t>
      </w:r>
      <w:r w:rsidRPr="00FB67A1">
        <w:rPr>
          <w:rFonts w:asciiTheme="majorHAnsi" w:hAnsiTheme="majorHAnsi" w:cstheme="majorHAnsi"/>
          <w:i/>
          <w:iCs/>
          <w:color w:val="2C2D5B"/>
        </w:rPr>
        <w:t>domaine réservé</w:t>
      </w:r>
      <w:r w:rsidRPr="00FB67A1">
        <w:rPr>
          <w:rFonts w:asciiTheme="majorHAnsi" w:hAnsiTheme="majorHAnsi" w:cstheme="majorHAnsi"/>
          <w:color w:val="2C2D5B"/>
        </w:rPr>
        <w:t xml:space="preserve"> of sovereign States).</w:t>
      </w:r>
    </w:p>
    <w:p w14:paraId="47E7088E" w14:textId="77777777" w:rsidR="002E3100" w:rsidRDefault="002E3100" w:rsidP="009F7D3D">
      <w:pPr>
        <w:spacing w:after="120" w:line="276" w:lineRule="auto"/>
        <w:jc w:val="both"/>
        <w:rPr>
          <w:rFonts w:asciiTheme="majorHAnsi" w:hAnsiTheme="majorHAnsi" w:cstheme="majorHAnsi"/>
          <w:color w:val="2C2D5B"/>
        </w:rPr>
      </w:pPr>
    </w:p>
    <w:p w14:paraId="482D7892" w14:textId="77777777" w:rsidR="00FB67A1" w:rsidRDefault="00FB67A1" w:rsidP="009F7D3D">
      <w:pPr>
        <w:spacing w:after="120" w:line="276" w:lineRule="auto"/>
        <w:jc w:val="both"/>
        <w:rPr>
          <w:rFonts w:asciiTheme="majorHAnsi" w:hAnsiTheme="majorHAnsi" w:cstheme="majorHAnsi"/>
          <w:color w:val="2C2D5B"/>
        </w:rPr>
      </w:pPr>
    </w:p>
    <w:p w14:paraId="6129B0A3" w14:textId="77777777" w:rsidR="00FB67A1" w:rsidRDefault="00FB67A1" w:rsidP="009F7D3D">
      <w:pPr>
        <w:spacing w:after="120" w:line="276" w:lineRule="auto"/>
        <w:jc w:val="both"/>
        <w:rPr>
          <w:rFonts w:asciiTheme="majorHAnsi" w:hAnsiTheme="majorHAnsi" w:cstheme="majorHAnsi"/>
          <w:color w:val="2C2D5B"/>
        </w:rPr>
      </w:pPr>
    </w:p>
    <w:p w14:paraId="6255D42B" w14:textId="77777777" w:rsidR="00FB67A1" w:rsidRDefault="00FB67A1" w:rsidP="009F7D3D">
      <w:pPr>
        <w:spacing w:after="120" w:line="276" w:lineRule="auto"/>
        <w:jc w:val="both"/>
        <w:rPr>
          <w:rFonts w:asciiTheme="majorHAnsi" w:hAnsiTheme="majorHAnsi" w:cstheme="majorHAnsi"/>
          <w:color w:val="2C2D5B"/>
        </w:rPr>
      </w:pPr>
    </w:p>
    <w:p w14:paraId="0F57DA74" w14:textId="77777777" w:rsidR="00FB67A1" w:rsidRDefault="00FB67A1" w:rsidP="009F7D3D">
      <w:pPr>
        <w:spacing w:after="120" w:line="276" w:lineRule="auto"/>
        <w:jc w:val="both"/>
        <w:rPr>
          <w:rFonts w:asciiTheme="majorHAnsi" w:hAnsiTheme="majorHAnsi" w:cstheme="majorHAnsi"/>
          <w:color w:val="2C2D5B"/>
        </w:rPr>
      </w:pPr>
    </w:p>
    <w:p w14:paraId="7AF6C03D" w14:textId="77777777" w:rsidR="00FB67A1" w:rsidRDefault="00FB67A1" w:rsidP="009F7D3D">
      <w:pPr>
        <w:spacing w:after="120" w:line="276" w:lineRule="auto"/>
        <w:jc w:val="both"/>
        <w:rPr>
          <w:rFonts w:asciiTheme="majorHAnsi" w:hAnsiTheme="majorHAnsi" w:cstheme="majorHAnsi"/>
          <w:color w:val="2C2D5B"/>
        </w:rPr>
      </w:pPr>
    </w:p>
    <w:p w14:paraId="31F7E12C" w14:textId="77777777" w:rsidR="00FB67A1" w:rsidRDefault="00FB67A1" w:rsidP="009F7D3D">
      <w:pPr>
        <w:spacing w:after="120" w:line="276" w:lineRule="auto"/>
        <w:jc w:val="both"/>
        <w:rPr>
          <w:rFonts w:asciiTheme="majorHAnsi" w:hAnsiTheme="majorHAnsi" w:cstheme="majorHAnsi"/>
          <w:color w:val="2C2D5B"/>
        </w:rPr>
      </w:pPr>
    </w:p>
    <w:p w14:paraId="6ED0910E" w14:textId="77777777" w:rsidR="00FB67A1" w:rsidRDefault="00FB67A1" w:rsidP="009F7D3D">
      <w:pPr>
        <w:spacing w:after="120" w:line="276" w:lineRule="auto"/>
        <w:jc w:val="both"/>
        <w:rPr>
          <w:rFonts w:asciiTheme="majorHAnsi" w:hAnsiTheme="majorHAnsi" w:cstheme="majorHAnsi"/>
          <w:color w:val="2C2D5B"/>
        </w:rPr>
      </w:pPr>
    </w:p>
    <w:p w14:paraId="588BFD0A" w14:textId="77777777" w:rsidR="00FB67A1" w:rsidRDefault="00FB67A1" w:rsidP="009F7D3D">
      <w:pPr>
        <w:spacing w:after="120" w:line="276" w:lineRule="auto"/>
        <w:jc w:val="both"/>
        <w:rPr>
          <w:rFonts w:asciiTheme="majorHAnsi" w:hAnsiTheme="majorHAnsi" w:cstheme="majorHAnsi"/>
          <w:color w:val="2C2D5B"/>
        </w:rPr>
      </w:pPr>
    </w:p>
    <w:p w14:paraId="36C764E4" w14:textId="77777777" w:rsidR="00FB67A1" w:rsidRDefault="00FB67A1" w:rsidP="009F7D3D">
      <w:pPr>
        <w:spacing w:after="120" w:line="276" w:lineRule="auto"/>
        <w:jc w:val="both"/>
        <w:rPr>
          <w:rFonts w:asciiTheme="majorHAnsi" w:hAnsiTheme="majorHAnsi" w:cstheme="majorHAnsi"/>
          <w:color w:val="2C2D5B"/>
        </w:rPr>
      </w:pPr>
    </w:p>
    <w:p w14:paraId="4A11BFD6" w14:textId="77777777" w:rsidR="00FB67A1" w:rsidRDefault="00FB67A1" w:rsidP="009F7D3D">
      <w:pPr>
        <w:spacing w:after="120" w:line="276" w:lineRule="auto"/>
        <w:jc w:val="both"/>
        <w:rPr>
          <w:rFonts w:asciiTheme="majorHAnsi" w:hAnsiTheme="majorHAnsi" w:cstheme="majorHAnsi"/>
          <w:color w:val="2C2D5B"/>
        </w:rPr>
      </w:pPr>
    </w:p>
    <w:p w14:paraId="34FE6B21" w14:textId="2165000B" w:rsidR="00FB67A1" w:rsidRDefault="00FB67A1" w:rsidP="009F7D3D">
      <w:pPr>
        <w:spacing w:after="120" w:line="276" w:lineRule="auto"/>
        <w:jc w:val="both"/>
        <w:rPr>
          <w:rFonts w:ascii="Calibri" w:hAnsi="Calibri" w:cs="Calibri"/>
          <w:color w:val="000000"/>
        </w:rPr>
      </w:pPr>
    </w:p>
    <w:p w14:paraId="4C8CA8A0" w14:textId="3ABF5E1E" w:rsidR="007A6459" w:rsidRPr="007A6459" w:rsidRDefault="00571143" w:rsidP="009F7D3D">
      <w:pPr>
        <w:spacing w:after="120" w:line="276" w:lineRule="auto"/>
        <w:jc w:val="both"/>
        <w:rPr>
          <w:rFonts w:ascii="Calibri" w:hAnsi="Calibri" w:cs="Calibri"/>
          <w:color w:val="000000"/>
          <w:sz w:val="16"/>
          <w:szCs w:val="16"/>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02976" behindDoc="0" locked="0" layoutInCell="1" allowOverlap="1" wp14:anchorId="41BE8ABE" wp14:editId="5838DA39">
            <wp:simplePos x="0" y="0"/>
            <wp:positionH relativeFrom="column">
              <wp:posOffset>5147945</wp:posOffset>
            </wp:positionH>
            <wp:positionV relativeFrom="paragraph">
              <wp:posOffset>25894</wp:posOffset>
            </wp:positionV>
            <wp:extent cx="713105" cy="575310"/>
            <wp:effectExtent l="0" t="0" r="0" b="0"/>
            <wp:wrapNone/>
            <wp:docPr id="423325997"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p>
    <w:p w14:paraId="1B696267" w14:textId="3DE3CCA4" w:rsidR="00CB0240" w:rsidRPr="00CB0240" w:rsidRDefault="007A6459" w:rsidP="009F7D3D">
      <w:pPr>
        <w:spacing w:after="120" w:line="276" w:lineRule="auto"/>
        <w:jc w:val="both"/>
        <w:rPr>
          <w:rFonts w:asciiTheme="majorHAnsi" w:hAnsiTheme="majorHAnsi" w:cstheme="majorHAnsi"/>
          <w:color w:val="2C2D5B"/>
          <w:sz w:val="16"/>
          <w:szCs w:val="16"/>
        </w:rPr>
      </w:pPr>
      <w:r w:rsidRPr="005A6959">
        <w:rPr>
          <w:rFonts w:ascii="Calibri" w:hAnsi="Calibri" w:cs="Calibri"/>
          <w:b/>
          <w:bCs/>
          <w:noProof/>
          <w:color w:val="000000"/>
        </w:rPr>
        <mc:AlternateContent>
          <mc:Choice Requires="wps">
            <w:drawing>
              <wp:anchor distT="45720" distB="45720" distL="114300" distR="114300" simplePos="0" relativeHeight="251717632" behindDoc="0" locked="0" layoutInCell="1" allowOverlap="1" wp14:anchorId="2D0107E4" wp14:editId="7843126A">
                <wp:simplePos x="0" y="0"/>
                <wp:positionH relativeFrom="margin">
                  <wp:posOffset>353060</wp:posOffset>
                </wp:positionH>
                <wp:positionV relativeFrom="paragraph">
                  <wp:posOffset>12700</wp:posOffset>
                </wp:positionV>
                <wp:extent cx="5362575" cy="5474970"/>
                <wp:effectExtent l="0" t="0" r="28575" b="11430"/>
                <wp:wrapSquare wrapText="bothSides"/>
                <wp:docPr id="203593034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2575" cy="5474970"/>
                        </a:xfrm>
                        <a:prstGeom prst="roundRect">
                          <a:avLst/>
                        </a:prstGeom>
                        <a:solidFill>
                          <a:schemeClr val="bg1"/>
                        </a:solidFill>
                        <a:ln w="19050">
                          <a:solidFill>
                            <a:srgbClr val="B6A04C"/>
                          </a:solidFill>
                          <a:miter lim="800000"/>
                          <a:headEnd/>
                          <a:tailEnd/>
                        </a:ln>
                      </wps:spPr>
                      <wps:txbx>
                        <w:txbxContent>
                          <w:p w14:paraId="01CCE98D" w14:textId="2D6F7EF5" w:rsidR="008A43B2" w:rsidRPr="007A6459" w:rsidRDefault="008A43B2" w:rsidP="007A6459">
                            <w:pPr>
                              <w:spacing w:line="276" w:lineRule="auto"/>
                              <w:jc w:val="center"/>
                              <w:rPr>
                                <w:rFonts w:asciiTheme="minorHAnsi" w:hAnsiTheme="minorHAnsi" w:cstheme="minorHAnsi"/>
                                <w:b/>
                                <w:color w:val="B6A04C"/>
                                <w:sz w:val="20"/>
                                <w:szCs w:val="20"/>
                              </w:rPr>
                            </w:pPr>
                            <w:hyperlink r:id="rId18" w:history="1">
                              <w:r w:rsidRPr="007A6459">
                                <w:rPr>
                                  <w:rStyle w:val="Hypertextovodkaz"/>
                                  <w:rFonts w:asciiTheme="minorHAnsi" w:hAnsiTheme="minorHAnsi" w:cstheme="minorHAnsi"/>
                                  <w:b/>
                                  <w:iCs/>
                                  <w:color w:val="B6A04C"/>
                                  <w:sz w:val="20"/>
                                  <w:szCs w:val="20"/>
                                </w:rPr>
                                <w:t>CJEU Judgment, 13 december 2017,</w:t>
                              </w:r>
                              <w:r w:rsidRPr="007A6459">
                                <w:rPr>
                                  <w:rStyle w:val="Hypertextovodkaz"/>
                                  <w:rFonts w:asciiTheme="minorHAnsi" w:hAnsiTheme="minorHAnsi" w:cstheme="minorHAnsi"/>
                                  <w:b/>
                                  <w:i/>
                                  <w:iCs/>
                                  <w:color w:val="B6A04C"/>
                                  <w:sz w:val="20"/>
                                  <w:szCs w:val="20"/>
                                </w:rPr>
                                <w:t xml:space="preserve"> Soufiane El Hassani v Minister Spraw Zagranicznych</w:t>
                              </w:r>
                              <w:r w:rsidRPr="007A6459">
                                <w:rPr>
                                  <w:rStyle w:val="Hypertextovodkaz"/>
                                  <w:rFonts w:asciiTheme="minorHAnsi" w:hAnsiTheme="minorHAnsi" w:cstheme="minorHAnsi"/>
                                  <w:b/>
                                  <w:color w:val="B6A04C"/>
                                  <w:sz w:val="20"/>
                                  <w:szCs w:val="20"/>
                                </w:rPr>
                                <w:t xml:space="preserve">, C-403/16, </w:t>
                              </w:r>
                              <w:r w:rsidRPr="007A6459">
                                <w:rPr>
                                  <w:rStyle w:val="Hypertextovodkaz"/>
                                  <w:rFonts w:asciiTheme="minorHAnsi" w:hAnsiTheme="minorHAnsi" w:cstheme="minorHAnsi"/>
                                  <w:b/>
                                  <w:i/>
                                  <w:iCs/>
                                  <w:color w:val="B6A04C"/>
                                  <w:sz w:val="20"/>
                                  <w:szCs w:val="20"/>
                                </w:rPr>
                                <w:t>ECLI:EU:C:2017:960</w:t>
                              </w:r>
                            </w:hyperlink>
                          </w:p>
                          <w:p w14:paraId="2D288251" w14:textId="77777777" w:rsidR="008A43B2" w:rsidRPr="007A6459" w:rsidRDefault="008A43B2" w:rsidP="008A43B2">
                            <w:pPr>
                              <w:rPr>
                                <w:rFonts w:asciiTheme="minorHAnsi" w:hAnsiTheme="minorHAnsi" w:cstheme="minorHAnsi"/>
                                <w:color w:val="000000"/>
                                <w:sz w:val="10"/>
                                <w:szCs w:val="10"/>
                                <w:highlight w:val="yellow"/>
                              </w:rPr>
                            </w:pPr>
                          </w:p>
                          <w:p w14:paraId="459FD232" w14:textId="29665A24" w:rsidR="00D97D5D" w:rsidRPr="007A6459" w:rsidRDefault="00D97D5D" w:rsidP="008A43B2">
                            <w:pPr>
                              <w:spacing w:line="276" w:lineRule="auto"/>
                              <w:jc w:val="both"/>
                              <w:rPr>
                                <w:rFonts w:asciiTheme="minorHAnsi" w:hAnsiTheme="minorHAnsi" w:cstheme="minorHAnsi"/>
                                <w:b/>
                                <w:bCs/>
                                <w:color w:val="2C2D5B"/>
                                <w:sz w:val="19"/>
                                <w:szCs w:val="19"/>
                              </w:rPr>
                            </w:pPr>
                            <w:r w:rsidRPr="007A6459">
                              <w:rPr>
                                <w:rFonts w:asciiTheme="minorHAnsi" w:hAnsiTheme="minorHAnsi" w:cstheme="minorHAnsi"/>
                                <w:b/>
                                <w:bCs/>
                                <w:color w:val="2C2D5B"/>
                                <w:sz w:val="19"/>
                                <w:szCs w:val="19"/>
                              </w:rPr>
                              <w:t>Facts</w:t>
                            </w:r>
                            <w:r w:rsidR="00FB67A1" w:rsidRPr="007A6459">
                              <w:rPr>
                                <w:rFonts w:asciiTheme="minorHAnsi" w:hAnsiTheme="minorHAnsi" w:cstheme="minorHAnsi"/>
                                <w:b/>
                                <w:bCs/>
                                <w:color w:val="2C2D5B"/>
                                <w:sz w:val="19"/>
                                <w:szCs w:val="19"/>
                              </w:rPr>
                              <w:t xml:space="preserve"> </w:t>
                            </w:r>
                            <w:r w:rsidRPr="007A6459">
                              <w:rPr>
                                <w:rFonts w:asciiTheme="minorHAnsi" w:hAnsiTheme="minorHAnsi" w:cstheme="minorHAnsi"/>
                                <w:b/>
                                <w:bCs/>
                                <w:color w:val="2C2D5B"/>
                                <w:sz w:val="19"/>
                                <w:szCs w:val="19"/>
                              </w:rPr>
                              <w:t xml:space="preserve">: </w:t>
                            </w:r>
                          </w:p>
                          <w:p w14:paraId="061C2AD5" w14:textId="59EF1FB2" w:rsidR="008A43B2" w:rsidRPr="007A6459" w:rsidRDefault="008A43B2" w:rsidP="008A43B2">
                            <w:pPr>
                              <w:spacing w:line="276" w:lineRule="auto"/>
                              <w:jc w:val="both"/>
                              <w:rPr>
                                <w:rFonts w:asciiTheme="minorHAnsi" w:hAnsiTheme="minorHAnsi" w:cstheme="minorHAnsi"/>
                                <w:color w:val="2C2D5B"/>
                                <w:sz w:val="19"/>
                                <w:szCs w:val="19"/>
                              </w:rPr>
                            </w:pPr>
                            <w:r w:rsidRPr="007A6459">
                              <w:rPr>
                                <w:rFonts w:asciiTheme="minorHAnsi" w:hAnsiTheme="minorHAnsi" w:cstheme="minorHAnsi"/>
                                <w:color w:val="2C2D5B"/>
                                <w:sz w:val="19"/>
                                <w:szCs w:val="19"/>
                              </w:rPr>
                              <w:t>Mr El Hassani, a Moroccan national, applied for a short-stay visa at the Polish Consulate in Rabat as he intended to visit his wife and child, both of Polish nationality, in Poland. His application and subsequent appeal against the visa refusal were rejected due to doubt about his intention to leave Poland before the visa expired. Mr El Hassani brought an action against the visa refusal before the Regional Administrative Court in Warsaw which ruled that it lacked jurisdiction to review the Consul’s decision. Mr El Hassani took his case to the Polish Supreme Administrative Court, which referred a preliminary ruling request to the CJEU.</w:t>
                            </w:r>
                          </w:p>
                          <w:p w14:paraId="01A3E9DA" w14:textId="77777777" w:rsidR="008A43B2" w:rsidRPr="007A6459" w:rsidRDefault="008A43B2" w:rsidP="008A43B2">
                            <w:pPr>
                              <w:spacing w:line="276" w:lineRule="auto"/>
                              <w:jc w:val="both"/>
                              <w:rPr>
                                <w:rFonts w:asciiTheme="minorHAnsi" w:hAnsiTheme="minorHAnsi" w:cstheme="minorHAnsi"/>
                                <w:color w:val="2C2D5B"/>
                                <w:sz w:val="10"/>
                                <w:szCs w:val="10"/>
                              </w:rPr>
                            </w:pPr>
                          </w:p>
                          <w:p w14:paraId="37B2D194" w14:textId="569CE873" w:rsidR="00D97D5D" w:rsidRPr="007A6459" w:rsidRDefault="00D97D5D" w:rsidP="008A43B2">
                            <w:pPr>
                              <w:spacing w:line="276" w:lineRule="auto"/>
                              <w:jc w:val="both"/>
                              <w:rPr>
                                <w:rFonts w:asciiTheme="minorHAnsi" w:hAnsiTheme="minorHAnsi" w:cstheme="minorHAnsi"/>
                                <w:b/>
                                <w:bCs/>
                                <w:color w:val="2C2D5B"/>
                                <w:sz w:val="19"/>
                                <w:szCs w:val="19"/>
                              </w:rPr>
                            </w:pPr>
                            <w:r w:rsidRPr="007A6459">
                              <w:rPr>
                                <w:rFonts w:asciiTheme="minorHAnsi" w:hAnsiTheme="minorHAnsi" w:cstheme="minorHAnsi"/>
                                <w:b/>
                                <w:bCs/>
                                <w:color w:val="2C2D5B"/>
                                <w:sz w:val="19"/>
                                <w:szCs w:val="19"/>
                              </w:rPr>
                              <w:t>Ruling</w:t>
                            </w:r>
                            <w:r w:rsidR="00FB67A1" w:rsidRPr="007A6459">
                              <w:rPr>
                                <w:rFonts w:asciiTheme="minorHAnsi" w:hAnsiTheme="minorHAnsi" w:cstheme="minorHAnsi"/>
                                <w:b/>
                                <w:bCs/>
                                <w:color w:val="2C2D5B"/>
                                <w:sz w:val="19"/>
                                <w:szCs w:val="19"/>
                              </w:rPr>
                              <w:t xml:space="preserve"> </w:t>
                            </w:r>
                            <w:r w:rsidRPr="007A6459">
                              <w:rPr>
                                <w:rFonts w:asciiTheme="minorHAnsi" w:hAnsiTheme="minorHAnsi" w:cstheme="minorHAnsi"/>
                                <w:b/>
                                <w:bCs/>
                                <w:color w:val="2C2D5B"/>
                                <w:sz w:val="19"/>
                                <w:szCs w:val="19"/>
                              </w:rPr>
                              <w:t xml:space="preserve">: </w:t>
                            </w:r>
                          </w:p>
                          <w:p w14:paraId="07A37895" w14:textId="4F64B994" w:rsidR="00C9236D" w:rsidRPr="007A6459" w:rsidRDefault="008A43B2" w:rsidP="008A43B2">
                            <w:pPr>
                              <w:spacing w:line="276" w:lineRule="auto"/>
                              <w:jc w:val="both"/>
                              <w:rPr>
                                <w:rFonts w:asciiTheme="minorHAnsi" w:hAnsiTheme="minorHAnsi" w:cstheme="minorHAnsi"/>
                                <w:color w:val="2C2D5B"/>
                                <w:sz w:val="19"/>
                                <w:szCs w:val="19"/>
                              </w:rPr>
                            </w:pPr>
                            <w:r w:rsidRPr="007A6459">
                              <w:rPr>
                                <w:rFonts w:asciiTheme="minorHAnsi" w:hAnsiTheme="minorHAnsi" w:cstheme="minorHAnsi"/>
                                <w:color w:val="2C2D5B"/>
                                <w:sz w:val="19"/>
                                <w:szCs w:val="19"/>
                              </w:rPr>
                              <w:t>The CJEU concluded that</w:t>
                            </w:r>
                            <w:r w:rsidRPr="007A6459">
                              <w:rPr>
                                <w:rFonts w:asciiTheme="minorHAnsi" w:hAnsiTheme="minorHAnsi" w:cstheme="minorHAnsi"/>
                                <w:b/>
                                <w:bCs/>
                                <w:color w:val="2C2D5B"/>
                                <w:sz w:val="19"/>
                                <w:szCs w:val="19"/>
                              </w:rPr>
                              <w:t xml:space="preserve"> the provisions of the secondary legislation (namely provision of the Visa Code), interpreted in the light of Article 47 of EChFR, oblige Member States to guarantee, at a certain stage of the proceedings, the possibility to challenge the visa refusal before a court</w:t>
                            </w:r>
                            <w:r w:rsidRPr="007A6459">
                              <w:rPr>
                                <w:rFonts w:asciiTheme="minorHAnsi" w:hAnsiTheme="minorHAnsi" w:cstheme="minorHAnsi"/>
                                <w:color w:val="2C2D5B"/>
                                <w:sz w:val="19"/>
                                <w:szCs w:val="19"/>
                              </w:rPr>
                              <w:t>.</w:t>
                            </w:r>
                          </w:p>
                          <w:p w14:paraId="57E86AB4" w14:textId="77777777" w:rsidR="008A43B2" w:rsidRPr="007A6459" w:rsidRDefault="008A43B2" w:rsidP="008A43B2">
                            <w:pPr>
                              <w:jc w:val="both"/>
                              <w:rPr>
                                <w:rFonts w:ascii="Calibri" w:eastAsia="Calibri" w:hAnsi="Calibri"/>
                                <w:i/>
                                <w:color w:val="2C2D5B"/>
                                <w:sz w:val="19"/>
                                <w:szCs w:val="19"/>
                                <w:lang w:eastAsia="en-US"/>
                              </w:rPr>
                            </w:pPr>
                            <w:r w:rsidRPr="007A6459">
                              <w:rPr>
                                <w:rFonts w:ascii="Calibri" w:eastAsia="Calibri" w:hAnsi="Calibri"/>
                                <w:i/>
                                <w:color w:val="2C2D5B"/>
                                <w:sz w:val="19"/>
                                <w:szCs w:val="19"/>
                                <w:lang w:eastAsia="en-US"/>
                              </w:rPr>
                              <w:t xml:space="preserve">“36. Although it is true that in examining a visa application the national authorities have a broad discretion as regards the conditions for applying the grounds of refusal laid down by the Visa Code and the evaluation of the relevant facts, the fact remains that such discretion has no influence on the fact that the authorities directly apply a provision of EU law […] </w:t>
                            </w:r>
                          </w:p>
                          <w:p w14:paraId="0A525BB7" w14:textId="77777777" w:rsidR="008A43B2" w:rsidRPr="007A6459" w:rsidRDefault="008A43B2" w:rsidP="008A43B2">
                            <w:pPr>
                              <w:jc w:val="both"/>
                              <w:rPr>
                                <w:rFonts w:ascii="Calibri" w:eastAsia="Calibri" w:hAnsi="Calibri"/>
                                <w:i/>
                                <w:color w:val="2C2D5B"/>
                                <w:sz w:val="19"/>
                                <w:szCs w:val="19"/>
                                <w:lang w:eastAsia="en-US"/>
                              </w:rPr>
                            </w:pPr>
                            <w:r w:rsidRPr="007A6459">
                              <w:rPr>
                                <w:rFonts w:ascii="Calibri" w:eastAsia="Calibri" w:hAnsi="Calibri"/>
                                <w:i/>
                                <w:color w:val="2C2D5B"/>
                                <w:sz w:val="19"/>
                                <w:szCs w:val="19"/>
                                <w:lang w:eastAsia="en-US"/>
                              </w:rPr>
                              <w:t xml:space="preserve">37. It is clear that the Charter is applicable where a Member State adopts a decision refusing to issue a visa under Article 32(1) of the Visa Code […] </w:t>
                            </w:r>
                          </w:p>
                          <w:p w14:paraId="14952EE2" w14:textId="77777777" w:rsidR="008A43B2" w:rsidRPr="007A6459" w:rsidRDefault="008A43B2" w:rsidP="008A43B2">
                            <w:pPr>
                              <w:jc w:val="both"/>
                              <w:rPr>
                                <w:rFonts w:ascii="Calibri" w:eastAsia="Calibri" w:hAnsi="Calibri"/>
                                <w:i/>
                                <w:color w:val="2C2D5B"/>
                                <w:sz w:val="19"/>
                                <w:szCs w:val="19"/>
                                <w:lang w:eastAsia="en-US"/>
                              </w:rPr>
                            </w:pPr>
                            <w:r w:rsidRPr="007A6459">
                              <w:rPr>
                                <w:rFonts w:ascii="Calibri" w:eastAsia="Calibri" w:hAnsi="Calibri"/>
                                <w:i/>
                                <w:color w:val="2C2D5B"/>
                                <w:sz w:val="19"/>
                                <w:szCs w:val="19"/>
                                <w:lang w:eastAsia="en-US"/>
                              </w:rPr>
                              <w:t xml:space="preserve">39. Furthermore, the second paragraph of Article 47 of the Charter provides that everyone is entitled to a hearing by an independent and impartial tribunal. Compliance with that right assumes that a decision of an administrative authority that does not itself satisfy the conditions of independence and impartiality must be subject to subsequent control by a judicial body that must, in particular, have jurisdiction to consider all the relevant issues […] </w:t>
                            </w:r>
                          </w:p>
                          <w:p w14:paraId="55C03894" w14:textId="22B9C801" w:rsidR="008A43B2" w:rsidRPr="007A6459" w:rsidRDefault="008A43B2" w:rsidP="008A43B2">
                            <w:pPr>
                              <w:rPr>
                                <w:color w:val="2C2D5B"/>
                                <w:sz w:val="19"/>
                                <w:szCs w:val="19"/>
                              </w:rPr>
                            </w:pPr>
                            <w:r w:rsidRPr="007A6459">
                              <w:rPr>
                                <w:rFonts w:ascii="Calibri" w:eastAsia="Calibri" w:hAnsi="Calibri"/>
                                <w:i/>
                                <w:color w:val="2C2D5B"/>
                                <w:sz w:val="19"/>
                                <w:szCs w:val="19"/>
                                <w:lang w:eastAsia="en-US"/>
                              </w:rPr>
                              <w:t>41. It follows […] that Article 47 of the Charter requires the Member States to guarantee, at a certain stage of the proceedings, the possibility to bring the case concerning a final decision refusing a visa before a court</w:t>
                            </w:r>
                            <w:r w:rsidR="00C9236D" w:rsidRPr="007A6459">
                              <w:rPr>
                                <w:rFonts w:ascii="Calibri" w:eastAsia="Calibri" w:hAnsi="Calibri"/>
                                <w:i/>
                                <w:color w:val="2C2D5B"/>
                                <w:sz w:val="19"/>
                                <w:szCs w:val="19"/>
                                <w:lang w:eastAsia="en-US"/>
                              </w:rPr>
                              <w:t>”</w:t>
                            </w:r>
                            <w:r w:rsidR="007A6459" w:rsidRPr="007A6459">
                              <w:rPr>
                                <w:rFonts w:ascii="Calibri" w:eastAsia="Calibri" w:hAnsi="Calibri"/>
                                <w:i/>
                                <w:color w:val="2C2D5B"/>
                                <w:sz w:val="19"/>
                                <w:szCs w:val="19"/>
                                <w:lang w:eastAsia="en-US"/>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2D0107E4" id="_x0000_s1030" style="position:absolute;left:0;text-align:left;margin-left:27.8pt;margin-top:1pt;width:422.25pt;height:431.1pt;z-index:2517176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o2qJAIAACwEAAAOAAAAZHJzL2Uyb0RvYy54bWysU9tu2zAMfR+wfxD0vtjJ7KQx4hRpug4D&#10;ugvW7QNkSY6FyaInKbGzrx8lp2mWvQ3zg0Ca0iF5eLi6HVpNDtI6Baak00lKiTQchDK7kn7/9vDm&#10;hhLnmRFMg5ElPUpHb9evX636rpAzaEALaQmCGFf0XUkb77siSRxvZMvcBDppMFiDbZlH1+4SYVmP&#10;6K1OZmk6T3qworPApXP4934M0nXEr2vJ/ee6dtITXVKszcfTxrMKZ7JesWJnWdcofiqD/UMVLVMG&#10;k56h7plnZG/VX1Ct4hYc1H7CoU2grhWXsQfsZppedfPUsE7GXpAc151pcv8Pln86PHVfLPHDHQw4&#10;wNiE6x6B/3DEwLZhZic31kLfSCYw8TRQlvSdK05PA9WucAGk6j+CwCGzvYcINNS2DaxgnwTRcQDH&#10;M+ly8ITjz/ztfJYvcko4xvJskS0XcSwJK56fd9b59xJaEoySWtgb8RVHG3Oww6PzoSZWPN8LKR1o&#10;JR6U1tEJcpJbbcmBoRCq3djF1S1tSI8NLtM8HWn4A8LuqjPA3XyTZtvIxBVGqzzqWau2pDdp+EaF&#10;BfLeGRHV5pnSo40la3NiMxA4UumHaiBKlDQLbwO5FYgj0mthlC+uGxoN2F+U9Cjdkrqfe2YlJfqD&#10;wREtp1kWtB6dLF/M0LGXkeoywgxHqJJ6SkZz6+N+BN4MbHCUtYr8vlRyKhklGWk/rU/Q/KUfb70s&#10;+fo3AAAA//8DAFBLAwQUAAYACAAAACEA/em3P90AAAAIAQAADwAAAGRycy9kb3ducmV2LnhtbEyP&#10;MW+DMBSE90r9D9ar1K0xQQE5lEeEInXpFpoM3Qx2MS1+Rtgh9N/XndrxdKe778rDake26NkPjhC2&#10;mwSYps6pgXqE89vLkwDmgyQlR0ca4Vt7OFT3d6UslLvRSS9N6FksIV9IBBPCVHDuO6Ot9Bs3aYre&#10;h5utDFHOPVezvMVyO/I0SXJu5UBxwchJH43uvpqrRVjOp6wWx/ddYy78c/9ai1ZYgfj4sNbPwIJe&#10;w18YfvEjOlSRqXVXUp6NCFmWxyRCGh9Fe58kW2Atgsh3KfCq5P8PVD8AAAD//wMAUEsBAi0AFAAG&#10;AAgAAAAhALaDOJL+AAAA4QEAABMAAAAAAAAAAAAAAAAAAAAAAFtDb250ZW50X1R5cGVzXS54bWxQ&#10;SwECLQAUAAYACAAAACEAOP0h/9YAAACUAQAACwAAAAAAAAAAAAAAAAAvAQAAX3JlbHMvLnJlbHNQ&#10;SwECLQAUAAYACAAAACEAxbqNqiQCAAAsBAAADgAAAAAAAAAAAAAAAAAuAgAAZHJzL2Uyb0RvYy54&#10;bWxQSwECLQAUAAYACAAAACEA/em3P90AAAAIAQAADwAAAAAAAAAAAAAAAAB+BAAAZHJzL2Rvd25y&#10;ZXYueG1sUEsFBgAAAAAEAAQA8wAAAIgFAAAAAA==&#10;" fillcolor="white [3212]" strokecolor="#b6a04c" strokeweight="1.5pt">
                <v:stroke joinstyle="miter"/>
                <v:textbox>
                  <w:txbxContent>
                    <w:p w14:paraId="01CCE98D" w14:textId="2D6F7EF5" w:rsidR="008A43B2" w:rsidRPr="007A6459" w:rsidRDefault="008A43B2" w:rsidP="007A6459">
                      <w:pPr>
                        <w:spacing w:line="276" w:lineRule="auto"/>
                        <w:jc w:val="center"/>
                        <w:rPr>
                          <w:rFonts w:asciiTheme="minorHAnsi" w:hAnsiTheme="minorHAnsi" w:cstheme="minorHAnsi"/>
                          <w:b/>
                          <w:color w:val="B6A04C"/>
                          <w:sz w:val="20"/>
                          <w:szCs w:val="20"/>
                        </w:rPr>
                      </w:pPr>
                      <w:hyperlink r:id="rId20" w:history="1">
                        <w:r w:rsidRPr="007A6459">
                          <w:rPr>
                            <w:rStyle w:val="Lienhypertexte"/>
                            <w:rFonts w:asciiTheme="minorHAnsi" w:hAnsiTheme="minorHAnsi" w:cstheme="minorHAnsi"/>
                            <w:b/>
                            <w:iCs/>
                            <w:color w:val="B6A04C"/>
                            <w:sz w:val="20"/>
                            <w:szCs w:val="20"/>
                          </w:rPr>
                          <w:t xml:space="preserve">CJEU Judgment, 13 </w:t>
                        </w:r>
                        <w:proofErr w:type="spellStart"/>
                        <w:r w:rsidRPr="007A6459">
                          <w:rPr>
                            <w:rStyle w:val="Lienhypertexte"/>
                            <w:rFonts w:asciiTheme="minorHAnsi" w:hAnsiTheme="minorHAnsi" w:cstheme="minorHAnsi"/>
                            <w:b/>
                            <w:iCs/>
                            <w:color w:val="B6A04C"/>
                            <w:sz w:val="20"/>
                            <w:szCs w:val="20"/>
                          </w:rPr>
                          <w:t>december</w:t>
                        </w:r>
                        <w:proofErr w:type="spellEnd"/>
                        <w:r w:rsidRPr="007A6459">
                          <w:rPr>
                            <w:rStyle w:val="Lienhypertexte"/>
                            <w:rFonts w:asciiTheme="minorHAnsi" w:hAnsiTheme="minorHAnsi" w:cstheme="minorHAnsi"/>
                            <w:b/>
                            <w:iCs/>
                            <w:color w:val="B6A04C"/>
                            <w:sz w:val="20"/>
                            <w:szCs w:val="20"/>
                          </w:rPr>
                          <w:t xml:space="preserve"> 2017,</w:t>
                        </w:r>
                        <w:r w:rsidRPr="007A6459">
                          <w:rPr>
                            <w:rStyle w:val="Lienhypertexte"/>
                            <w:rFonts w:asciiTheme="minorHAnsi" w:hAnsiTheme="minorHAnsi" w:cstheme="minorHAnsi"/>
                            <w:b/>
                            <w:i/>
                            <w:iCs/>
                            <w:color w:val="B6A04C"/>
                            <w:sz w:val="20"/>
                            <w:szCs w:val="20"/>
                          </w:rPr>
                          <w:t xml:space="preserve"> Soufiane El Hassani v Minister </w:t>
                        </w:r>
                        <w:proofErr w:type="spellStart"/>
                        <w:r w:rsidRPr="007A6459">
                          <w:rPr>
                            <w:rStyle w:val="Lienhypertexte"/>
                            <w:rFonts w:asciiTheme="minorHAnsi" w:hAnsiTheme="minorHAnsi" w:cstheme="minorHAnsi"/>
                            <w:b/>
                            <w:i/>
                            <w:iCs/>
                            <w:color w:val="B6A04C"/>
                            <w:sz w:val="20"/>
                            <w:szCs w:val="20"/>
                          </w:rPr>
                          <w:t>Spraw</w:t>
                        </w:r>
                        <w:proofErr w:type="spellEnd"/>
                        <w:r w:rsidRPr="007A6459">
                          <w:rPr>
                            <w:rStyle w:val="Lienhypertexte"/>
                            <w:rFonts w:asciiTheme="minorHAnsi" w:hAnsiTheme="minorHAnsi" w:cstheme="minorHAnsi"/>
                            <w:b/>
                            <w:i/>
                            <w:iCs/>
                            <w:color w:val="B6A04C"/>
                            <w:sz w:val="20"/>
                            <w:szCs w:val="20"/>
                          </w:rPr>
                          <w:t xml:space="preserve"> </w:t>
                        </w:r>
                        <w:proofErr w:type="spellStart"/>
                        <w:r w:rsidRPr="007A6459">
                          <w:rPr>
                            <w:rStyle w:val="Lienhypertexte"/>
                            <w:rFonts w:asciiTheme="minorHAnsi" w:hAnsiTheme="minorHAnsi" w:cstheme="minorHAnsi"/>
                            <w:b/>
                            <w:i/>
                            <w:iCs/>
                            <w:color w:val="B6A04C"/>
                            <w:sz w:val="20"/>
                            <w:szCs w:val="20"/>
                          </w:rPr>
                          <w:t>Zagranicznych</w:t>
                        </w:r>
                        <w:proofErr w:type="spellEnd"/>
                        <w:r w:rsidRPr="007A6459">
                          <w:rPr>
                            <w:rStyle w:val="Lienhypertexte"/>
                            <w:rFonts w:asciiTheme="minorHAnsi" w:hAnsiTheme="minorHAnsi" w:cstheme="minorHAnsi"/>
                            <w:b/>
                            <w:color w:val="B6A04C"/>
                            <w:sz w:val="20"/>
                            <w:szCs w:val="20"/>
                          </w:rPr>
                          <w:t xml:space="preserve">, C-403/16, </w:t>
                        </w:r>
                        <w:r w:rsidRPr="007A6459">
                          <w:rPr>
                            <w:rStyle w:val="Lienhypertexte"/>
                            <w:rFonts w:asciiTheme="minorHAnsi" w:hAnsiTheme="minorHAnsi" w:cstheme="minorHAnsi"/>
                            <w:b/>
                            <w:i/>
                            <w:iCs/>
                            <w:color w:val="B6A04C"/>
                            <w:sz w:val="20"/>
                            <w:szCs w:val="20"/>
                          </w:rPr>
                          <w:t>ECLI:EU:C:2017:960</w:t>
                        </w:r>
                      </w:hyperlink>
                    </w:p>
                    <w:p w14:paraId="2D288251" w14:textId="77777777" w:rsidR="008A43B2" w:rsidRPr="007A6459" w:rsidRDefault="008A43B2" w:rsidP="008A43B2">
                      <w:pPr>
                        <w:rPr>
                          <w:rFonts w:asciiTheme="minorHAnsi" w:hAnsiTheme="minorHAnsi" w:cstheme="minorHAnsi"/>
                          <w:color w:val="000000"/>
                          <w:sz w:val="10"/>
                          <w:szCs w:val="10"/>
                          <w:highlight w:val="yellow"/>
                        </w:rPr>
                      </w:pPr>
                    </w:p>
                    <w:p w14:paraId="459FD232" w14:textId="29665A24" w:rsidR="00D97D5D" w:rsidRPr="007A6459" w:rsidRDefault="00D97D5D" w:rsidP="008A43B2">
                      <w:pPr>
                        <w:spacing w:line="276" w:lineRule="auto"/>
                        <w:jc w:val="both"/>
                        <w:rPr>
                          <w:rFonts w:asciiTheme="minorHAnsi" w:hAnsiTheme="minorHAnsi" w:cstheme="minorHAnsi"/>
                          <w:b/>
                          <w:bCs/>
                          <w:color w:val="2C2D5B"/>
                          <w:sz w:val="19"/>
                          <w:szCs w:val="19"/>
                        </w:rPr>
                      </w:pPr>
                      <w:r w:rsidRPr="007A6459">
                        <w:rPr>
                          <w:rFonts w:asciiTheme="minorHAnsi" w:hAnsiTheme="minorHAnsi" w:cstheme="minorHAnsi"/>
                          <w:b/>
                          <w:bCs/>
                          <w:color w:val="2C2D5B"/>
                          <w:sz w:val="19"/>
                          <w:szCs w:val="19"/>
                        </w:rPr>
                        <w:t>Facts</w:t>
                      </w:r>
                      <w:r w:rsidR="00FB67A1" w:rsidRPr="007A6459">
                        <w:rPr>
                          <w:rFonts w:asciiTheme="minorHAnsi" w:hAnsiTheme="minorHAnsi" w:cstheme="minorHAnsi"/>
                          <w:b/>
                          <w:bCs/>
                          <w:color w:val="2C2D5B"/>
                          <w:sz w:val="19"/>
                          <w:szCs w:val="19"/>
                        </w:rPr>
                        <w:t xml:space="preserve"> </w:t>
                      </w:r>
                      <w:r w:rsidRPr="007A6459">
                        <w:rPr>
                          <w:rFonts w:asciiTheme="minorHAnsi" w:hAnsiTheme="minorHAnsi" w:cstheme="minorHAnsi"/>
                          <w:b/>
                          <w:bCs/>
                          <w:color w:val="2C2D5B"/>
                          <w:sz w:val="19"/>
                          <w:szCs w:val="19"/>
                        </w:rPr>
                        <w:t xml:space="preserve">: </w:t>
                      </w:r>
                    </w:p>
                    <w:p w14:paraId="061C2AD5" w14:textId="59EF1FB2" w:rsidR="008A43B2" w:rsidRPr="007A6459" w:rsidRDefault="008A43B2" w:rsidP="008A43B2">
                      <w:pPr>
                        <w:spacing w:line="276" w:lineRule="auto"/>
                        <w:jc w:val="both"/>
                        <w:rPr>
                          <w:rFonts w:asciiTheme="minorHAnsi" w:hAnsiTheme="minorHAnsi" w:cstheme="minorHAnsi"/>
                          <w:color w:val="2C2D5B"/>
                          <w:sz w:val="19"/>
                          <w:szCs w:val="19"/>
                        </w:rPr>
                      </w:pPr>
                      <w:r w:rsidRPr="007A6459">
                        <w:rPr>
                          <w:rFonts w:asciiTheme="minorHAnsi" w:hAnsiTheme="minorHAnsi" w:cstheme="minorHAnsi"/>
                          <w:color w:val="2C2D5B"/>
                          <w:sz w:val="19"/>
                          <w:szCs w:val="19"/>
                        </w:rPr>
                        <w:t>Mr El Hassani, a Moroccan national, applied for a short-stay visa at the Polish Consulate in Rabat as he intended to visit his wife and child, both of Polish nationality, in Poland. His application and subsequent appeal against the visa refusal were rejected due to doubt about his intention to leave Poland before the visa expired. Mr El Hassani brought an action against the visa refusal before the Regional Administrative Court in Warsaw which ruled that it lacked jurisdiction to review the Consul’s decision. Mr El Hassani took his case to the Polish Supreme Administrative Court, which referred a preliminary ruling request to the CJEU.</w:t>
                      </w:r>
                    </w:p>
                    <w:p w14:paraId="01A3E9DA" w14:textId="77777777" w:rsidR="008A43B2" w:rsidRPr="007A6459" w:rsidRDefault="008A43B2" w:rsidP="008A43B2">
                      <w:pPr>
                        <w:spacing w:line="276" w:lineRule="auto"/>
                        <w:jc w:val="both"/>
                        <w:rPr>
                          <w:rFonts w:asciiTheme="minorHAnsi" w:hAnsiTheme="minorHAnsi" w:cstheme="minorHAnsi"/>
                          <w:color w:val="2C2D5B"/>
                          <w:sz w:val="10"/>
                          <w:szCs w:val="10"/>
                        </w:rPr>
                      </w:pPr>
                    </w:p>
                    <w:p w14:paraId="37B2D194" w14:textId="569CE873" w:rsidR="00D97D5D" w:rsidRPr="007A6459" w:rsidRDefault="00D97D5D" w:rsidP="008A43B2">
                      <w:pPr>
                        <w:spacing w:line="276" w:lineRule="auto"/>
                        <w:jc w:val="both"/>
                        <w:rPr>
                          <w:rFonts w:asciiTheme="minorHAnsi" w:hAnsiTheme="minorHAnsi" w:cstheme="minorHAnsi"/>
                          <w:b/>
                          <w:bCs/>
                          <w:color w:val="2C2D5B"/>
                          <w:sz w:val="19"/>
                          <w:szCs w:val="19"/>
                        </w:rPr>
                      </w:pPr>
                      <w:r w:rsidRPr="007A6459">
                        <w:rPr>
                          <w:rFonts w:asciiTheme="minorHAnsi" w:hAnsiTheme="minorHAnsi" w:cstheme="minorHAnsi"/>
                          <w:b/>
                          <w:bCs/>
                          <w:color w:val="2C2D5B"/>
                          <w:sz w:val="19"/>
                          <w:szCs w:val="19"/>
                        </w:rPr>
                        <w:t>Ruling</w:t>
                      </w:r>
                      <w:r w:rsidR="00FB67A1" w:rsidRPr="007A6459">
                        <w:rPr>
                          <w:rFonts w:asciiTheme="minorHAnsi" w:hAnsiTheme="minorHAnsi" w:cstheme="minorHAnsi"/>
                          <w:b/>
                          <w:bCs/>
                          <w:color w:val="2C2D5B"/>
                          <w:sz w:val="19"/>
                          <w:szCs w:val="19"/>
                        </w:rPr>
                        <w:t xml:space="preserve"> </w:t>
                      </w:r>
                      <w:r w:rsidRPr="007A6459">
                        <w:rPr>
                          <w:rFonts w:asciiTheme="minorHAnsi" w:hAnsiTheme="minorHAnsi" w:cstheme="minorHAnsi"/>
                          <w:b/>
                          <w:bCs/>
                          <w:color w:val="2C2D5B"/>
                          <w:sz w:val="19"/>
                          <w:szCs w:val="19"/>
                        </w:rPr>
                        <w:t xml:space="preserve">: </w:t>
                      </w:r>
                    </w:p>
                    <w:p w14:paraId="07A37895" w14:textId="4F64B994" w:rsidR="00C9236D" w:rsidRPr="007A6459" w:rsidRDefault="008A43B2" w:rsidP="008A43B2">
                      <w:pPr>
                        <w:spacing w:line="276" w:lineRule="auto"/>
                        <w:jc w:val="both"/>
                        <w:rPr>
                          <w:rFonts w:asciiTheme="minorHAnsi" w:hAnsiTheme="minorHAnsi" w:cstheme="minorHAnsi"/>
                          <w:color w:val="2C2D5B"/>
                          <w:sz w:val="19"/>
                          <w:szCs w:val="19"/>
                        </w:rPr>
                      </w:pPr>
                      <w:r w:rsidRPr="007A6459">
                        <w:rPr>
                          <w:rFonts w:asciiTheme="minorHAnsi" w:hAnsiTheme="minorHAnsi" w:cstheme="minorHAnsi"/>
                          <w:color w:val="2C2D5B"/>
                          <w:sz w:val="19"/>
                          <w:szCs w:val="19"/>
                        </w:rPr>
                        <w:t>The CJEU concluded that</w:t>
                      </w:r>
                      <w:r w:rsidRPr="007A6459">
                        <w:rPr>
                          <w:rFonts w:asciiTheme="minorHAnsi" w:hAnsiTheme="minorHAnsi" w:cstheme="minorHAnsi"/>
                          <w:b/>
                          <w:bCs/>
                          <w:color w:val="2C2D5B"/>
                          <w:sz w:val="19"/>
                          <w:szCs w:val="19"/>
                        </w:rPr>
                        <w:t xml:space="preserve"> the provisions of the secondary legislation (namely provision of the Visa Code), interpreted in the light of Article 47 of EChFR, oblige Member States to guarantee, at a certain stage of the proceedings, the possibility to challenge the visa refusal before a court</w:t>
                      </w:r>
                      <w:r w:rsidRPr="007A6459">
                        <w:rPr>
                          <w:rFonts w:asciiTheme="minorHAnsi" w:hAnsiTheme="minorHAnsi" w:cstheme="minorHAnsi"/>
                          <w:color w:val="2C2D5B"/>
                          <w:sz w:val="19"/>
                          <w:szCs w:val="19"/>
                        </w:rPr>
                        <w:t>.</w:t>
                      </w:r>
                    </w:p>
                    <w:p w14:paraId="57E86AB4" w14:textId="77777777" w:rsidR="008A43B2" w:rsidRPr="007A6459" w:rsidRDefault="008A43B2" w:rsidP="008A43B2">
                      <w:pPr>
                        <w:jc w:val="both"/>
                        <w:rPr>
                          <w:rFonts w:ascii="Calibri" w:eastAsia="Calibri" w:hAnsi="Calibri"/>
                          <w:i/>
                          <w:color w:val="2C2D5B"/>
                          <w:sz w:val="19"/>
                          <w:szCs w:val="19"/>
                          <w:lang w:eastAsia="en-US"/>
                        </w:rPr>
                      </w:pPr>
                      <w:r w:rsidRPr="007A6459">
                        <w:rPr>
                          <w:rFonts w:ascii="Calibri" w:eastAsia="Calibri" w:hAnsi="Calibri"/>
                          <w:i/>
                          <w:color w:val="2C2D5B"/>
                          <w:sz w:val="19"/>
                          <w:szCs w:val="19"/>
                          <w:lang w:eastAsia="en-US"/>
                        </w:rPr>
                        <w:t xml:space="preserve">“36. Although it is true that in examining a visa application the national authorities have a broad discretion as regards the conditions for applying the grounds of refusal laid down by the Visa Code and the evaluation of the relevant facts, the fact remains that such discretion has no influence on the fact that the authorities directly apply a provision of EU law […] </w:t>
                      </w:r>
                    </w:p>
                    <w:p w14:paraId="0A525BB7" w14:textId="77777777" w:rsidR="008A43B2" w:rsidRPr="007A6459" w:rsidRDefault="008A43B2" w:rsidP="008A43B2">
                      <w:pPr>
                        <w:jc w:val="both"/>
                        <w:rPr>
                          <w:rFonts w:ascii="Calibri" w:eastAsia="Calibri" w:hAnsi="Calibri"/>
                          <w:i/>
                          <w:color w:val="2C2D5B"/>
                          <w:sz w:val="19"/>
                          <w:szCs w:val="19"/>
                          <w:lang w:eastAsia="en-US"/>
                        </w:rPr>
                      </w:pPr>
                      <w:r w:rsidRPr="007A6459">
                        <w:rPr>
                          <w:rFonts w:ascii="Calibri" w:eastAsia="Calibri" w:hAnsi="Calibri"/>
                          <w:i/>
                          <w:color w:val="2C2D5B"/>
                          <w:sz w:val="19"/>
                          <w:szCs w:val="19"/>
                          <w:lang w:eastAsia="en-US"/>
                        </w:rPr>
                        <w:t xml:space="preserve">37. It is clear that the Charter is applicable where a Member State adopts a decision refusing to issue a visa under Article 32(1) of the Visa Code […] </w:t>
                      </w:r>
                    </w:p>
                    <w:p w14:paraId="14952EE2" w14:textId="77777777" w:rsidR="008A43B2" w:rsidRPr="007A6459" w:rsidRDefault="008A43B2" w:rsidP="008A43B2">
                      <w:pPr>
                        <w:jc w:val="both"/>
                        <w:rPr>
                          <w:rFonts w:ascii="Calibri" w:eastAsia="Calibri" w:hAnsi="Calibri"/>
                          <w:i/>
                          <w:color w:val="2C2D5B"/>
                          <w:sz w:val="19"/>
                          <w:szCs w:val="19"/>
                          <w:lang w:eastAsia="en-US"/>
                        </w:rPr>
                      </w:pPr>
                      <w:r w:rsidRPr="007A6459">
                        <w:rPr>
                          <w:rFonts w:ascii="Calibri" w:eastAsia="Calibri" w:hAnsi="Calibri"/>
                          <w:i/>
                          <w:color w:val="2C2D5B"/>
                          <w:sz w:val="19"/>
                          <w:szCs w:val="19"/>
                          <w:lang w:eastAsia="en-US"/>
                        </w:rPr>
                        <w:t xml:space="preserve">39. Furthermore, the second paragraph of Article 47 of the Charter provides that everyone is entitled to a hearing by an independent and impartial tribunal. Compliance with that right assumes that a decision of an administrative authority that does not itself satisfy the conditions of independence and impartiality must be subject to subsequent control by a judicial body that must, in particular, have jurisdiction to consider all the relevant issues […] </w:t>
                      </w:r>
                    </w:p>
                    <w:p w14:paraId="55C03894" w14:textId="22B9C801" w:rsidR="008A43B2" w:rsidRPr="007A6459" w:rsidRDefault="008A43B2" w:rsidP="008A43B2">
                      <w:pPr>
                        <w:rPr>
                          <w:color w:val="2C2D5B"/>
                          <w:sz w:val="19"/>
                          <w:szCs w:val="19"/>
                        </w:rPr>
                      </w:pPr>
                      <w:r w:rsidRPr="007A6459">
                        <w:rPr>
                          <w:rFonts w:ascii="Calibri" w:eastAsia="Calibri" w:hAnsi="Calibri"/>
                          <w:i/>
                          <w:color w:val="2C2D5B"/>
                          <w:sz w:val="19"/>
                          <w:szCs w:val="19"/>
                          <w:lang w:eastAsia="en-US"/>
                        </w:rPr>
                        <w:t>41. It follows […] that Article 47 of the Charter requires the Member States to guarantee, at a certain stage of the proceedings, the possibility to bring the case concerning a final decision refusing a visa before a court</w:t>
                      </w:r>
                      <w:r w:rsidR="00C9236D" w:rsidRPr="007A6459">
                        <w:rPr>
                          <w:rFonts w:ascii="Calibri" w:eastAsia="Calibri" w:hAnsi="Calibri"/>
                          <w:i/>
                          <w:color w:val="2C2D5B"/>
                          <w:sz w:val="19"/>
                          <w:szCs w:val="19"/>
                          <w:lang w:eastAsia="en-US"/>
                        </w:rPr>
                        <w:t>”</w:t>
                      </w:r>
                      <w:r w:rsidR="007A6459" w:rsidRPr="007A6459">
                        <w:rPr>
                          <w:rFonts w:ascii="Calibri" w:eastAsia="Calibri" w:hAnsi="Calibri"/>
                          <w:i/>
                          <w:color w:val="2C2D5B"/>
                          <w:sz w:val="19"/>
                          <w:szCs w:val="19"/>
                          <w:lang w:eastAsia="en-US"/>
                        </w:rPr>
                        <w:t>.</w:t>
                      </w:r>
                    </w:p>
                  </w:txbxContent>
                </v:textbox>
                <w10:wrap type="square" anchorx="margin"/>
              </v:roundrect>
            </w:pict>
          </mc:Fallback>
        </mc:AlternateContent>
      </w:r>
    </w:p>
    <w:p w14:paraId="17334EB3" w14:textId="7954BF38" w:rsidR="007A6459" w:rsidRDefault="007A6459" w:rsidP="009F7D3D">
      <w:pPr>
        <w:spacing w:after="120" w:line="276" w:lineRule="auto"/>
        <w:jc w:val="both"/>
        <w:rPr>
          <w:rFonts w:asciiTheme="majorHAnsi" w:hAnsiTheme="majorHAnsi" w:cstheme="majorHAnsi"/>
          <w:color w:val="2C2D5B"/>
        </w:rPr>
      </w:pPr>
    </w:p>
    <w:p w14:paraId="21B3C1BA" w14:textId="708E2BF1" w:rsidR="007A6459" w:rsidRDefault="007A6459" w:rsidP="009F7D3D">
      <w:pPr>
        <w:spacing w:after="120" w:line="276" w:lineRule="auto"/>
        <w:jc w:val="both"/>
        <w:rPr>
          <w:rFonts w:asciiTheme="majorHAnsi" w:hAnsiTheme="majorHAnsi" w:cstheme="majorHAnsi"/>
          <w:color w:val="2C2D5B"/>
        </w:rPr>
      </w:pPr>
    </w:p>
    <w:p w14:paraId="29600C7B" w14:textId="27B9FC91" w:rsidR="007A6459" w:rsidRDefault="007A6459" w:rsidP="009F7D3D">
      <w:pPr>
        <w:spacing w:after="120" w:line="276" w:lineRule="auto"/>
        <w:jc w:val="both"/>
        <w:rPr>
          <w:rFonts w:asciiTheme="majorHAnsi" w:hAnsiTheme="majorHAnsi" w:cstheme="majorHAnsi"/>
          <w:color w:val="2C2D5B"/>
        </w:rPr>
      </w:pPr>
    </w:p>
    <w:p w14:paraId="71B8CE44" w14:textId="1E5D1D0E" w:rsidR="007A6459" w:rsidRDefault="007A6459" w:rsidP="009F7D3D">
      <w:pPr>
        <w:spacing w:after="120" w:line="276" w:lineRule="auto"/>
        <w:jc w:val="both"/>
        <w:rPr>
          <w:rFonts w:asciiTheme="majorHAnsi" w:hAnsiTheme="majorHAnsi" w:cstheme="majorHAnsi"/>
          <w:color w:val="2C2D5B"/>
        </w:rPr>
      </w:pPr>
    </w:p>
    <w:p w14:paraId="4D39E311" w14:textId="2566B731" w:rsidR="007A6459" w:rsidRDefault="007A6459" w:rsidP="009F7D3D">
      <w:pPr>
        <w:spacing w:after="120" w:line="276" w:lineRule="auto"/>
        <w:jc w:val="both"/>
        <w:rPr>
          <w:rFonts w:asciiTheme="majorHAnsi" w:hAnsiTheme="majorHAnsi" w:cstheme="majorHAnsi"/>
          <w:color w:val="2C2D5B"/>
        </w:rPr>
      </w:pPr>
    </w:p>
    <w:p w14:paraId="748BD75B" w14:textId="77777777" w:rsidR="007A6459" w:rsidRDefault="007A6459" w:rsidP="009F7D3D">
      <w:pPr>
        <w:spacing w:after="120" w:line="276" w:lineRule="auto"/>
        <w:jc w:val="both"/>
        <w:rPr>
          <w:rFonts w:asciiTheme="majorHAnsi" w:hAnsiTheme="majorHAnsi" w:cstheme="majorHAnsi"/>
          <w:color w:val="2C2D5B"/>
        </w:rPr>
      </w:pPr>
    </w:p>
    <w:p w14:paraId="0E9CD79D" w14:textId="77777777" w:rsidR="007A6459" w:rsidRDefault="007A6459" w:rsidP="009F7D3D">
      <w:pPr>
        <w:spacing w:after="120" w:line="276" w:lineRule="auto"/>
        <w:jc w:val="both"/>
        <w:rPr>
          <w:rFonts w:asciiTheme="majorHAnsi" w:hAnsiTheme="majorHAnsi" w:cstheme="majorHAnsi"/>
          <w:color w:val="2C2D5B"/>
        </w:rPr>
      </w:pPr>
    </w:p>
    <w:p w14:paraId="045AF90D" w14:textId="514B494D" w:rsidR="007A6459" w:rsidRDefault="007A6459" w:rsidP="009F7D3D">
      <w:pPr>
        <w:spacing w:after="120" w:line="276" w:lineRule="auto"/>
        <w:jc w:val="both"/>
        <w:rPr>
          <w:rFonts w:asciiTheme="majorHAnsi" w:hAnsiTheme="majorHAnsi" w:cstheme="majorHAnsi"/>
          <w:color w:val="2C2D5B"/>
        </w:rPr>
      </w:pPr>
    </w:p>
    <w:p w14:paraId="7816A7A7" w14:textId="32F12B4D" w:rsidR="007A6459" w:rsidRDefault="007A6459" w:rsidP="009F7D3D">
      <w:pPr>
        <w:spacing w:after="120" w:line="276" w:lineRule="auto"/>
        <w:jc w:val="both"/>
        <w:rPr>
          <w:rFonts w:asciiTheme="majorHAnsi" w:hAnsiTheme="majorHAnsi" w:cstheme="majorHAnsi"/>
          <w:color w:val="2C2D5B"/>
        </w:rPr>
      </w:pPr>
    </w:p>
    <w:p w14:paraId="3921A7E5" w14:textId="77777777" w:rsidR="007A6459" w:rsidRDefault="007A6459" w:rsidP="009F7D3D">
      <w:pPr>
        <w:spacing w:after="120" w:line="276" w:lineRule="auto"/>
        <w:jc w:val="both"/>
        <w:rPr>
          <w:rFonts w:asciiTheme="majorHAnsi" w:hAnsiTheme="majorHAnsi" w:cstheme="majorHAnsi"/>
          <w:color w:val="2C2D5B"/>
        </w:rPr>
      </w:pPr>
    </w:p>
    <w:p w14:paraId="46CB73C7" w14:textId="77777777" w:rsidR="007A6459" w:rsidRDefault="007A6459" w:rsidP="009F7D3D">
      <w:pPr>
        <w:spacing w:after="120" w:line="276" w:lineRule="auto"/>
        <w:jc w:val="both"/>
        <w:rPr>
          <w:rFonts w:asciiTheme="majorHAnsi" w:hAnsiTheme="majorHAnsi" w:cstheme="majorHAnsi"/>
          <w:color w:val="2C2D5B"/>
        </w:rPr>
      </w:pPr>
    </w:p>
    <w:p w14:paraId="6753FEC9" w14:textId="77777777" w:rsidR="007A6459" w:rsidRDefault="007A6459" w:rsidP="009F7D3D">
      <w:pPr>
        <w:spacing w:after="120" w:line="276" w:lineRule="auto"/>
        <w:jc w:val="both"/>
        <w:rPr>
          <w:rFonts w:asciiTheme="majorHAnsi" w:hAnsiTheme="majorHAnsi" w:cstheme="majorHAnsi"/>
          <w:color w:val="2C2D5B"/>
        </w:rPr>
      </w:pPr>
    </w:p>
    <w:p w14:paraId="04E937DC" w14:textId="77777777" w:rsidR="007A6459" w:rsidRDefault="007A6459" w:rsidP="009F7D3D">
      <w:pPr>
        <w:spacing w:after="120" w:line="276" w:lineRule="auto"/>
        <w:jc w:val="both"/>
        <w:rPr>
          <w:rFonts w:asciiTheme="majorHAnsi" w:hAnsiTheme="majorHAnsi" w:cstheme="majorHAnsi"/>
          <w:color w:val="2C2D5B"/>
        </w:rPr>
      </w:pPr>
    </w:p>
    <w:p w14:paraId="52035D4A" w14:textId="77777777" w:rsidR="007A6459" w:rsidRDefault="007A6459" w:rsidP="009F7D3D">
      <w:pPr>
        <w:spacing w:after="120" w:line="276" w:lineRule="auto"/>
        <w:jc w:val="both"/>
        <w:rPr>
          <w:rFonts w:asciiTheme="majorHAnsi" w:hAnsiTheme="majorHAnsi" w:cstheme="majorHAnsi"/>
          <w:color w:val="2C2D5B"/>
        </w:rPr>
      </w:pPr>
    </w:p>
    <w:p w14:paraId="442C725B" w14:textId="77777777" w:rsidR="007A6459" w:rsidRDefault="007A6459" w:rsidP="009F7D3D">
      <w:pPr>
        <w:spacing w:after="120" w:line="276" w:lineRule="auto"/>
        <w:jc w:val="both"/>
        <w:rPr>
          <w:rFonts w:asciiTheme="majorHAnsi" w:hAnsiTheme="majorHAnsi" w:cstheme="majorHAnsi"/>
          <w:color w:val="2C2D5B"/>
        </w:rPr>
      </w:pPr>
    </w:p>
    <w:p w14:paraId="473A57BE" w14:textId="77777777" w:rsidR="007A6459" w:rsidRDefault="007A6459" w:rsidP="009F7D3D">
      <w:pPr>
        <w:spacing w:after="120" w:line="276" w:lineRule="auto"/>
        <w:jc w:val="both"/>
        <w:rPr>
          <w:rFonts w:asciiTheme="majorHAnsi" w:hAnsiTheme="majorHAnsi" w:cstheme="majorHAnsi"/>
          <w:color w:val="2C2D5B"/>
        </w:rPr>
      </w:pPr>
    </w:p>
    <w:p w14:paraId="05D2ED07" w14:textId="77777777" w:rsidR="007A6459" w:rsidRDefault="007A6459" w:rsidP="009F7D3D">
      <w:pPr>
        <w:spacing w:after="120" w:line="276" w:lineRule="auto"/>
        <w:jc w:val="both"/>
        <w:rPr>
          <w:rFonts w:asciiTheme="majorHAnsi" w:hAnsiTheme="majorHAnsi" w:cstheme="majorHAnsi"/>
          <w:color w:val="2C2D5B"/>
        </w:rPr>
      </w:pPr>
    </w:p>
    <w:p w14:paraId="6F58EA64" w14:textId="77777777" w:rsidR="007A6459" w:rsidRDefault="007A6459" w:rsidP="009F7D3D">
      <w:pPr>
        <w:spacing w:after="120" w:line="276" w:lineRule="auto"/>
        <w:jc w:val="both"/>
        <w:rPr>
          <w:rFonts w:asciiTheme="majorHAnsi" w:hAnsiTheme="majorHAnsi" w:cstheme="majorHAnsi"/>
          <w:color w:val="2C2D5B"/>
        </w:rPr>
      </w:pPr>
    </w:p>
    <w:p w14:paraId="50E0CB2E" w14:textId="77777777" w:rsidR="007A6459" w:rsidRDefault="007A6459" w:rsidP="009F7D3D">
      <w:pPr>
        <w:spacing w:after="120" w:line="276" w:lineRule="auto"/>
        <w:jc w:val="both"/>
        <w:rPr>
          <w:rFonts w:asciiTheme="majorHAnsi" w:hAnsiTheme="majorHAnsi" w:cstheme="majorHAnsi"/>
          <w:color w:val="2C2D5B"/>
        </w:rPr>
      </w:pPr>
    </w:p>
    <w:p w14:paraId="7208F500" w14:textId="3DE9E41C" w:rsidR="00F87908" w:rsidRPr="00FB67A1" w:rsidRDefault="00F87908" w:rsidP="009F7D3D">
      <w:pPr>
        <w:spacing w:after="120" w:line="276" w:lineRule="auto"/>
        <w:jc w:val="both"/>
        <w:rPr>
          <w:rFonts w:ascii="Calibri" w:hAnsi="Calibri" w:cs="Calibri"/>
          <w:color w:val="2C2D5B"/>
        </w:rPr>
      </w:pPr>
      <w:r w:rsidRPr="00FB67A1">
        <w:rPr>
          <w:rFonts w:asciiTheme="majorHAnsi" w:hAnsiTheme="majorHAnsi" w:cstheme="majorHAnsi"/>
          <w:color w:val="2C2D5B"/>
        </w:rPr>
        <w:t xml:space="preserve">Against this background, the European Court of Human Rights (ECtHR) does not omit to stress in its immigration-related judgments that States are entitled, under international law, to decide on the residence of foreigners on their territory and that the framework of the ECHR contains no right exclusively related to migration. However, the CJEU stated that </w:t>
      </w:r>
      <w:r w:rsidRPr="00FB67A1">
        <w:rPr>
          <w:rFonts w:asciiTheme="majorHAnsi" w:hAnsiTheme="majorHAnsi" w:cstheme="majorHAnsi"/>
          <w:b/>
          <w:bCs/>
          <w:color w:val="2C2D5B"/>
        </w:rPr>
        <w:t>Article 47</w:t>
      </w:r>
      <w:r w:rsidRPr="00FB67A1">
        <w:rPr>
          <w:rFonts w:asciiTheme="majorHAnsi" w:hAnsiTheme="majorHAnsi" w:cstheme="majorHAnsi"/>
          <w:color w:val="2C2D5B"/>
        </w:rPr>
        <w:t xml:space="preserve"> of the EChFR gives the right to an effective remedy and a fair trial to</w:t>
      </w:r>
      <w:r w:rsidRPr="00FB67A1">
        <w:rPr>
          <w:rFonts w:ascii="Calibri" w:hAnsi="Calibri" w:cs="Calibri"/>
          <w:color w:val="2C2D5B"/>
        </w:rPr>
        <w:t xml:space="preserve"> </w:t>
      </w:r>
      <w:r w:rsidRPr="00FB67A1">
        <w:rPr>
          <w:rFonts w:asciiTheme="majorHAnsi" w:hAnsiTheme="majorHAnsi" w:cstheme="majorHAnsi"/>
          <w:color w:val="2C2D5B"/>
        </w:rPr>
        <w:t xml:space="preserve">everyone whose rights and freedoms guaranteed by the law of the Union are violated. A practical corollary of the right under Article 47 of the Charter is the </w:t>
      </w:r>
      <w:r w:rsidRPr="00FB67A1">
        <w:rPr>
          <w:rFonts w:asciiTheme="majorHAnsi" w:hAnsiTheme="majorHAnsi" w:cstheme="majorHAnsi"/>
          <w:b/>
          <w:bCs/>
          <w:color w:val="2C2D5B"/>
        </w:rPr>
        <w:t>individual's access to an impartial and independent tribunal established by law, including those individuals of foreign nationality seeking a short</w:t>
      </w:r>
      <w:r w:rsidR="00CB0240">
        <w:rPr>
          <w:rFonts w:asciiTheme="majorHAnsi" w:hAnsiTheme="majorHAnsi" w:cstheme="majorHAnsi"/>
          <w:b/>
          <w:bCs/>
          <w:color w:val="2C2D5B"/>
        </w:rPr>
        <w:t xml:space="preserve"> </w:t>
      </w:r>
      <w:r w:rsidRPr="00FB67A1">
        <w:rPr>
          <w:rFonts w:asciiTheme="majorHAnsi" w:hAnsiTheme="majorHAnsi" w:cstheme="majorHAnsi"/>
          <w:b/>
          <w:bCs/>
          <w:color w:val="2C2D5B"/>
        </w:rPr>
        <w:t>stay visa to enter the European Union.</w:t>
      </w:r>
    </w:p>
    <w:p w14:paraId="53DAF2FC" w14:textId="77777777" w:rsidR="00D3423A" w:rsidRDefault="00D3423A" w:rsidP="009F7D3D">
      <w:pPr>
        <w:spacing w:after="120" w:line="276" w:lineRule="auto"/>
        <w:jc w:val="both"/>
        <w:rPr>
          <w:rFonts w:ascii="Calibri" w:hAnsi="Calibri" w:cs="Calibri"/>
          <w:color w:val="000000"/>
        </w:rPr>
      </w:pPr>
    </w:p>
    <w:p w14:paraId="72437178" w14:textId="45D4D676" w:rsidR="002E3100" w:rsidRDefault="002E3100" w:rsidP="009F7D3D">
      <w:pPr>
        <w:spacing w:after="120" w:line="276" w:lineRule="auto"/>
        <w:jc w:val="both"/>
        <w:rPr>
          <w:rFonts w:asciiTheme="majorHAnsi" w:hAnsiTheme="majorHAnsi" w:cstheme="majorHAnsi"/>
          <w:color w:val="000000"/>
        </w:rPr>
      </w:pPr>
    </w:p>
    <w:p w14:paraId="6B760EFF" w14:textId="5E086F24" w:rsidR="00FB67A1" w:rsidRDefault="00FB67A1" w:rsidP="009F7D3D">
      <w:pPr>
        <w:spacing w:after="120" w:line="276" w:lineRule="auto"/>
        <w:jc w:val="both"/>
        <w:rPr>
          <w:rFonts w:asciiTheme="majorHAnsi" w:hAnsiTheme="majorHAnsi" w:cstheme="majorHAnsi"/>
          <w:color w:val="000000"/>
        </w:rPr>
      </w:pPr>
    </w:p>
    <w:p w14:paraId="0BF31DFC" w14:textId="7DC3FBE2" w:rsidR="00FB67A1" w:rsidRDefault="007A6459" w:rsidP="009F7D3D">
      <w:pPr>
        <w:spacing w:after="120" w:line="276" w:lineRule="auto"/>
        <w:jc w:val="both"/>
        <w:rPr>
          <w:rFonts w:asciiTheme="majorHAnsi" w:hAnsiTheme="majorHAnsi" w:cstheme="majorHAnsi"/>
          <w:color w:val="000000"/>
        </w:rPr>
      </w:pPr>
      <w:r w:rsidRPr="007A6459">
        <w:rPr>
          <w:rFonts w:asciiTheme="majorHAnsi" w:hAnsiTheme="majorHAnsi" w:cstheme="majorHAnsi"/>
          <w:noProof/>
          <w:color w:val="000000"/>
        </w:rPr>
        <w:drawing>
          <wp:anchor distT="0" distB="0" distL="114300" distR="114300" simplePos="0" relativeHeight="251904000" behindDoc="0" locked="0" layoutInCell="1" allowOverlap="1" wp14:anchorId="7CFD1DA6" wp14:editId="5A9D690E">
            <wp:simplePos x="0" y="0"/>
            <wp:positionH relativeFrom="column">
              <wp:posOffset>5422265</wp:posOffset>
            </wp:positionH>
            <wp:positionV relativeFrom="paragraph">
              <wp:posOffset>220203</wp:posOffset>
            </wp:positionV>
            <wp:extent cx="519289" cy="514611"/>
            <wp:effectExtent l="0" t="0" r="0" b="0"/>
            <wp:wrapNone/>
            <wp:docPr id="874876948" name="Image 1" descr="Une image contenant dessin humoristique, Silhouette d’animal, clipart, coch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876948" name="Image 1" descr="Une image contenant dessin humoristique, Silhouette d’animal, clipart, cochon&#10;&#10;Description générée automatiquement"/>
                    <pic:cNvPicPr/>
                  </pic:nvPicPr>
                  <pic:blipFill>
                    <a:blip r:embed="rId21">
                      <a:extLst>
                        <a:ext uri="{28A0092B-C50C-407E-A947-70E740481C1C}">
                          <a14:useLocalDpi xmlns:a14="http://schemas.microsoft.com/office/drawing/2010/main" val="0"/>
                        </a:ext>
                      </a:extLst>
                    </a:blip>
                    <a:stretch>
                      <a:fillRect/>
                    </a:stretch>
                  </pic:blipFill>
                  <pic:spPr>
                    <a:xfrm>
                      <a:off x="0" y="0"/>
                      <a:ext cx="519289" cy="514611"/>
                    </a:xfrm>
                    <a:prstGeom prst="rect">
                      <a:avLst/>
                    </a:prstGeom>
                  </pic:spPr>
                </pic:pic>
              </a:graphicData>
            </a:graphic>
            <wp14:sizeRelH relativeFrom="page">
              <wp14:pctWidth>0</wp14:pctWidth>
            </wp14:sizeRelH>
            <wp14:sizeRelV relativeFrom="page">
              <wp14:pctHeight>0</wp14:pctHeight>
            </wp14:sizeRelV>
          </wp:anchor>
        </w:drawing>
      </w:r>
      <w:r>
        <w:rPr>
          <w:rFonts w:asciiTheme="majorHAnsi" w:hAnsiTheme="majorHAnsi" w:cstheme="majorHAnsi"/>
          <w:noProof/>
          <w:color w:val="000000"/>
          <w14:ligatures w14:val="standardContextual"/>
        </w:rPr>
        <mc:AlternateContent>
          <mc:Choice Requires="wps">
            <w:drawing>
              <wp:anchor distT="0" distB="0" distL="114300" distR="114300" simplePos="0" relativeHeight="251903487" behindDoc="0" locked="0" layoutInCell="1" allowOverlap="1" wp14:anchorId="42F4FD62" wp14:editId="7A5D1C79">
                <wp:simplePos x="0" y="0"/>
                <wp:positionH relativeFrom="column">
                  <wp:posOffset>5343243</wp:posOffset>
                </wp:positionH>
                <wp:positionV relativeFrom="paragraph">
                  <wp:posOffset>216464</wp:posOffset>
                </wp:positionV>
                <wp:extent cx="670842" cy="620889"/>
                <wp:effectExtent l="0" t="0" r="0" b="8255"/>
                <wp:wrapNone/>
                <wp:docPr id="1899611187" name="Ellipse 68"/>
                <wp:cNvGraphicFramePr/>
                <a:graphic xmlns:a="http://schemas.openxmlformats.org/drawingml/2006/main">
                  <a:graphicData uri="http://schemas.microsoft.com/office/word/2010/wordprocessingShape">
                    <wps:wsp>
                      <wps:cNvSpPr/>
                      <wps:spPr>
                        <a:xfrm>
                          <a:off x="0" y="0"/>
                          <a:ext cx="670842" cy="620889"/>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0AC2CF19" id="Ellipse 68" o:spid="_x0000_s1026" style="position:absolute;margin-left:420.75pt;margin-top:17.05pt;width:52.8pt;height:48.9pt;z-index:25190348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zVfAIAAGAFAAAOAAAAZHJzL2Uyb0RvYy54bWysVE1v2zAMvQ/YfxB0X20HaZoGcYqgRYcB&#10;QVssHXpWZCkWIIuapMTJfv0o2XHatdhh2EUWRfLxw4+c3xwaTfbCeQWmpMVFTokwHCpltiX98Xz/&#10;ZUqJD8xUTIMRJT0KT28Wnz/NWzsTI6hBV8IRBDF+1tqS1iHYWZZ5XouG+QuwwqBSgmtYQNFts8qx&#10;FtEbnY3yfJK14CrrgAvv8fWuU9JFwpdS8PAopReB6JJibiGdLp2beGaLOZttHbO14n0a7B+yaJgy&#10;GHSAumOBkZ1T76AaxR14kOGCQ5OBlIqLVANWU+R/VLOumRWpFmyOt0Ob/P+D5Q/7tX1y2IbW+pnH&#10;a6ziIF0Tv5gfOaRmHYdmiUMgHB8nV/l0PKKEo2oyyqfT69jM7OxsnQ9fBTQkXkoqtFbWx3LYjO1X&#10;PnTWJ6v47EGr6l5pnYRIAXGrHdkz/HmbbdHjv7HSJtoaiF4dYHzJzsWkWzhqEe20+S4kURWmP0qJ&#10;JJ6dgzDOhQlFp6pZJbrYxWWeJ6pgdYNHqjUBRmSJ8QfsHuBtASfsLsvePrqKRNPBOf9bYp3z4JEi&#10;gwmDc6MMuI8ANFbVR+7sT03qWhO7tIHq+OSIg25IvOX3Cv/civnwxBxOBc4PTnp4xENqaEsK/Y2S&#10;Gtyvj96jPZIVtZS0OGUl9T93zAlK9DeDNL4uxuM4lkkYX16NUHCvNZvXGrNrbgG5UOBOsTxdo33Q&#10;p6t00LzgQljGqKhihmPskvLgTsJt6KYfVwoXy2Uyw1G0LKzM2vIIHrsaafl8eGHO9vQNyPsHOE3k&#10;Owp3ttHTwHIXQKrE73Nf+37jGCfi9Csn7onXcrI6L8bFbwAAAP//AwBQSwMEFAAGAAgAAAAhAIZa&#10;p5fiAAAACgEAAA8AAABkcnMvZG93bnJldi54bWxMj01PhDAQhu8m/odmTLy5BQHdRcrG+HVZPyKa&#10;GG9dGIEsnZK2u+C/dzzpbSbz5J3nLdazGcQBne8tKYgXEQik2jY9tQre3+7PliB80NTowRIq+EYP&#10;6/L4qNB5Yyd6xUMVWsEh5HOtoAthzKX0dYdG+4Udkfj2ZZ3RgVfXysbpicPNIM+j6EIa3RN/6PSI&#10;Nx3Wu2pvFDx+PO8Slz3cvjzdbaYqSrK+2nwqdXoyX1+BCDiHPxh+9VkdSnba2j01XgwKlmmcMaog&#10;SWMQDKzSSx62TCbxCmRZyP8Vyh8AAAD//wMAUEsBAi0AFAAGAAgAAAAhALaDOJL+AAAA4QEAABMA&#10;AAAAAAAAAAAAAAAAAAAAAFtDb250ZW50X1R5cGVzXS54bWxQSwECLQAUAAYACAAAACEAOP0h/9YA&#10;AACUAQAACwAAAAAAAAAAAAAAAAAvAQAAX3JlbHMvLnJlbHNQSwECLQAUAAYACAAAACEA/jNs1XwC&#10;AABgBQAADgAAAAAAAAAAAAAAAAAuAgAAZHJzL2Uyb0RvYy54bWxQSwECLQAUAAYACAAAACEAhlqn&#10;l+IAAAAKAQAADwAAAAAAAAAAAAAAAADWBAAAZHJzL2Rvd25yZXYueG1sUEsFBgAAAAAEAAQA8wAA&#10;AOUFAAAAAA==&#10;" fillcolor="white [3212]" stroked="f" strokeweight="1pt">
                <v:stroke joinstyle="miter"/>
              </v:oval>
            </w:pict>
          </mc:Fallback>
        </mc:AlternateContent>
      </w:r>
    </w:p>
    <w:p w14:paraId="75659B5B" w14:textId="4EBEA7AC" w:rsidR="00C9236D" w:rsidRPr="00FB67A1" w:rsidRDefault="00F87908" w:rsidP="009F7D3D">
      <w:pPr>
        <w:spacing w:after="120" w:line="276" w:lineRule="auto"/>
        <w:jc w:val="both"/>
        <w:rPr>
          <w:rFonts w:asciiTheme="majorHAnsi" w:hAnsiTheme="majorHAnsi" w:cstheme="majorHAnsi"/>
          <w:color w:val="2C2D5B"/>
        </w:rPr>
      </w:pPr>
      <w:r w:rsidRPr="00FB67A1">
        <w:rPr>
          <w:rFonts w:asciiTheme="majorHAnsi" w:hAnsiTheme="majorHAnsi" w:cstheme="majorHAnsi"/>
          <w:b/>
          <w:bCs/>
          <w:noProof/>
          <w:color w:val="2C2D5B"/>
        </w:rPr>
        <mc:AlternateContent>
          <mc:Choice Requires="wps">
            <w:drawing>
              <wp:anchor distT="45720" distB="45720" distL="114300" distR="114300" simplePos="0" relativeHeight="251715584" behindDoc="0" locked="0" layoutInCell="1" allowOverlap="1" wp14:anchorId="08D1D3F1" wp14:editId="61912A4D">
                <wp:simplePos x="0" y="0"/>
                <wp:positionH relativeFrom="margin">
                  <wp:posOffset>2983865</wp:posOffset>
                </wp:positionH>
                <wp:positionV relativeFrom="paragraph">
                  <wp:posOffset>219710</wp:posOffset>
                </wp:positionV>
                <wp:extent cx="2604135" cy="1727200"/>
                <wp:effectExtent l="0" t="0" r="24765" b="25400"/>
                <wp:wrapSquare wrapText="bothSides"/>
                <wp:docPr id="106037346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4135" cy="1727200"/>
                        </a:xfrm>
                        <a:prstGeom prst="roundRect">
                          <a:avLst/>
                        </a:prstGeom>
                        <a:solidFill>
                          <a:schemeClr val="accent4">
                            <a:lumMod val="20000"/>
                            <a:lumOff val="80000"/>
                          </a:schemeClr>
                        </a:solidFill>
                        <a:ln w="9525">
                          <a:solidFill>
                            <a:schemeClr val="accent4">
                              <a:lumMod val="20000"/>
                              <a:lumOff val="80000"/>
                            </a:schemeClr>
                          </a:solidFill>
                          <a:miter lim="800000"/>
                          <a:headEnd/>
                          <a:tailEnd/>
                        </a:ln>
                      </wps:spPr>
                      <wps:txbx>
                        <w:txbxContent>
                          <w:p w14:paraId="336747FA" w14:textId="472EE9E4" w:rsidR="00C15A10" w:rsidRPr="007308A0" w:rsidRDefault="00C15A10" w:rsidP="002A0F44">
                            <w:pPr>
                              <w:jc w:val="center"/>
                              <w:rPr>
                                <w:rFonts w:asciiTheme="minorHAnsi" w:hAnsiTheme="minorHAnsi" w:cstheme="minorHAnsi"/>
                                <w:b/>
                                <w:bCs/>
                                <w:color w:val="2C2D5B"/>
                                <w:sz w:val="20"/>
                                <w:szCs w:val="20"/>
                              </w:rPr>
                            </w:pPr>
                            <w:r w:rsidRPr="007308A0">
                              <w:rPr>
                                <w:rFonts w:asciiTheme="minorHAnsi" w:hAnsiTheme="minorHAnsi" w:cstheme="minorHAnsi"/>
                                <w:b/>
                                <w:bCs/>
                                <w:color w:val="2C2D5B"/>
                                <w:sz w:val="20"/>
                                <w:szCs w:val="20"/>
                              </w:rPr>
                              <w:t>EChFR’s impact on National Juridictions</w:t>
                            </w:r>
                            <w:r w:rsidR="00FB67A1" w:rsidRPr="007308A0">
                              <w:rPr>
                                <w:rFonts w:asciiTheme="minorHAnsi" w:hAnsiTheme="minorHAnsi" w:cstheme="minorHAnsi"/>
                                <w:b/>
                                <w:bCs/>
                                <w:color w:val="2C2D5B"/>
                                <w:sz w:val="20"/>
                                <w:szCs w:val="20"/>
                              </w:rPr>
                              <w:t xml:space="preserve"> </w:t>
                            </w:r>
                            <w:r w:rsidRPr="007308A0">
                              <w:rPr>
                                <w:rFonts w:asciiTheme="minorHAnsi" w:hAnsiTheme="minorHAnsi" w:cstheme="minorHAnsi"/>
                                <w:b/>
                                <w:bCs/>
                                <w:color w:val="2C2D5B"/>
                                <w:sz w:val="20"/>
                                <w:szCs w:val="20"/>
                              </w:rPr>
                              <w:t>:</w:t>
                            </w:r>
                          </w:p>
                          <w:p w14:paraId="558E8A00" w14:textId="77777777" w:rsidR="00C15A10" w:rsidRPr="007308A0" w:rsidRDefault="00C15A10" w:rsidP="002A0F44">
                            <w:pPr>
                              <w:jc w:val="center"/>
                              <w:rPr>
                                <w:rFonts w:asciiTheme="minorHAnsi" w:hAnsiTheme="minorHAnsi" w:cstheme="minorHAnsi"/>
                                <w:b/>
                                <w:bCs/>
                                <w:color w:val="2C2D5B"/>
                                <w:sz w:val="20"/>
                                <w:szCs w:val="20"/>
                              </w:rPr>
                            </w:pPr>
                          </w:p>
                          <w:p w14:paraId="030330A1" w14:textId="6FEBE14B" w:rsidR="00C15A10" w:rsidRPr="00FB67A1" w:rsidRDefault="00C15A10" w:rsidP="002A0F44">
                            <w:pPr>
                              <w:jc w:val="center"/>
                              <w:rPr>
                                <w:rFonts w:asciiTheme="minorHAnsi" w:hAnsiTheme="minorHAnsi" w:cstheme="minorHAnsi"/>
                                <w:color w:val="2C2D5B"/>
                                <w:sz w:val="20"/>
                                <w:szCs w:val="20"/>
                              </w:rPr>
                            </w:pPr>
                            <w:r w:rsidRPr="00FB67A1">
                              <w:rPr>
                                <w:rFonts w:asciiTheme="minorHAnsi" w:hAnsiTheme="minorHAnsi" w:cstheme="minorHAnsi"/>
                                <w:b/>
                                <w:bCs/>
                                <w:color w:val="2C2D5B"/>
                                <w:sz w:val="20"/>
                                <w:szCs w:val="20"/>
                              </w:rPr>
                              <w:t>Example</w:t>
                            </w:r>
                            <w:r w:rsidR="00FB67A1" w:rsidRPr="00FB67A1">
                              <w:rPr>
                                <w:rFonts w:asciiTheme="minorHAnsi" w:hAnsiTheme="minorHAnsi" w:cstheme="minorHAnsi"/>
                                <w:b/>
                                <w:bCs/>
                                <w:color w:val="2C2D5B"/>
                                <w:sz w:val="20"/>
                                <w:szCs w:val="20"/>
                              </w:rPr>
                              <w:t xml:space="preserve"> </w:t>
                            </w:r>
                            <w:r w:rsidRPr="00FB67A1">
                              <w:rPr>
                                <w:rFonts w:asciiTheme="minorHAnsi" w:hAnsiTheme="minorHAnsi" w:cstheme="minorHAnsi"/>
                                <w:b/>
                                <w:bCs/>
                                <w:color w:val="2C2D5B"/>
                                <w:sz w:val="20"/>
                                <w:szCs w:val="20"/>
                              </w:rPr>
                              <w:t xml:space="preserve">: </w:t>
                            </w:r>
                            <w:r w:rsidRPr="00FB67A1">
                              <w:rPr>
                                <w:rFonts w:asciiTheme="minorHAnsi" w:hAnsiTheme="minorHAnsi" w:cstheme="minorHAnsi"/>
                                <w:color w:val="2C2D5B"/>
                                <w:sz w:val="20"/>
                                <w:szCs w:val="20"/>
                              </w:rPr>
                              <w:t>Migration issues are typically viewed as a matter of national discretion. However, the CJEU ruled that Article 47 of the EChFR guarantees the right to an effective remedy and fair trial for all individuals, including foreign individuals seeking a short-stay visa.</w:t>
                            </w:r>
                          </w:p>
                          <w:p w14:paraId="111166D9" w14:textId="77777777" w:rsidR="00C15A10" w:rsidRPr="00B53E64" w:rsidRDefault="00C15A10" w:rsidP="002A0F44">
                            <w:pPr>
                              <w:jc w:val="center"/>
                              <w:rPr>
                                <w:rFonts w:asciiTheme="minorHAnsi" w:hAnsiTheme="minorHAnsi" w:cstheme="minorHAnsi"/>
                                <w:b/>
                                <w:bCs/>
                                <w:sz w:val="20"/>
                                <w:szCs w:val="20"/>
                              </w:rPr>
                            </w:pPr>
                          </w:p>
                          <w:p w14:paraId="4ED22DCF" w14:textId="77777777" w:rsidR="00C15A10" w:rsidRPr="00B53E64" w:rsidRDefault="00C15A10" w:rsidP="002A0F44">
                            <w:pPr>
                              <w:jc w:val="center"/>
                              <w:rPr>
                                <w:rFonts w:asciiTheme="minorHAnsi" w:hAnsiTheme="minorHAnsi" w:cstheme="minorHAnsi"/>
                                <w:b/>
                                <w:bCs/>
                                <w:sz w:val="20"/>
                                <w:szCs w:val="20"/>
                              </w:rPr>
                            </w:pPr>
                          </w:p>
                          <w:p w14:paraId="1A577A87" w14:textId="77777777" w:rsidR="00C15A10" w:rsidRPr="00434064" w:rsidRDefault="00C15A10" w:rsidP="002A0F44">
                            <w:pPr>
                              <w:jc w:val="center"/>
                              <w:rPr>
                                <w:rFonts w:asciiTheme="minorHAnsi" w:hAnsiTheme="minorHAnsi" w:cstheme="minorHAnsi"/>
                                <w:b/>
                                <w:bCs/>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8D1D3F1" id="_x0000_s1031" style="position:absolute;left:0;text-align:left;margin-left:234.95pt;margin-top:17.3pt;width:205.05pt;height:136pt;z-index:2517155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D1kNQIAAKgEAAAOAAAAZHJzL2Uyb0RvYy54bWy0VNuO0zAQfUfiHyy/0zSl3UvUdLV0WYS0&#10;XMTCB7i201jYHmO7TcrXM3bSbhfeELxY45n4nJk5M1ne9EaTvfRBga1pOZlSIi0Hoey2pt++3r+6&#10;oiREZgXTYGVNDzLQm9XLF8vOVXIGLWghPUEQG6rO1bSN0VVFEXgrDQsTcNJisAFvWMSr3xbCsw7R&#10;jS5m0+lF0YEXzgOXIaD3bgjSVcZvGsnjp6YJMhJdU8wt5tPnc5POYrVk1dYz1yo+psH+IgvDlEXS&#10;E9Qdi4zsvPoDyijuIUATJxxMAU2juMw1YDXl9LdqHlvmZK4FmxPcqU3h38Hyj/tH99mT2L+BHgXM&#10;RQT3APx7IBbWLbNbees9dK1kAonL1LKic6Ean6ZWhyokkE33AQSKzHYRMlDfeJO6gnUSREcBDqem&#10;yz4Sjs7ZxXRevl5QwjFWXs4uUdbMwarjc+dDfCfBkGTU1MPOii8obeZg+4cQU06sOn6XKANoJe6V&#10;1vmSxkmutSd7hoPAOJc2zvNzvTOY9OBH5oGbVejGwRncV0c3UuTBTEiZ8BmJtqSr6fVitsjAz2Kn&#10;Z/8zAaMi7pJWpqY55XG6k3BvrciTHpnSg421aDsqmcQbZIz9pidK1HSRJEjCbkAcUFoPw+rgqqPR&#10;gv9JSYdrU9PwY8e8pES/tzge1+V8nvYsX+YLFJMSfx7ZnEeY5QhV00jJYK5j3s2kmYVbHKNGZW2f&#10;MhlTxnXICoyrm/bt/J6/evrBrH4BAAD//wMAUEsDBBQABgAIAAAAIQAdJuFY4QAAAAoBAAAPAAAA&#10;ZHJzL2Rvd25yZXYueG1sTI/BTsMwDIbvSLxDZCRuLAGmqCtNpwHqAbQDjEnjmDWmqWiS0mRr2dNj&#10;TnC0/en39xfLyXXsiENsg1dwPRPA0NfBtL5RsH2rrjJgMWlvdBc8KvjGCMvy/KzQuQmjf8XjJjWM&#10;QnzMtQKbUp9zHmuLTsdZ6NHT7SMMTicah4abQY8U7jp+I4TkTreePljd44PF+nNzcAre49fWrsb7&#10;0+Nud6qe4/pp/VL1Sl1eTKs7YAmn9AfDrz6pQ0lO+3DwJrJOwVwuFoQquJ1LYARkmaBye1oIKYGX&#10;Bf9fofwBAAD//wMAUEsBAi0AFAAGAAgAAAAhALaDOJL+AAAA4QEAABMAAAAAAAAAAAAAAAAAAAAA&#10;AFtDb250ZW50X1R5cGVzXS54bWxQSwECLQAUAAYACAAAACEAOP0h/9YAAACUAQAACwAAAAAAAAAA&#10;AAAAAAAvAQAAX3JlbHMvLnJlbHNQSwECLQAUAAYACAAAACEAiLQ9ZDUCAACoBAAADgAAAAAAAAAA&#10;AAAAAAAuAgAAZHJzL2Uyb0RvYy54bWxQSwECLQAUAAYACAAAACEAHSbhWOEAAAAKAQAADwAAAAAA&#10;AAAAAAAAAACPBAAAZHJzL2Rvd25yZXYueG1sUEsFBgAAAAAEAAQA8wAAAJ0FAAAAAA==&#10;" fillcolor="#fff2cc [663]" strokecolor="#fff2cc [663]">
                <v:stroke joinstyle="miter"/>
                <v:textbox>
                  <w:txbxContent>
                    <w:p w14:paraId="336747FA" w14:textId="472EE9E4" w:rsidR="00C15A10" w:rsidRPr="007308A0" w:rsidRDefault="00C15A10" w:rsidP="002A0F44">
                      <w:pPr>
                        <w:jc w:val="center"/>
                        <w:rPr>
                          <w:rFonts w:asciiTheme="minorHAnsi" w:hAnsiTheme="minorHAnsi" w:cstheme="minorHAnsi"/>
                          <w:b/>
                          <w:bCs/>
                          <w:color w:val="2C2D5B"/>
                          <w:sz w:val="20"/>
                          <w:szCs w:val="20"/>
                        </w:rPr>
                      </w:pPr>
                      <w:proofErr w:type="spellStart"/>
                      <w:r w:rsidRPr="007308A0">
                        <w:rPr>
                          <w:rFonts w:asciiTheme="minorHAnsi" w:hAnsiTheme="minorHAnsi" w:cstheme="minorHAnsi"/>
                          <w:b/>
                          <w:bCs/>
                          <w:color w:val="2C2D5B"/>
                          <w:sz w:val="20"/>
                          <w:szCs w:val="20"/>
                        </w:rPr>
                        <w:t>EChFR’s</w:t>
                      </w:r>
                      <w:proofErr w:type="spellEnd"/>
                      <w:r w:rsidRPr="007308A0">
                        <w:rPr>
                          <w:rFonts w:asciiTheme="minorHAnsi" w:hAnsiTheme="minorHAnsi" w:cstheme="minorHAnsi"/>
                          <w:b/>
                          <w:bCs/>
                          <w:color w:val="2C2D5B"/>
                          <w:sz w:val="20"/>
                          <w:szCs w:val="20"/>
                        </w:rPr>
                        <w:t xml:space="preserve"> impact on National </w:t>
                      </w:r>
                      <w:proofErr w:type="gramStart"/>
                      <w:r w:rsidRPr="007308A0">
                        <w:rPr>
                          <w:rFonts w:asciiTheme="minorHAnsi" w:hAnsiTheme="minorHAnsi" w:cstheme="minorHAnsi"/>
                          <w:b/>
                          <w:bCs/>
                          <w:color w:val="2C2D5B"/>
                          <w:sz w:val="20"/>
                          <w:szCs w:val="20"/>
                        </w:rPr>
                        <w:t>Juridictions</w:t>
                      </w:r>
                      <w:r w:rsidR="00FB67A1" w:rsidRPr="007308A0">
                        <w:rPr>
                          <w:rFonts w:asciiTheme="minorHAnsi" w:hAnsiTheme="minorHAnsi" w:cstheme="minorHAnsi"/>
                          <w:b/>
                          <w:bCs/>
                          <w:color w:val="2C2D5B"/>
                          <w:sz w:val="20"/>
                          <w:szCs w:val="20"/>
                        </w:rPr>
                        <w:t xml:space="preserve"> </w:t>
                      </w:r>
                      <w:r w:rsidRPr="007308A0">
                        <w:rPr>
                          <w:rFonts w:asciiTheme="minorHAnsi" w:hAnsiTheme="minorHAnsi" w:cstheme="minorHAnsi"/>
                          <w:b/>
                          <w:bCs/>
                          <w:color w:val="2C2D5B"/>
                          <w:sz w:val="20"/>
                          <w:szCs w:val="20"/>
                        </w:rPr>
                        <w:t>:</w:t>
                      </w:r>
                      <w:proofErr w:type="gramEnd"/>
                    </w:p>
                    <w:p w14:paraId="558E8A00" w14:textId="77777777" w:rsidR="00C15A10" w:rsidRPr="007308A0" w:rsidRDefault="00C15A10" w:rsidP="002A0F44">
                      <w:pPr>
                        <w:jc w:val="center"/>
                        <w:rPr>
                          <w:rFonts w:asciiTheme="minorHAnsi" w:hAnsiTheme="minorHAnsi" w:cstheme="minorHAnsi"/>
                          <w:b/>
                          <w:bCs/>
                          <w:color w:val="2C2D5B"/>
                          <w:sz w:val="20"/>
                          <w:szCs w:val="20"/>
                        </w:rPr>
                      </w:pPr>
                    </w:p>
                    <w:p w14:paraId="030330A1" w14:textId="6FEBE14B" w:rsidR="00C15A10" w:rsidRPr="00FB67A1" w:rsidRDefault="00C15A10" w:rsidP="002A0F44">
                      <w:pPr>
                        <w:jc w:val="center"/>
                        <w:rPr>
                          <w:rFonts w:asciiTheme="minorHAnsi" w:hAnsiTheme="minorHAnsi" w:cstheme="minorHAnsi"/>
                          <w:color w:val="2C2D5B"/>
                          <w:sz w:val="20"/>
                          <w:szCs w:val="20"/>
                        </w:rPr>
                      </w:pPr>
                      <w:proofErr w:type="gramStart"/>
                      <w:r w:rsidRPr="00FB67A1">
                        <w:rPr>
                          <w:rFonts w:asciiTheme="minorHAnsi" w:hAnsiTheme="minorHAnsi" w:cstheme="minorHAnsi"/>
                          <w:b/>
                          <w:bCs/>
                          <w:color w:val="2C2D5B"/>
                          <w:sz w:val="20"/>
                          <w:szCs w:val="20"/>
                        </w:rPr>
                        <w:t>Example</w:t>
                      </w:r>
                      <w:r w:rsidR="00FB67A1" w:rsidRPr="00FB67A1">
                        <w:rPr>
                          <w:rFonts w:asciiTheme="minorHAnsi" w:hAnsiTheme="minorHAnsi" w:cstheme="minorHAnsi"/>
                          <w:b/>
                          <w:bCs/>
                          <w:color w:val="2C2D5B"/>
                          <w:sz w:val="20"/>
                          <w:szCs w:val="20"/>
                        </w:rPr>
                        <w:t xml:space="preserve"> </w:t>
                      </w:r>
                      <w:r w:rsidRPr="00FB67A1">
                        <w:rPr>
                          <w:rFonts w:asciiTheme="minorHAnsi" w:hAnsiTheme="minorHAnsi" w:cstheme="minorHAnsi"/>
                          <w:b/>
                          <w:bCs/>
                          <w:color w:val="2C2D5B"/>
                          <w:sz w:val="20"/>
                          <w:szCs w:val="20"/>
                        </w:rPr>
                        <w:t>:</w:t>
                      </w:r>
                      <w:proofErr w:type="gramEnd"/>
                      <w:r w:rsidRPr="00FB67A1">
                        <w:rPr>
                          <w:rFonts w:asciiTheme="minorHAnsi" w:hAnsiTheme="minorHAnsi" w:cstheme="minorHAnsi"/>
                          <w:b/>
                          <w:bCs/>
                          <w:color w:val="2C2D5B"/>
                          <w:sz w:val="20"/>
                          <w:szCs w:val="20"/>
                        </w:rPr>
                        <w:t xml:space="preserve"> </w:t>
                      </w:r>
                      <w:r w:rsidRPr="00FB67A1">
                        <w:rPr>
                          <w:rFonts w:asciiTheme="minorHAnsi" w:hAnsiTheme="minorHAnsi" w:cstheme="minorHAnsi"/>
                          <w:color w:val="2C2D5B"/>
                          <w:sz w:val="20"/>
                          <w:szCs w:val="20"/>
                        </w:rPr>
                        <w:t>Migration issues are typically viewed as a matter of national discretion. However, the CJEU ruled that Article 47 of the EChFR guarantees the right to an effective remedy and fair trial for all individuals, including foreign individuals seeking a short-stay visa.</w:t>
                      </w:r>
                    </w:p>
                    <w:p w14:paraId="111166D9" w14:textId="77777777" w:rsidR="00C15A10" w:rsidRPr="00B53E64" w:rsidRDefault="00C15A10" w:rsidP="002A0F44">
                      <w:pPr>
                        <w:jc w:val="center"/>
                        <w:rPr>
                          <w:rFonts w:asciiTheme="minorHAnsi" w:hAnsiTheme="minorHAnsi" w:cstheme="minorHAnsi"/>
                          <w:b/>
                          <w:bCs/>
                          <w:sz w:val="20"/>
                          <w:szCs w:val="20"/>
                        </w:rPr>
                      </w:pPr>
                    </w:p>
                    <w:p w14:paraId="4ED22DCF" w14:textId="77777777" w:rsidR="00C15A10" w:rsidRPr="00B53E64" w:rsidRDefault="00C15A10" w:rsidP="002A0F44">
                      <w:pPr>
                        <w:jc w:val="center"/>
                        <w:rPr>
                          <w:rFonts w:asciiTheme="minorHAnsi" w:hAnsiTheme="minorHAnsi" w:cstheme="minorHAnsi"/>
                          <w:b/>
                          <w:bCs/>
                          <w:sz w:val="20"/>
                          <w:szCs w:val="20"/>
                        </w:rPr>
                      </w:pPr>
                    </w:p>
                    <w:p w14:paraId="1A577A87" w14:textId="77777777" w:rsidR="00C15A10" w:rsidRPr="00434064" w:rsidRDefault="00C15A10" w:rsidP="002A0F44">
                      <w:pPr>
                        <w:jc w:val="center"/>
                        <w:rPr>
                          <w:rFonts w:asciiTheme="minorHAnsi" w:hAnsiTheme="minorHAnsi" w:cstheme="minorHAnsi"/>
                          <w:b/>
                          <w:bCs/>
                          <w:sz w:val="20"/>
                          <w:szCs w:val="20"/>
                        </w:rPr>
                      </w:pPr>
                    </w:p>
                  </w:txbxContent>
                </v:textbox>
                <w10:wrap type="square" anchorx="margin"/>
              </v:roundrect>
            </w:pict>
          </mc:Fallback>
        </mc:AlternateContent>
      </w:r>
      <w:r w:rsidR="00505929" w:rsidRPr="00FB67A1">
        <w:rPr>
          <w:rFonts w:asciiTheme="majorHAnsi" w:hAnsiTheme="majorHAnsi" w:cstheme="majorHAnsi"/>
          <w:color w:val="2C2D5B"/>
        </w:rPr>
        <w:t xml:space="preserve">For many Member States, this was a practical call to </w:t>
      </w:r>
      <w:r w:rsidR="00C9236D" w:rsidRPr="00FB67A1">
        <w:rPr>
          <w:rFonts w:asciiTheme="majorHAnsi" w:hAnsiTheme="majorHAnsi" w:cstheme="majorHAnsi"/>
          <w:color w:val="2C2D5B"/>
        </w:rPr>
        <w:t>amend their legislation</w:t>
      </w:r>
      <w:r w:rsidR="00505929" w:rsidRPr="00FB67A1">
        <w:rPr>
          <w:rFonts w:asciiTheme="majorHAnsi" w:hAnsiTheme="majorHAnsi" w:cstheme="majorHAnsi"/>
          <w:color w:val="2C2D5B"/>
        </w:rPr>
        <w:t xml:space="preserve">. </w:t>
      </w:r>
      <w:r w:rsidR="00C9236D" w:rsidRPr="00FB67A1">
        <w:rPr>
          <w:rFonts w:asciiTheme="majorHAnsi" w:hAnsiTheme="majorHAnsi" w:cstheme="majorHAnsi"/>
          <w:color w:val="2C2D5B"/>
        </w:rPr>
        <w:t xml:space="preserve">Since the issuance of </w:t>
      </w:r>
      <w:r w:rsidR="00505929" w:rsidRPr="00FB67A1">
        <w:rPr>
          <w:rFonts w:asciiTheme="majorHAnsi" w:hAnsiTheme="majorHAnsi" w:cstheme="majorHAnsi"/>
          <w:color w:val="2C2D5B"/>
        </w:rPr>
        <w:t xml:space="preserve">short-stay visas to foreigners is an implementation of EU law, the applicability of </w:t>
      </w:r>
      <w:r w:rsidR="00A044EB" w:rsidRPr="00FB67A1">
        <w:rPr>
          <w:rFonts w:asciiTheme="majorHAnsi" w:hAnsiTheme="majorHAnsi" w:cstheme="majorHAnsi"/>
          <w:color w:val="2C2D5B"/>
        </w:rPr>
        <w:t>EChFR</w:t>
      </w:r>
      <w:r w:rsidR="00C9236D" w:rsidRPr="00FB67A1">
        <w:rPr>
          <w:rFonts w:asciiTheme="majorHAnsi" w:hAnsiTheme="majorHAnsi" w:cstheme="majorHAnsi"/>
          <w:color w:val="2C2D5B"/>
        </w:rPr>
        <w:t>,</w:t>
      </w:r>
      <w:r w:rsidR="00A044EB" w:rsidRPr="00FB67A1">
        <w:rPr>
          <w:rFonts w:asciiTheme="majorHAnsi" w:hAnsiTheme="majorHAnsi" w:cstheme="majorHAnsi"/>
          <w:color w:val="2C2D5B"/>
        </w:rPr>
        <w:t xml:space="preserve"> including </w:t>
      </w:r>
      <w:r w:rsidR="00C9236D" w:rsidRPr="00FB67A1">
        <w:rPr>
          <w:rFonts w:asciiTheme="majorHAnsi" w:hAnsiTheme="majorHAnsi" w:cstheme="majorHAnsi"/>
          <w:color w:val="2C2D5B"/>
        </w:rPr>
        <w:t>A</w:t>
      </w:r>
      <w:r w:rsidR="00A044EB" w:rsidRPr="00FB67A1">
        <w:rPr>
          <w:rFonts w:asciiTheme="majorHAnsi" w:hAnsiTheme="majorHAnsi" w:cstheme="majorHAnsi"/>
          <w:color w:val="2C2D5B"/>
        </w:rPr>
        <w:t>rticle 47</w:t>
      </w:r>
      <w:r w:rsidR="00C9236D" w:rsidRPr="00FB67A1">
        <w:rPr>
          <w:rFonts w:asciiTheme="majorHAnsi" w:hAnsiTheme="majorHAnsi" w:cstheme="majorHAnsi"/>
          <w:color w:val="2C2D5B"/>
        </w:rPr>
        <w:t>, becomes relevant.</w:t>
      </w:r>
    </w:p>
    <w:p w14:paraId="51BE0E2E" w14:textId="19290B0A" w:rsidR="00D3423A" w:rsidRPr="00FB67A1" w:rsidRDefault="00505929" w:rsidP="002E3100">
      <w:pPr>
        <w:spacing w:after="120" w:line="276" w:lineRule="auto"/>
        <w:jc w:val="both"/>
        <w:rPr>
          <w:rFonts w:asciiTheme="majorHAnsi" w:hAnsiTheme="majorHAnsi" w:cstheme="majorHAnsi"/>
          <w:color w:val="2C2D5B"/>
        </w:rPr>
      </w:pPr>
      <w:r w:rsidRPr="00FB67A1">
        <w:rPr>
          <w:rFonts w:asciiTheme="majorHAnsi" w:hAnsiTheme="majorHAnsi" w:cstheme="majorHAnsi"/>
          <w:color w:val="2C2D5B"/>
        </w:rPr>
        <w:t xml:space="preserve">This is just one of many practical contributions of the EChFR, demonstrating that the EU’s protection standards can </w:t>
      </w:r>
      <w:r w:rsidR="00C9236D" w:rsidRPr="00FB67A1">
        <w:rPr>
          <w:rFonts w:asciiTheme="majorHAnsi" w:hAnsiTheme="majorHAnsi" w:cstheme="majorHAnsi"/>
          <w:color w:val="2C2D5B"/>
        </w:rPr>
        <w:t xml:space="preserve">exceed those established by </w:t>
      </w:r>
      <w:r w:rsidRPr="00FB67A1">
        <w:rPr>
          <w:rFonts w:asciiTheme="majorHAnsi" w:hAnsiTheme="majorHAnsi" w:cstheme="majorHAnsi"/>
          <w:color w:val="2C2D5B"/>
        </w:rPr>
        <w:t>human r</w:t>
      </w:r>
      <w:r w:rsidR="00A044EB" w:rsidRPr="00FB67A1">
        <w:rPr>
          <w:rFonts w:asciiTheme="majorHAnsi" w:hAnsiTheme="majorHAnsi" w:cstheme="majorHAnsi"/>
          <w:color w:val="2C2D5B"/>
        </w:rPr>
        <w:t xml:space="preserve">ights instruments. </w:t>
      </w:r>
      <w:r w:rsidR="00C9236D" w:rsidRPr="00FB67A1">
        <w:rPr>
          <w:rFonts w:asciiTheme="majorHAnsi" w:hAnsiTheme="majorHAnsi" w:cstheme="majorHAnsi"/>
          <w:color w:val="2C2D5B"/>
        </w:rPr>
        <w:t>For example</w:t>
      </w:r>
      <w:r w:rsidRPr="00FB67A1">
        <w:rPr>
          <w:rFonts w:asciiTheme="majorHAnsi" w:hAnsiTheme="majorHAnsi" w:cstheme="majorHAnsi"/>
          <w:color w:val="2C2D5B"/>
        </w:rPr>
        <w:t>, the ECHR ensures the right to a fair trial and access to a court  only in criminal and civil commitment cases.</w:t>
      </w:r>
      <w:r w:rsidR="00A044EB" w:rsidRPr="00FB67A1">
        <w:rPr>
          <w:rFonts w:asciiTheme="majorHAnsi" w:hAnsiTheme="majorHAnsi" w:cstheme="majorHAnsi"/>
          <w:color w:val="2C2D5B"/>
        </w:rPr>
        <w:t xml:space="preserve"> </w:t>
      </w:r>
      <w:r w:rsidR="00C9236D" w:rsidRPr="00FB67A1">
        <w:rPr>
          <w:rFonts w:asciiTheme="majorHAnsi" w:hAnsiTheme="majorHAnsi" w:cstheme="majorHAnsi"/>
          <w:color w:val="2C2D5B"/>
        </w:rPr>
        <w:t>However</w:t>
      </w:r>
      <w:r w:rsidRPr="00FB67A1">
        <w:rPr>
          <w:rFonts w:asciiTheme="majorHAnsi" w:hAnsiTheme="majorHAnsi" w:cstheme="majorHAnsi"/>
          <w:color w:val="2C2D5B"/>
        </w:rPr>
        <w:t>, the</w:t>
      </w:r>
      <w:r w:rsidR="00A44CAC" w:rsidRPr="00FB67A1">
        <w:rPr>
          <w:rFonts w:asciiTheme="majorHAnsi" w:hAnsiTheme="majorHAnsi" w:cstheme="majorHAnsi"/>
          <w:color w:val="2C2D5B"/>
        </w:rPr>
        <w:t xml:space="preserve"> </w:t>
      </w:r>
      <w:r w:rsidR="00C9236D" w:rsidRPr="00FB67A1">
        <w:rPr>
          <w:rFonts w:asciiTheme="majorHAnsi" w:hAnsiTheme="majorHAnsi" w:cstheme="majorHAnsi"/>
          <w:color w:val="2C2D5B"/>
        </w:rPr>
        <w:t>EChFR offers more than this</w:t>
      </w:r>
      <w:r w:rsidR="00263A2C" w:rsidRPr="00FB67A1">
        <w:rPr>
          <w:rFonts w:asciiTheme="majorHAnsi" w:hAnsiTheme="majorHAnsi" w:cstheme="majorHAnsi"/>
          <w:color w:val="2C2D5B"/>
        </w:rPr>
        <w:t>, as it</w:t>
      </w:r>
      <w:r w:rsidR="00BC57F5" w:rsidRPr="00FB67A1">
        <w:rPr>
          <w:rFonts w:asciiTheme="majorHAnsi" w:hAnsiTheme="majorHAnsi" w:cstheme="majorHAnsi"/>
          <w:color w:val="2C2D5B"/>
        </w:rPr>
        <w:t xml:space="preserve"> includes</w:t>
      </w:r>
      <w:r w:rsidR="005361C5" w:rsidRPr="00FB67A1">
        <w:rPr>
          <w:rFonts w:asciiTheme="majorHAnsi" w:hAnsiTheme="majorHAnsi" w:cstheme="majorHAnsi"/>
          <w:color w:val="2C2D5B"/>
        </w:rPr>
        <w:t xml:space="preserve"> </w:t>
      </w:r>
      <w:r w:rsidRPr="00FB67A1">
        <w:rPr>
          <w:rFonts w:asciiTheme="majorHAnsi" w:hAnsiTheme="majorHAnsi" w:cstheme="majorHAnsi"/>
          <w:b/>
          <w:bCs/>
          <w:color w:val="2C2D5B"/>
        </w:rPr>
        <w:t xml:space="preserve">several newly formulated rights </w:t>
      </w:r>
      <w:r w:rsidR="00BC57F5" w:rsidRPr="00FB67A1">
        <w:rPr>
          <w:rFonts w:asciiTheme="majorHAnsi" w:hAnsiTheme="majorHAnsi" w:cstheme="majorHAnsi"/>
          <w:b/>
          <w:bCs/>
          <w:color w:val="2C2D5B"/>
        </w:rPr>
        <w:t xml:space="preserve">that are </w:t>
      </w:r>
      <w:r w:rsidRPr="00FB67A1">
        <w:rPr>
          <w:rFonts w:asciiTheme="majorHAnsi" w:hAnsiTheme="majorHAnsi" w:cstheme="majorHAnsi"/>
          <w:b/>
          <w:bCs/>
          <w:color w:val="2C2D5B"/>
        </w:rPr>
        <w:t>not explicitly found in other human rights instruments</w:t>
      </w:r>
      <w:r w:rsidRPr="00FB67A1">
        <w:rPr>
          <w:rFonts w:asciiTheme="majorHAnsi" w:hAnsiTheme="majorHAnsi" w:cstheme="majorHAnsi"/>
          <w:color w:val="2C2D5B"/>
        </w:rPr>
        <w:t xml:space="preserve">, including the ECHR. For </w:t>
      </w:r>
      <w:r w:rsidR="000D7E1A" w:rsidRPr="00FB67A1">
        <w:rPr>
          <w:rFonts w:asciiTheme="majorHAnsi" w:hAnsiTheme="majorHAnsi" w:cstheme="majorHAnsi"/>
          <w:color w:val="2C2D5B"/>
        </w:rPr>
        <w:t>instance,</w:t>
      </w:r>
      <w:r w:rsidRPr="00FB67A1">
        <w:rPr>
          <w:rFonts w:asciiTheme="majorHAnsi" w:hAnsiTheme="majorHAnsi" w:cstheme="majorHAnsi"/>
          <w:color w:val="2C2D5B"/>
        </w:rPr>
        <w:t xml:space="preserve"> the EChFR protects the individual's right to dignity, the right to good administration and, quite uniquely, also </w:t>
      </w:r>
      <w:r w:rsidR="00BC57F5" w:rsidRPr="00FB67A1">
        <w:rPr>
          <w:rFonts w:asciiTheme="majorHAnsi" w:hAnsiTheme="majorHAnsi" w:cstheme="majorHAnsi"/>
          <w:color w:val="2C2D5B"/>
        </w:rPr>
        <w:t>recogni</w:t>
      </w:r>
      <w:r w:rsidR="00145404" w:rsidRPr="00FB67A1">
        <w:rPr>
          <w:rFonts w:asciiTheme="majorHAnsi" w:hAnsiTheme="majorHAnsi" w:cstheme="majorHAnsi"/>
          <w:color w:val="2C2D5B"/>
        </w:rPr>
        <w:t>s</w:t>
      </w:r>
      <w:r w:rsidR="00BC57F5" w:rsidRPr="00FB67A1">
        <w:rPr>
          <w:rFonts w:asciiTheme="majorHAnsi" w:hAnsiTheme="majorHAnsi" w:cstheme="majorHAnsi"/>
          <w:color w:val="2C2D5B"/>
        </w:rPr>
        <w:t>es</w:t>
      </w:r>
      <w:r w:rsidRPr="00FB67A1">
        <w:rPr>
          <w:rFonts w:asciiTheme="majorHAnsi" w:hAnsiTheme="majorHAnsi" w:cstheme="majorHAnsi"/>
          <w:color w:val="2C2D5B"/>
        </w:rPr>
        <w:t xml:space="preserve"> explicitly </w:t>
      </w:r>
      <w:r w:rsidR="00A044EB" w:rsidRPr="00FB67A1">
        <w:rPr>
          <w:rFonts w:asciiTheme="majorHAnsi" w:hAnsiTheme="majorHAnsi" w:cstheme="majorHAnsi"/>
          <w:color w:val="2C2D5B"/>
        </w:rPr>
        <w:t>both</w:t>
      </w:r>
      <w:r w:rsidRPr="00FB67A1">
        <w:rPr>
          <w:rFonts w:asciiTheme="majorHAnsi" w:hAnsiTheme="majorHAnsi" w:cstheme="majorHAnsi"/>
          <w:color w:val="2C2D5B"/>
        </w:rPr>
        <w:t xml:space="preserve"> </w:t>
      </w:r>
      <w:r w:rsidR="00A044EB" w:rsidRPr="00FB67A1">
        <w:rPr>
          <w:rFonts w:asciiTheme="majorHAnsi" w:hAnsiTheme="majorHAnsi" w:cstheme="majorHAnsi"/>
          <w:color w:val="2C2D5B"/>
        </w:rPr>
        <w:t xml:space="preserve">the right </w:t>
      </w:r>
      <w:r w:rsidR="00BC57F5" w:rsidRPr="00FB67A1">
        <w:rPr>
          <w:rFonts w:asciiTheme="majorHAnsi" w:hAnsiTheme="majorHAnsi" w:cstheme="majorHAnsi"/>
          <w:color w:val="2C2D5B"/>
        </w:rPr>
        <w:t>to</w:t>
      </w:r>
      <w:r w:rsidR="00A044EB" w:rsidRPr="00FB67A1">
        <w:rPr>
          <w:rFonts w:asciiTheme="majorHAnsi" w:hAnsiTheme="majorHAnsi" w:cstheme="majorHAnsi"/>
          <w:color w:val="2C2D5B"/>
        </w:rPr>
        <w:t xml:space="preserve"> data protection and </w:t>
      </w:r>
      <w:r w:rsidRPr="00FB67A1">
        <w:rPr>
          <w:rFonts w:asciiTheme="majorHAnsi" w:hAnsiTheme="majorHAnsi" w:cstheme="majorHAnsi"/>
          <w:color w:val="2C2D5B"/>
        </w:rPr>
        <w:t>individual’s right to asylum.</w:t>
      </w:r>
    </w:p>
    <w:p w14:paraId="429A85AA" w14:textId="77777777" w:rsidR="00630A38" w:rsidRPr="002E3100" w:rsidRDefault="00630A38" w:rsidP="002E3100">
      <w:pPr>
        <w:spacing w:after="120" w:line="276" w:lineRule="auto"/>
        <w:jc w:val="both"/>
        <w:rPr>
          <w:rFonts w:asciiTheme="majorHAnsi" w:hAnsiTheme="majorHAnsi" w:cstheme="majorHAnsi"/>
          <w:color w:val="000000"/>
        </w:rPr>
      </w:pPr>
    </w:p>
    <w:p w14:paraId="188B0963" w14:textId="03123396" w:rsidR="00E16DBB" w:rsidRPr="00D3423A" w:rsidRDefault="00DF479C" w:rsidP="002A0F44">
      <w:pPr>
        <w:pStyle w:val="Odstavecseseznamem"/>
        <w:spacing w:line="276" w:lineRule="auto"/>
        <w:ind w:left="284" w:hanging="568"/>
        <w:jc w:val="both"/>
        <w:rPr>
          <w:rFonts w:ascii="Calibri" w:hAnsi="Calibri" w:cs="Calibri"/>
          <w:sz w:val="32"/>
          <w:szCs w:val="32"/>
        </w:rPr>
      </w:pPr>
      <w:bookmarkStart w:id="6" w:name="_Toc188457865"/>
      <w:r w:rsidRPr="002A0F44">
        <w:rPr>
          <w:rFonts w:asciiTheme="minorHAnsi" w:hAnsiTheme="minorHAnsi" w:cstheme="minorHAnsi"/>
          <w:b/>
          <w:bCs/>
          <w:color w:val="B6A04C"/>
          <w:sz w:val="32"/>
          <w:szCs w:val="32"/>
        </w:rPr>
        <w:t xml:space="preserve">3.2 </w:t>
      </w:r>
      <w:r w:rsidRPr="00DF479C">
        <w:rPr>
          <w:rFonts w:asciiTheme="minorHAnsi" w:hAnsiTheme="minorHAnsi" w:cstheme="minorHAnsi"/>
          <w:b/>
          <w:bCs/>
          <w:color w:val="2F5496" w:themeColor="accent1" w:themeShade="BF"/>
          <w:sz w:val="32"/>
          <w:szCs w:val="32"/>
        </w:rPr>
        <w:t>General</w:t>
      </w:r>
      <w:r w:rsidR="00D52302" w:rsidRPr="002A0F44">
        <w:rPr>
          <w:rFonts w:asciiTheme="minorHAnsi" w:hAnsiTheme="minorHAnsi" w:cstheme="minorHAnsi"/>
          <w:b/>
          <w:bCs/>
          <w:color w:val="2F5496" w:themeColor="accent1" w:themeShade="BF"/>
          <w:sz w:val="32"/>
          <w:szCs w:val="32"/>
        </w:rPr>
        <w:t xml:space="preserve"> Overview of the Charter</w:t>
      </w:r>
      <w:bookmarkEnd w:id="6"/>
      <w:r w:rsidR="00D52302">
        <w:rPr>
          <w:rFonts w:ascii="Calibri" w:hAnsi="Calibri" w:cs="Calibri"/>
          <w:sz w:val="32"/>
          <w:szCs w:val="32"/>
        </w:rPr>
        <w:t xml:space="preserve"> </w:t>
      </w:r>
    </w:p>
    <w:p w14:paraId="49525FC1" w14:textId="77777777" w:rsidR="00A44CAC" w:rsidRPr="005A6959" w:rsidRDefault="00BC57F5" w:rsidP="00E16DBB">
      <w:pPr>
        <w:spacing w:after="120" w:line="276" w:lineRule="auto"/>
        <w:jc w:val="both"/>
        <w:rPr>
          <w:rFonts w:ascii="Calibri" w:hAnsi="Calibri" w:cs="Calibri"/>
          <w:b/>
          <w:bCs/>
          <w:color w:val="000000"/>
        </w:rPr>
      </w:pPr>
      <w:r w:rsidRPr="005A6959">
        <w:rPr>
          <w:rFonts w:ascii="Calibri" w:hAnsi="Calibri" w:cs="Calibri"/>
          <w:b/>
          <w:bCs/>
          <w:color w:val="000000"/>
        </w:rPr>
        <w:t xml:space="preserve"> </w:t>
      </w:r>
    </w:p>
    <w:p w14:paraId="53882A14" w14:textId="4CCF573B" w:rsidR="00DF66F8" w:rsidRPr="002A0F44" w:rsidRDefault="00505929" w:rsidP="00E16DBB">
      <w:pPr>
        <w:spacing w:after="120" w:line="276" w:lineRule="auto"/>
        <w:jc w:val="both"/>
        <w:rPr>
          <w:rFonts w:asciiTheme="majorHAnsi" w:hAnsiTheme="majorHAnsi" w:cstheme="majorHAnsi"/>
          <w:color w:val="2C2D5B"/>
        </w:rPr>
      </w:pPr>
      <w:r w:rsidRPr="002A0F44">
        <w:rPr>
          <w:rFonts w:asciiTheme="majorHAnsi" w:hAnsiTheme="majorHAnsi" w:cstheme="majorHAnsi"/>
          <w:color w:val="2C2D5B"/>
        </w:rPr>
        <w:t xml:space="preserve">In total, </w:t>
      </w:r>
      <w:r w:rsidR="00CC7B1F" w:rsidRPr="002A0F44">
        <w:rPr>
          <w:rFonts w:asciiTheme="majorHAnsi" w:hAnsiTheme="majorHAnsi" w:cstheme="majorHAnsi"/>
          <w:color w:val="2C2D5B"/>
        </w:rPr>
        <w:t xml:space="preserve">the </w:t>
      </w:r>
      <w:r w:rsidRPr="002A0F44">
        <w:rPr>
          <w:rFonts w:asciiTheme="majorHAnsi" w:hAnsiTheme="majorHAnsi" w:cstheme="majorHAnsi"/>
          <w:color w:val="2C2D5B"/>
        </w:rPr>
        <w:t xml:space="preserve">EChFR contains 54 articles with rights divided into 7 chapters. </w:t>
      </w:r>
      <w:r w:rsidR="00DF66F8" w:rsidRPr="002A0F44">
        <w:rPr>
          <w:rFonts w:asciiTheme="majorHAnsi" w:hAnsiTheme="majorHAnsi" w:cstheme="majorHAnsi"/>
          <w:color w:val="2C2D5B"/>
        </w:rPr>
        <w:t xml:space="preserve">The rights are grouped into six major headings: </w:t>
      </w:r>
    </w:p>
    <w:p w14:paraId="29C334BB" w14:textId="77777777" w:rsidR="00DF66F8" w:rsidRPr="002A0F44" w:rsidRDefault="00DF66F8" w:rsidP="008B4B98">
      <w:pPr>
        <w:numPr>
          <w:ilvl w:val="0"/>
          <w:numId w:val="1"/>
        </w:numPr>
        <w:spacing w:after="120" w:line="276" w:lineRule="auto"/>
        <w:jc w:val="both"/>
        <w:rPr>
          <w:rFonts w:asciiTheme="majorHAnsi" w:hAnsiTheme="majorHAnsi" w:cstheme="majorHAnsi"/>
          <w:color w:val="2C2D5B"/>
        </w:rPr>
      </w:pPr>
      <w:r w:rsidRPr="002A0F44">
        <w:rPr>
          <w:rFonts w:asciiTheme="majorHAnsi" w:hAnsiTheme="majorHAnsi" w:cstheme="majorHAnsi"/>
          <w:b/>
          <w:bCs/>
          <w:color w:val="2C2D5B"/>
        </w:rPr>
        <w:t>Dignity</w:t>
      </w:r>
      <w:r w:rsidRPr="002A0F44">
        <w:rPr>
          <w:rFonts w:asciiTheme="majorHAnsi" w:hAnsiTheme="majorHAnsi" w:cstheme="majorHAnsi"/>
          <w:color w:val="2C2D5B"/>
        </w:rPr>
        <w:t xml:space="preserve">, which includes the rights to human dignity, life, the integrity of the person, the prohibition of torture and inhuman or degrading treatment or punishment and the prohibition of slavery and forced labour. </w:t>
      </w:r>
    </w:p>
    <w:p w14:paraId="40CAC040" w14:textId="0AC2FFEF" w:rsidR="00DF66F8" w:rsidRPr="002A0F44" w:rsidRDefault="00DF66F8" w:rsidP="00F87908">
      <w:pPr>
        <w:numPr>
          <w:ilvl w:val="0"/>
          <w:numId w:val="1"/>
        </w:numPr>
        <w:spacing w:after="120" w:line="276" w:lineRule="auto"/>
        <w:jc w:val="both"/>
        <w:rPr>
          <w:rFonts w:asciiTheme="majorHAnsi" w:hAnsiTheme="majorHAnsi" w:cstheme="majorHAnsi"/>
          <w:color w:val="2C2D5B"/>
        </w:rPr>
      </w:pPr>
      <w:r w:rsidRPr="002A0F44">
        <w:rPr>
          <w:rFonts w:asciiTheme="majorHAnsi" w:hAnsiTheme="majorHAnsi" w:cstheme="majorHAnsi"/>
          <w:b/>
          <w:bCs/>
          <w:color w:val="2C2D5B"/>
        </w:rPr>
        <w:t>Freedoms</w:t>
      </w:r>
      <w:r w:rsidRPr="002A0F44">
        <w:rPr>
          <w:rFonts w:asciiTheme="majorHAnsi" w:hAnsiTheme="majorHAnsi" w:cstheme="majorHAnsi"/>
          <w:color w:val="2C2D5B"/>
        </w:rPr>
        <w:t>, encompassing the rights to</w:t>
      </w:r>
      <w:r w:rsidR="005361C5" w:rsidRPr="002A0F44">
        <w:rPr>
          <w:rFonts w:asciiTheme="majorHAnsi" w:hAnsiTheme="majorHAnsi" w:cstheme="majorHAnsi"/>
          <w:color w:val="2C2D5B"/>
        </w:rPr>
        <w:t xml:space="preserve"> </w:t>
      </w:r>
      <w:r w:rsidRPr="002A0F44">
        <w:rPr>
          <w:rFonts w:asciiTheme="majorHAnsi" w:hAnsiTheme="majorHAnsi" w:cstheme="majorHAnsi"/>
          <w:color w:val="2C2D5B"/>
        </w:rPr>
        <w:t xml:space="preserve">liberty and security, respect for private and family life, </w:t>
      </w:r>
      <w:r w:rsidR="00BC57F5" w:rsidRPr="002A0F44">
        <w:rPr>
          <w:rFonts w:asciiTheme="majorHAnsi" w:hAnsiTheme="majorHAnsi" w:cstheme="majorHAnsi"/>
          <w:color w:val="2C2D5B"/>
        </w:rPr>
        <w:t xml:space="preserve">data </w:t>
      </w:r>
      <w:r w:rsidRPr="002A0F44">
        <w:rPr>
          <w:rFonts w:asciiTheme="majorHAnsi" w:hAnsiTheme="majorHAnsi" w:cstheme="majorHAnsi"/>
          <w:color w:val="2C2D5B"/>
        </w:rPr>
        <w:t xml:space="preserve">protection, marry and found a family, freedom of thought, conscience and religion, freedom of expression and information, freedom of assembly and association, freedom of the arts and sciences, education, freedom to choose an occupation and engage in work, conduct a business, property, asylum and protection in the event of removal, expulsion or extradition. </w:t>
      </w:r>
    </w:p>
    <w:p w14:paraId="3D3E3AAE" w14:textId="77777777" w:rsidR="00DF66F8" w:rsidRDefault="00DF66F8" w:rsidP="008B4B98">
      <w:pPr>
        <w:numPr>
          <w:ilvl w:val="0"/>
          <w:numId w:val="1"/>
        </w:numPr>
        <w:spacing w:after="120" w:line="276" w:lineRule="auto"/>
        <w:jc w:val="both"/>
        <w:rPr>
          <w:rFonts w:asciiTheme="majorHAnsi" w:hAnsiTheme="majorHAnsi" w:cstheme="majorHAnsi"/>
          <w:color w:val="2C2D5B"/>
        </w:rPr>
      </w:pPr>
      <w:r w:rsidRPr="002A0F44">
        <w:rPr>
          <w:rFonts w:asciiTheme="majorHAnsi" w:hAnsiTheme="majorHAnsi" w:cstheme="majorHAnsi"/>
          <w:b/>
          <w:bCs/>
          <w:color w:val="2C2D5B"/>
        </w:rPr>
        <w:t>Equality</w:t>
      </w:r>
      <w:r w:rsidRPr="002A0F44">
        <w:rPr>
          <w:rFonts w:asciiTheme="majorHAnsi" w:hAnsiTheme="majorHAnsi" w:cstheme="majorHAnsi"/>
          <w:color w:val="2C2D5B"/>
        </w:rPr>
        <w:t xml:space="preserve">, which covers the rights to equality before the law, non-discrimination, cultural, religious, and linguistic diversity, equality between men and women, the rights of the child, the rights of the elderly and integration of persons with disabilities. </w:t>
      </w:r>
    </w:p>
    <w:p w14:paraId="5C40F220" w14:textId="77777777" w:rsidR="002A0F44" w:rsidRDefault="002A0F44" w:rsidP="002A0F44">
      <w:pPr>
        <w:spacing w:after="120" w:line="276" w:lineRule="auto"/>
        <w:jc w:val="both"/>
        <w:rPr>
          <w:rFonts w:asciiTheme="majorHAnsi" w:hAnsiTheme="majorHAnsi" w:cstheme="majorHAnsi"/>
          <w:color w:val="2C2D5B"/>
        </w:rPr>
      </w:pPr>
    </w:p>
    <w:p w14:paraId="7E20C03C" w14:textId="77777777" w:rsidR="002A0F44" w:rsidRDefault="002A0F44" w:rsidP="002A0F44">
      <w:pPr>
        <w:spacing w:after="120" w:line="276" w:lineRule="auto"/>
        <w:jc w:val="both"/>
        <w:rPr>
          <w:rFonts w:asciiTheme="majorHAnsi" w:hAnsiTheme="majorHAnsi" w:cstheme="majorHAnsi"/>
          <w:color w:val="2C2D5B"/>
        </w:rPr>
      </w:pPr>
    </w:p>
    <w:p w14:paraId="2CA7A6FE" w14:textId="77777777" w:rsidR="002A0F44" w:rsidRDefault="002A0F44" w:rsidP="002A0F44">
      <w:pPr>
        <w:spacing w:after="120" w:line="276" w:lineRule="auto"/>
        <w:jc w:val="both"/>
        <w:rPr>
          <w:rFonts w:asciiTheme="majorHAnsi" w:hAnsiTheme="majorHAnsi" w:cstheme="majorHAnsi"/>
          <w:color w:val="2C2D5B"/>
        </w:rPr>
      </w:pPr>
    </w:p>
    <w:p w14:paraId="357C5BC2" w14:textId="77777777" w:rsidR="002A0F44" w:rsidRDefault="002A0F44" w:rsidP="002A0F44">
      <w:pPr>
        <w:spacing w:after="120" w:line="276" w:lineRule="auto"/>
        <w:jc w:val="both"/>
        <w:rPr>
          <w:rFonts w:asciiTheme="majorHAnsi" w:hAnsiTheme="majorHAnsi" w:cstheme="majorHAnsi"/>
          <w:color w:val="2C2D5B"/>
        </w:rPr>
      </w:pPr>
    </w:p>
    <w:p w14:paraId="63FA91EF" w14:textId="77777777" w:rsidR="002A0F44" w:rsidRPr="002A0F44" w:rsidRDefault="002A0F44" w:rsidP="002A0F44">
      <w:pPr>
        <w:spacing w:after="120" w:line="276" w:lineRule="auto"/>
        <w:jc w:val="both"/>
        <w:rPr>
          <w:rFonts w:asciiTheme="majorHAnsi" w:hAnsiTheme="majorHAnsi" w:cstheme="majorHAnsi"/>
          <w:color w:val="2C2D5B"/>
        </w:rPr>
      </w:pPr>
    </w:p>
    <w:p w14:paraId="175E007A" w14:textId="55BECEAE" w:rsidR="00DF66F8" w:rsidRPr="002A0F44" w:rsidRDefault="00DF66F8" w:rsidP="008B4B98">
      <w:pPr>
        <w:numPr>
          <w:ilvl w:val="0"/>
          <w:numId w:val="1"/>
        </w:numPr>
        <w:spacing w:after="120" w:line="276" w:lineRule="auto"/>
        <w:jc w:val="both"/>
        <w:rPr>
          <w:rFonts w:asciiTheme="majorHAnsi" w:hAnsiTheme="majorHAnsi" w:cstheme="majorHAnsi"/>
          <w:color w:val="2C2D5B"/>
        </w:rPr>
      </w:pPr>
      <w:r w:rsidRPr="002A0F44">
        <w:rPr>
          <w:rFonts w:asciiTheme="majorHAnsi" w:hAnsiTheme="majorHAnsi" w:cstheme="majorHAnsi"/>
          <w:b/>
          <w:bCs/>
          <w:color w:val="2C2D5B"/>
        </w:rPr>
        <w:t>Solidarity</w:t>
      </w:r>
      <w:r w:rsidRPr="002A0F44">
        <w:rPr>
          <w:rFonts w:asciiTheme="majorHAnsi" w:hAnsiTheme="majorHAnsi" w:cstheme="majorHAnsi"/>
          <w:color w:val="2C2D5B"/>
        </w:rPr>
        <w:t>, which includes the following rights</w:t>
      </w:r>
      <w:r w:rsidR="007067E5" w:rsidRPr="002A0F44">
        <w:rPr>
          <w:rFonts w:asciiTheme="majorHAnsi" w:hAnsiTheme="majorHAnsi" w:cstheme="majorHAnsi"/>
          <w:color w:val="2C2D5B"/>
        </w:rPr>
        <w:t xml:space="preserve">: </w:t>
      </w:r>
      <w:r w:rsidRPr="002A0F44">
        <w:rPr>
          <w:rFonts w:asciiTheme="majorHAnsi" w:hAnsiTheme="majorHAnsi" w:cstheme="majorHAnsi"/>
          <w:color w:val="2C2D5B"/>
        </w:rPr>
        <w:t xml:space="preserve">workers’ rights to information and consultation within the undertaking, </w:t>
      </w:r>
      <w:r w:rsidR="007067E5" w:rsidRPr="002A0F44">
        <w:rPr>
          <w:rFonts w:asciiTheme="majorHAnsi" w:hAnsiTheme="majorHAnsi" w:cstheme="majorHAnsi"/>
          <w:color w:val="2C2D5B"/>
        </w:rPr>
        <w:t xml:space="preserve">the </w:t>
      </w:r>
      <w:r w:rsidRPr="002A0F44">
        <w:rPr>
          <w:rFonts w:asciiTheme="majorHAnsi" w:hAnsiTheme="majorHAnsi" w:cstheme="majorHAnsi"/>
          <w:color w:val="2C2D5B"/>
        </w:rPr>
        <w:t xml:space="preserve">right of collective bargaining and action, access to placement services, protection in the event of unjustified dismissal, fair and just working conditions, prohibition of child labour and protection of young people at work, family and professional life, social security and social assistance, health care, access to services of general economic interest, environmental protection and consumer protection. </w:t>
      </w:r>
    </w:p>
    <w:p w14:paraId="0C4504F1" w14:textId="77777777" w:rsidR="00DF66F8" w:rsidRPr="002A0F44" w:rsidRDefault="00DF66F8" w:rsidP="008B4B98">
      <w:pPr>
        <w:numPr>
          <w:ilvl w:val="0"/>
          <w:numId w:val="1"/>
        </w:numPr>
        <w:spacing w:after="120" w:line="276" w:lineRule="auto"/>
        <w:jc w:val="both"/>
        <w:rPr>
          <w:rFonts w:asciiTheme="majorHAnsi" w:hAnsiTheme="majorHAnsi" w:cstheme="majorHAnsi"/>
          <w:color w:val="2C2D5B"/>
        </w:rPr>
      </w:pPr>
      <w:r w:rsidRPr="002A0F44">
        <w:rPr>
          <w:rFonts w:asciiTheme="majorHAnsi" w:hAnsiTheme="majorHAnsi" w:cstheme="majorHAnsi"/>
          <w:b/>
          <w:bCs/>
          <w:color w:val="2C2D5B"/>
        </w:rPr>
        <w:t>Citizens’ rights</w:t>
      </w:r>
      <w:r w:rsidRPr="002A0F44">
        <w:rPr>
          <w:rFonts w:asciiTheme="majorHAnsi" w:hAnsiTheme="majorHAnsi" w:cstheme="majorHAnsi"/>
          <w:color w:val="2C2D5B"/>
        </w:rPr>
        <w:t xml:space="preserve">: to vote and to stand as a candidate at elections to the European Parliament, to vote and to stand as a candidate at municipal elections, good administration, access to documents, Ombudsman, to petition the European Parliament, freedom of movement and of residence and diplomatic and consular protection. </w:t>
      </w:r>
    </w:p>
    <w:p w14:paraId="33E22356" w14:textId="7D044AF7" w:rsidR="007067E5" w:rsidRPr="002A0F44" w:rsidRDefault="00052810" w:rsidP="009F7D3D">
      <w:pPr>
        <w:numPr>
          <w:ilvl w:val="0"/>
          <w:numId w:val="1"/>
        </w:numPr>
        <w:spacing w:after="120" w:line="276" w:lineRule="auto"/>
        <w:jc w:val="both"/>
        <w:rPr>
          <w:rFonts w:asciiTheme="majorHAnsi" w:hAnsiTheme="majorHAnsi" w:cstheme="majorHAnsi"/>
          <w:color w:val="2C2D5B"/>
        </w:rPr>
      </w:pPr>
      <w:r>
        <w:rPr>
          <w:rFonts w:asciiTheme="majorHAnsi" w:hAnsiTheme="majorHAnsi" w:cstheme="majorHAnsi"/>
          <w:noProof/>
          <w:color w:val="000000"/>
          <w14:ligatures w14:val="standardContextual"/>
        </w:rPr>
        <mc:AlternateContent>
          <mc:Choice Requires="wps">
            <w:drawing>
              <wp:anchor distT="0" distB="0" distL="114300" distR="114300" simplePos="0" relativeHeight="251906048" behindDoc="0" locked="0" layoutInCell="1" allowOverlap="1" wp14:anchorId="0A60ADAE" wp14:editId="4F7DC526">
                <wp:simplePos x="0" y="0"/>
                <wp:positionH relativeFrom="column">
                  <wp:posOffset>5407025</wp:posOffset>
                </wp:positionH>
                <wp:positionV relativeFrom="paragraph">
                  <wp:posOffset>870585</wp:posOffset>
                </wp:positionV>
                <wp:extent cx="670560" cy="620395"/>
                <wp:effectExtent l="0" t="0" r="0" b="8255"/>
                <wp:wrapNone/>
                <wp:docPr id="1725299378" name="Ellipse 68"/>
                <wp:cNvGraphicFramePr/>
                <a:graphic xmlns:a="http://schemas.openxmlformats.org/drawingml/2006/main">
                  <a:graphicData uri="http://schemas.microsoft.com/office/word/2010/wordprocessingShape">
                    <wps:wsp>
                      <wps:cNvSpPr/>
                      <wps:spPr>
                        <a:xfrm>
                          <a:off x="0" y="0"/>
                          <a:ext cx="670560" cy="620395"/>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0F4BA69E" id="Ellipse 68" o:spid="_x0000_s1026" style="position:absolute;margin-left:425.75pt;margin-top:68.55pt;width:52.8pt;height:48.85pt;z-index:2519060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urfAIAAGAFAAAOAAAAZHJzL2Uyb0RvYy54bWysVFFv2yAQfp+0/4B4X21nSbpGcaooVadJ&#10;VVutnfpMMMRImGNA4mS/fgd2nHSt9jDtBQN3993d5++YX+8bTXbCeQWmpMVFTokwHCplNiX98Xz7&#10;6QslPjBTMQ1GlPQgPL1efPwwb+1MjKAGXQlHEMT4WWtLWodgZ1nmeS0a5i/ACoNGCa5hAY9uk1WO&#10;tYje6GyU59OsBVdZB1x4j7c3nZEuEr6UgocHKb0IRJcUawtpdWldxzVbzNls45itFe/LYP9QRcOU&#10;waQD1A0LjGydegPVKO7AgwwXHJoMpFRcpB6wmyL/o5unmlmRekFyvB1o8v8Plt/vnuyjQxpa62ce&#10;t7GLvXRN/GJ9ZJ/IOgxkiX0gHC+nl/lkipRyNE1H+eerSSQzOwVb58NXAQ2Jm5IKrZX1sR02Y7s7&#10;Hzrvo1e89qBVdau0TocoAbHSjuwY/rz1pujxX3lpE30NxKgOMN5kp2bSLhy0iH7afBeSqArLH6VC&#10;ks5OSRjnwoSiM9WsEl3uYpLnSSrY3RCRek2AEVli/gG7B3jdwBG7q7L3j6EiyXQIzv9WWBc8RKTM&#10;YMIQ3CgD7j0AjV31mTv/I0kdNZGlNVSHR0ccdEPiLb9V+OfumA+PzOFU4M/GSQ8PuEgNbUmh31FS&#10;g/v13n30R7GilZIWp6yk/ueWOUGJ/mZQxlfFeBzHMh3Gk8sRHty5ZX1uMdtmBaiFAt8Uy9M2+gd9&#10;3EoHzQs+CMuYFU3McMxdUh7c8bAK3fTjk8LFcpnccBQtC3fmyfIIHlmNsnzevzBne/kG1P09HCfy&#10;jYQ73xhpYLkNIFXS94nXnm8c4ySc/smJ78T5OXmdHsbFbwAAAP//AwBQSwMEFAAGAAgAAAAhADXy&#10;SafiAAAACwEAAA8AAABkcnMvZG93bnJldi54bWxMj8tOwzAQRfdI/IM1SOyokwZDCHEqxGtTHiIg&#10;IXZuPCRR43Fku034e9wV7GZ0j+6cKVezGdgene8tSUgXCTCkxuqeWgkf7w9nOTAfFGk1WEIJP+hh&#10;VR0flarQdqI33NehZbGEfKEkdCGMBee+6dAov7AjUsy+rTMqxNW1XDs1xXIz8GWSXHCjeooXOjXi&#10;bYfNtt4ZCU+fL9vMice71+f79VQnmejr9ZeUpyfzzTWwgHP4g+GgH9Whik4buyPt2SAhF6mIaAyy&#10;yxRYJK7EYdhIWGbnOfCq5P9/qH4BAAD//wMAUEsBAi0AFAAGAAgAAAAhALaDOJL+AAAA4QEAABMA&#10;AAAAAAAAAAAAAAAAAAAAAFtDb250ZW50X1R5cGVzXS54bWxQSwECLQAUAAYACAAAACEAOP0h/9YA&#10;AACUAQAACwAAAAAAAAAAAAAAAAAvAQAAX3JlbHMvLnJlbHNQSwECLQAUAAYACAAAACEAP1Pbq3wC&#10;AABgBQAADgAAAAAAAAAAAAAAAAAuAgAAZHJzL2Uyb0RvYy54bWxQSwECLQAUAAYACAAAACEANfJJ&#10;p+IAAAALAQAADwAAAAAAAAAAAAAAAADWBAAAZHJzL2Rvd25yZXYueG1sUEsFBgAAAAAEAAQA8wAA&#10;AOUFAAAAAA==&#10;" fillcolor="white [3212]" stroked="f" strokeweight="1pt">
                <v:stroke joinstyle="miter"/>
              </v:oval>
            </w:pict>
          </mc:Fallback>
        </mc:AlternateContent>
      </w:r>
      <w:r w:rsidRPr="007A6459">
        <w:rPr>
          <w:rFonts w:asciiTheme="majorHAnsi" w:hAnsiTheme="majorHAnsi" w:cstheme="majorHAnsi"/>
          <w:noProof/>
          <w:color w:val="000000"/>
        </w:rPr>
        <w:drawing>
          <wp:anchor distT="0" distB="0" distL="114300" distR="114300" simplePos="0" relativeHeight="251907072" behindDoc="0" locked="0" layoutInCell="1" allowOverlap="1" wp14:anchorId="5119E1EE" wp14:editId="31C436F9">
            <wp:simplePos x="0" y="0"/>
            <wp:positionH relativeFrom="column">
              <wp:posOffset>5486753</wp:posOffset>
            </wp:positionH>
            <wp:positionV relativeFrom="paragraph">
              <wp:posOffset>874465</wp:posOffset>
            </wp:positionV>
            <wp:extent cx="519289" cy="514611"/>
            <wp:effectExtent l="0" t="0" r="0" b="0"/>
            <wp:wrapNone/>
            <wp:docPr id="1445698537" name="Image 1" descr="Une image contenant dessin humoristique, Silhouette d’animal, clipart, coch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876948" name="Image 1" descr="Une image contenant dessin humoristique, Silhouette d’animal, clipart, cochon&#10;&#10;Description générée automatiquement"/>
                    <pic:cNvPicPr/>
                  </pic:nvPicPr>
                  <pic:blipFill>
                    <a:blip r:embed="rId21">
                      <a:extLst>
                        <a:ext uri="{28A0092B-C50C-407E-A947-70E740481C1C}">
                          <a14:useLocalDpi xmlns:a14="http://schemas.microsoft.com/office/drawing/2010/main" val="0"/>
                        </a:ext>
                      </a:extLst>
                    </a:blip>
                    <a:stretch>
                      <a:fillRect/>
                    </a:stretch>
                  </pic:blipFill>
                  <pic:spPr>
                    <a:xfrm>
                      <a:off x="0" y="0"/>
                      <a:ext cx="519289" cy="514611"/>
                    </a:xfrm>
                    <a:prstGeom prst="rect">
                      <a:avLst/>
                    </a:prstGeom>
                  </pic:spPr>
                </pic:pic>
              </a:graphicData>
            </a:graphic>
            <wp14:sizeRelH relativeFrom="page">
              <wp14:pctWidth>0</wp14:pctWidth>
            </wp14:sizeRelH>
            <wp14:sizeRelV relativeFrom="page">
              <wp14:pctHeight>0</wp14:pctHeight>
            </wp14:sizeRelV>
          </wp:anchor>
        </w:drawing>
      </w:r>
      <w:r w:rsidR="00DF66F8" w:rsidRPr="002A0F44">
        <w:rPr>
          <w:rFonts w:asciiTheme="majorHAnsi" w:hAnsiTheme="majorHAnsi" w:cstheme="majorHAnsi"/>
          <w:b/>
          <w:bCs/>
          <w:color w:val="2C2D5B"/>
        </w:rPr>
        <w:t>Justice,</w:t>
      </w:r>
      <w:r w:rsidR="00DF66F8" w:rsidRPr="002A0F44">
        <w:rPr>
          <w:rFonts w:asciiTheme="majorHAnsi" w:hAnsiTheme="majorHAnsi" w:cstheme="majorHAnsi"/>
          <w:color w:val="2C2D5B"/>
        </w:rPr>
        <w:t xml:space="preserve"> which admits the rights to an effective remedy and to a fair trial, presumption of innocence and right of defense, principles of legality and proportionality of criminal offences and penalties and not to be tried or punished twice in criminal proceedings for the same criminal offence. </w:t>
      </w:r>
    </w:p>
    <w:p w14:paraId="15F928B6" w14:textId="4E04555D" w:rsidR="007067E5" w:rsidRPr="005A6959" w:rsidRDefault="007067E5" w:rsidP="009F7D3D">
      <w:pPr>
        <w:spacing w:after="120" w:line="276" w:lineRule="auto"/>
        <w:jc w:val="both"/>
        <w:rPr>
          <w:rFonts w:ascii="Calibri" w:hAnsi="Calibri" w:cs="Calibri"/>
        </w:rPr>
      </w:pPr>
    </w:p>
    <w:p w14:paraId="4CA652B5" w14:textId="75375AB4" w:rsidR="00DF66F8" w:rsidRPr="002A0F44" w:rsidRDefault="00CE2F6D" w:rsidP="009F7D3D">
      <w:pPr>
        <w:spacing w:after="120" w:line="276" w:lineRule="auto"/>
        <w:jc w:val="both"/>
        <w:rPr>
          <w:rFonts w:asciiTheme="majorHAnsi" w:hAnsiTheme="majorHAnsi" w:cstheme="majorHAnsi"/>
          <w:color w:val="2C2D5B"/>
        </w:rPr>
      </w:pPr>
      <w:r w:rsidRPr="005A6959">
        <w:rPr>
          <w:rFonts w:ascii="Calibri" w:hAnsi="Calibri" w:cs="Calibri"/>
          <w:noProof/>
        </w:rPr>
        <mc:AlternateContent>
          <mc:Choice Requires="wps">
            <w:drawing>
              <wp:anchor distT="45720" distB="45720" distL="114300" distR="114300" simplePos="0" relativeHeight="251719680" behindDoc="0" locked="0" layoutInCell="1" allowOverlap="1" wp14:anchorId="2E561542" wp14:editId="468F055C">
                <wp:simplePos x="0" y="0"/>
                <wp:positionH relativeFrom="margin">
                  <wp:posOffset>3818890</wp:posOffset>
                </wp:positionH>
                <wp:positionV relativeFrom="paragraph">
                  <wp:posOffset>59690</wp:posOffset>
                </wp:positionV>
                <wp:extent cx="1905000" cy="1286510"/>
                <wp:effectExtent l="0" t="0" r="19050" b="27940"/>
                <wp:wrapSquare wrapText="bothSides"/>
                <wp:docPr id="49991060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0" cy="1286510"/>
                        </a:xfrm>
                        <a:prstGeom prst="roundRect">
                          <a:avLst/>
                        </a:prstGeom>
                        <a:solidFill>
                          <a:schemeClr val="accent4">
                            <a:lumMod val="20000"/>
                            <a:lumOff val="80000"/>
                          </a:schemeClr>
                        </a:solidFill>
                        <a:ln w="9525">
                          <a:solidFill>
                            <a:schemeClr val="accent2">
                              <a:lumMod val="20000"/>
                              <a:lumOff val="80000"/>
                            </a:schemeClr>
                          </a:solidFill>
                          <a:miter lim="800000"/>
                          <a:headEnd/>
                          <a:tailEnd/>
                        </a:ln>
                      </wps:spPr>
                      <wps:txbx>
                        <w:txbxContent>
                          <w:p w14:paraId="71A1ECDE" w14:textId="79445669" w:rsidR="007067E5" w:rsidRPr="00C30B32" w:rsidRDefault="007067E5" w:rsidP="00CE2F6D">
                            <w:pPr>
                              <w:jc w:val="center"/>
                              <w:rPr>
                                <w:rFonts w:asciiTheme="minorHAnsi" w:hAnsiTheme="minorHAnsi" w:cstheme="minorHAnsi"/>
                                <w:b/>
                                <w:bCs/>
                                <w:color w:val="2C2D5B"/>
                                <w:sz w:val="20"/>
                                <w:szCs w:val="20"/>
                              </w:rPr>
                            </w:pPr>
                            <w:r w:rsidRPr="00C30B32">
                              <w:rPr>
                                <w:rFonts w:asciiTheme="minorHAnsi" w:hAnsiTheme="minorHAnsi" w:cstheme="minorHAnsi"/>
                                <w:b/>
                                <w:bCs/>
                                <w:color w:val="2C2D5B"/>
                                <w:sz w:val="20"/>
                                <w:szCs w:val="20"/>
                              </w:rPr>
                              <w:t>EChFR Rights Overview</w:t>
                            </w:r>
                            <w:r w:rsidR="00CE2F6D" w:rsidRPr="00C30B32">
                              <w:rPr>
                                <w:rFonts w:asciiTheme="minorHAnsi" w:hAnsiTheme="minorHAnsi" w:cstheme="minorHAnsi"/>
                                <w:b/>
                                <w:bCs/>
                                <w:color w:val="2C2D5B"/>
                                <w:sz w:val="20"/>
                                <w:szCs w:val="20"/>
                              </w:rPr>
                              <w:t xml:space="preserve"> </w:t>
                            </w:r>
                            <w:r w:rsidRPr="00C30B32">
                              <w:rPr>
                                <w:rFonts w:asciiTheme="minorHAnsi" w:hAnsiTheme="minorHAnsi" w:cstheme="minorHAnsi"/>
                                <w:b/>
                                <w:bCs/>
                                <w:color w:val="2C2D5B"/>
                                <w:sz w:val="20"/>
                                <w:szCs w:val="20"/>
                              </w:rPr>
                              <w:t>:</w:t>
                            </w:r>
                          </w:p>
                          <w:p w14:paraId="53B5E6A8" w14:textId="47C9B4BB" w:rsidR="007067E5" w:rsidRPr="00C30B32" w:rsidRDefault="007067E5" w:rsidP="008B4B98">
                            <w:pPr>
                              <w:pStyle w:val="Odstavecseseznamem"/>
                              <w:numPr>
                                <w:ilvl w:val="0"/>
                                <w:numId w:val="3"/>
                              </w:numPr>
                              <w:rPr>
                                <w:rFonts w:asciiTheme="minorHAnsi" w:hAnsiTheme="minorHAnsi" w:cstheme="minorHAnsi"/>
                                <w:color w:val="2C2D5B"/>
                                <w:sz w:val="20"/>
                                <w:szCs w:val="20"/>
                              </w:rPr>
                            </w:pPr>
                            <w:r w:rsidRPr="00C30B32">
                              <w:rPr>
                                <w:rFonts w:asciiTheme="minorHAnsi" w:hAnsiTheme="minorHAnsi" w:cstheme="minorHAnsi"/>
                                <w:b/>
                                <w:bCs/>
                                <w:color w:val="2C2D5B"/>
                                <w:sz w:val="20"/>
                                <w:szCs w:val="20"/>
                              </w:rPr>
                              <w:t>Total Articles</w:t>
                            </w:r>
                            <w:r w:rsidR="00052810" w:rsidRPr="00C30B32">
                              <w:rPr>
                                <w:rFonts w:asciiTheme="minorHAnsi" w:hAnsiTheme="minorHAnsi" w:cstheme="minorHAnsi"/>
                                <w:b/>
                                <w:bCs/>
                                <w:color w:val="2C2D5B"/>
                                <w:sz w:val="20"/>
                                <w:szCs w:val="20"/>
                              </w:rPr>
                              <w:t xml:space="preserve"> </w:t>
                            </w:r>
                            <w:r w:rsidRPr="00C30B32">
                              <w:rPr>
                                <w:rFonts w:asciiTheme="minorHAnsi" w:hAnsiTheme="minorHAnsi" w:cstheme="minorHAnsi"/>
                                <w:b/>
                                <w:bCs/>
                                <w:color w:val="2C2D5B"/>
                                <w:sz w:val="20"/>
                                <w:szCs w:val="20"/>
                              </w:rPr>
                              <w:t xml:space="preserve">: </w:t>
                            </w:r>
                            <w:r w:rsidRPr="00C30B32">
                              <w:rPr>
                                <w:rFonts w:asciiTheme="minorHAnsi" w:hAnsiTheme="minorHAnsi" w:cstheme="minorHAnsi"/>
                                <w:color w:val="2C2D5B"/>
                                <w:sz w:val="20"/>
                                <w:szCs w:val="20"/>
                              </w:rPr>
                              <w:t>54</w:t>
                            </w:r>
                          </w:p>
                          <w:p w14:paraId="64B64122" w14:textId="0170529A" w:rsidR="007067E5" w:rsidRPr="00C30B32" w:rsidRDefault="007067E5" w:rsidP="008B4B98">
                            <w:pPr>
                              <w:pStyle w:val="Odstavecseseznamem"/>
                              <w:numPr>
                                <w:ilvl w:val="0"/>
                                <w:numId w:val="3"/>
                              </w:numPr>
                              <w:rPr>
                                <w:rFonts w:asciiTheme="minorHAnsi" w:hAnsiTheme="minorHAnsi" w:cstheme="minorHAnsi"/>
                                <w:color w:val="2C2D5B"/>
                                <w:sz w:val="20"/>
                                <w:szCs w:val="20"/>
                              </w:rPr>
                            </w:pPr>
                            <w:r w:rsidRPr="00C30B32">
                              <w:rPr>
                                <w:rFonts w:asciiTheme="minorHAnsi" w:hAnsiTheme="minorHAnsi" w:cstheme="minorHAnsi"/>
                                <w:b/>
                                <w:bCs/>
                                <w:color w:val="2C2D5B"/>
                                <w:sz w:val="20"/>
                                <w:szCs w:val="20"/>
                              </w:rPr>
                              <w:t xml:space="preserve">Key rights covered: </w:t>
                            </w:r>
                            <w:r w:rsidRPr="00C30B32">
                              <w:rPr>
                                <w:rFonts w:asciiTheme="minorHAnsi" w:hAnsiTheme="minorHAnsi" w:cstheme="minorHAnsi"/>
                                <w:color w:val="2C2D5B"/>
                                <w:sz w:val="20"/>
                                <w:szCs w:val="20"/>
                              </w:rPr>
                              <w:t xml:space="preserve">Dignity, Freedoms, Equality, Solidarity Citizens’ Rights, Justice. </w:t>
                            </w:r>
                          </w:p>
                          <w:p w14:paraId="1C5C9004" w14:textId="77777777" w:rsidR="007067E5" w:rsidRPr="00327D5A" w:rsidRDefault="007067E5">
                            <w:pPr>
                              <w:rPr>
                                <w:rFonts w:asciiTheme="minorHAnsi" w:hAnsiTheme="minorHAnsi" w:cstheme="minorHAnsi"/>
                                <w:b/>
                                <w:bCs/>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2E561542" id="_x0000_s1032" style="position:absolute;left:0;text-align:left;margin-left:300.7pt;margin-top:4.7pt;width:150pt;height:101.3pt;z-index:2517196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juJOAIAAKgEAAAOAAAAZHJzL2Uyb0RvYy54bWysVNtu2zAMfR+wfxD0vtgOkiwx4hRdug4D&#10;ugvW7QMUSY6FSaInKbGzrx8lO2m6vQ19EUTSOjzkIb2+6Y0mR+m8AlvRYpJTIi0Hoey+oj++379Z&#10;UuIDs4JpsLKiJ+npzeb1q3XXlnIKDWghHUEQ68uurWgTQltmmeeNNMxPoJUWgzU4wwKabp8JxzpE&#10;Nzqb5vki68CJ1gGX3qP3bgjSTcKva8nDl7r2MhBdUeQW0unSuYtntlmzcu9Y2yg+0mD/wcIwZTHp&#10;BeqOBUYOTv0DZRR34KEOEw4mg7pWXKYasJoi/6uax4a1MtWCzfHtpU3+5WD55+Nj+9WR0L+DHgVM&#10;Rfj2AfhPTyxsG2b38tY56BrJBCYuYsuyrvXl+DS22pc+guy6TyBQZHYIkID62pnYFayTIDoKcLo0&#10;XfaB8Jhylc/zHEMcY8V0uZgXSZaMlefnrfPhgwRD4qWiDg5WfENpUw52fPAhcmLl+buY0oNW4l5p&#10;nYw4TnKrHTkyHATGubRhlp7rg0HSgx8HComkkUA3Ds7gXp7dmCINZkRKCZ8l0ZZ0FV3Np/ME/Cx2&#10;eXZNYPrCBIwKuEtamYomymMpUbj3VqSyAlN6uGMt2o5KRvEGGUO/64kSFV3ENkRhdyBOKK2DYXVw&#10;1fHSgPtNSYdrU1H/68CcpER/tDgeq2I2i3uWjNn87RQNdx3ZXUeY5QhV0UDJcN2GtJtRMwu3OEa1&#10;Sto+MRkp4zokBcbVjft2baevnn4wmz8AAAD//wMAUEsDBBQABgAIAAAAIQBrnGGR3gAAAAkBAAAP&#10;AAAAZHJzL2Rvd25yZXYueG1sTI9PS8QwEMXvgt8hjODNTVKW4tamiwiCeFjYP4jHbDO2ZZtJadLd&#10;6qd39KKn4fEeb36vXM++F2ccYxfIgF4oEEh1cB01Bg7757t7EDFZcrYPhAY+McK6ur4qbeHChbZ4&#10;3qVGcAnFwhpoUxoKKWPdordxEQYk9j7C6G1iOTbSjfbC5b6XmVK59LYj/tDaAZ9arE+7yRtQy+1J&#10;77+Cdi95es83w/T6ZjfG3N7Mjw8gEs7pLww/+IwOFTMdw0Quit5ArvSSowZWfNhf/eqjgUxnCmRV&#10;yv8Lqm8AAAD//wMAUEsBAi0AFAAGAAgAAAAhALaDOJL+AAAA4QEAABMAAAAAAAAAAAAAAAAAAAAA&#10;AFtDb250ZW50X1R5cGVzXS54bWxQSwECLQAUAAYACAAAACEAOP0h/9YAAACUAQAACwAAAAAAAAAA&#10;AAAAAAAvAQAAX3JlbHMvLnJlbHNQSwECLQAUAAYACAAAACEAwCY7iTgCAACoBAAADgAAAAAAAAAA&#10;AAAAAAAuAgAAZHJzL2Uyb0RvYy54bWxQSwECLQAUAAYACAAAACEAa5xhkd4AAAAJAQAADwAAAAAA&#10;AAAAAAAAAACSBAAAZHJzL2Rvd25yZXYueG1sUEsFBgAAAAAEAAQA8wAAAJ0FAAAAAA==&#10;" fillcolor="#fff2cc [663]" strokecolor="#fbe4d5 [661]">
                <v:stroke joinstyle="miter"/>
                <v:textbox>
                  <w:txbxContent>
                    <w:p w14:paraId="71A1ECDE" w14:textId="79445669" w:rsidR="007067E5" w:rsidRPr="00C30B32" w:rsidRDefault="007067E5" w:rsidP="00CE2F6D">
                      <w:pPr>
                        <w:jc w:val="center"/>
                        <w:rPr>
                          <w:rFonts w:asciiTheme="minorHAnsi" w:hAnsiTheme="minorHAnsi" w:cstheme="minorHAnsi"/>
                          <w:b/>
                          <w:bCs/>
                          <w:color w:val="2C2D5B"/>
                          <w:sz w:val="20"/>
                          <w:szCs w:val="20"/>
                        </w:rPr>
                      </w:pPr>
                      <w:r w:rsidRPr="00C30B32">
                        <w:rPr>
                          <w:rFonts w:asciiTheme="minorHAnsi" w:hAnsiTheme="minorHAnsi" w:cstheme="minorHAnsi"/>
                          <w:b/>
                          <w:bCs/>
                          <w:color w:val="2C2D5B"/>
                          <w:sz w:val="20"/>
                          <w:szCs w:val="20"/>
                        </w:rPr>
                        <w:t>EChFR Rights Overview</w:t>
                      </w:r>
                      <w:r w:rsidR="00CE2F6D" w:rsidRPr="00C30B32">
                        <w:rPr>
                          <w:rFonts w:asciiTheme="minorHAnsi" w:hAnsiTheme="minorHAnsi" w:cstheme="minorHAnsi"/>
                          <w:b/>
                          <w:bCs/>
                          <w:color w:val="2C2D5B"/>
                          <w:sz w:val="20"/>
                          <w:szCs w:val="20"/>
                        </w:rPr>
                        <w:t xml:space="preserve"> </w:t>
                      </w:r>
                      <w:r w:rsidRPr="00C30B32">
                        <w:rPr>
                          <w:rFonts w:asciiTheme="minorHAnsi" w:hAnsiTheme="minorHAnsi" w:cstheme="minorHAnsi"/>
                          <w:b/>
                          <w:bCs/>
                          <w:color w:val="2C2D5B"/>
                          <w:sz w:val="20"/>
                          <w:szCs w:val="20"/>
                        </w:rPr>
                        <w:t>:</w:t>
                      </w:r>
                    </w:p>
                    <w:p w14:paraId="53B5E6A8" w14:textId="47C9B4BB" w:rsidR="007067E5" w:rsidRPr="00C30B32" w:rsidRDefault="007067E5" w:rsidP="008B4B98">
                      <w:pPr>
                        <w:pStyle w:val="Paragraphedeliste"/>
                        <w:numPr>
                          <w:ilvl w:val="0"/>
                          <w:numId w:val="3"/>
                        </w:numPr>
                        <w:rPr>
                          <w:rFonts w:asciiTheme="minorHAnsi" w:hAnsiTheme="minorHAnsi" w:cstheme="minorHAnsi"/>
                          <w:color w:val="2C2D5B"/>
                          <w:sz w:val="20"/>
                          <w:szCs w:val="20"/>
                        </w:rPr>
                      </w:pPr>
                      <w:r w:rsidRPr="00C30B32">
                        <w:rPr>
                          <w:rFonts w:asciiTheme="minorHAnsi" w:hAnsiTheme="minorHAnsi" w:cstheme="minorHAnsi"/>
                          <w:b/>
                          <w:bCs/>
                          <w:color w:val="2C2D5B"/>
                          <w:sz w:val="20"/>
                          <w:szCs w:val="20"/>
                        </w:rPr>
                        <w:t>Total Articles</w:t>
                      </w:r>
                      <w:r w:rsidR="00052810" w:rsidRPr="00C30B32">
                        <w:rPr>
                          <w:rFonts w:asciiTheme="minorHAnsi" w:hAnsiTheme="minorHAnsi" w:cstheme="minorHAnsi"/>
                          <w:b/>
                          <w:bCs/>
                          <w:color w:val="2C2D5B"/>
                          <w:sz w:val="20"/>
                          <w:szCs w:val="20"/>
                        </w:rPr>
                        <w:t xml:space="preserve"> </w:t>
                      </w:r>
                      <w:r w:rsidRPr="00C30B32">
                        <w:rPr>
                          <w:rFonts w:asciiTheme="minorHAnsi" w:hAnsiTheme="minorHAnsi" w:cstheme="minorHAnsi"/>
                          <w:b/>
                          <w:bCs/>
                          <w:color w:val="2C2D5B"/>
                          <w:sz w:val="20"/>
                          <w:szCs w:val="20"/>
                        </w:rPr>
                        <w:t xml:space="preserve">: </w:t>
                      </w:r>
                      <w:r w:rsidRPr="00C30B32">
                        <w:rPr>
                          <w:rFonts w:asciiTheme="minorHAnsi" w:hAnsiTheme="minorHAnsi" w:cstheme="minorHAnsi"/>
                          <w:color w:val="2C2D5B"/>
                          <w:sz w:val="20"/>
                          <w:szCs w:val="20"/>
                        </w:rPr>
                        <w:t>54</w:t>
                      </w:r>
                    </w:p>
                    <w:p w14:paraId="64B64122" w14:textId="0170529A" w:rsidR="007067E5" w:rsidRPr="00C30B32" w:rsidRDefault="007067E5" w:rsidP="008B4B98">
                      <w:pPr>
                        <w:pStyle w:val="Paragraphedeliste"/>
                        <w:numPr>
                          <w:ilvl w:val="0"/>
                          <w:numId w:val="3"/>
                        </w:numPr>
                        <w:rPr>
                          <w:rFonts w:asciiTheme="minorHAnsi" w:hAnsiTheme="minorHAnsi" w:cstheme="minorHAnsi"/>
                          <w:color w:val="2C2D5B"/>
                          <w:sz w:val="20"/>
                          <w:szCs w:val="20"/>
                        </w:rPr>
                      </w:pPr>
                      <w:r w:rsidRPr="00C30B32">
                        <w:rPr>
                          <w:rFonts w:asciiTheme="minorHAnsi" w:hAnsiTheme="minorHAnsi" w:cstheme="minorHAnsi"/>
                          <w:b/>
                          <w:bCs/>
                          <w:color w:val="2C2D5B"/>
                          <w:sz w:val="20"/>
                          <w:szCs w:val="20"/>
                        </w:rPr>
                        <w:t xml:space="preserve">Key rights covered: </w:t>
                      </w:r>
                      <w:r w:rsidRPr="00C30B32">
                        <w:rPr>
                          <w:rFonts w:asciiTheme="minorHAnsi" w:hAnsiTheme="minorHAnsi" w:cstheme="minorHAnsi"/>
                          <w:color w:val="2C2D5B"/>
                          <w:sz w:val="20"/>
                          <w:szCs w:val="20"/>
                        </w:rPr>
                        <w:t xml:space="preserve">Dignity, Freedoms, Equality, Solidarity Citizens’ Rights, Justice. </w:t>
                      </w:r>
                    </w:p>
                    <w:p w14:paraId="1C5C9004" w14:textId="77777777" w:rsidR="007067E5" w:rsidRPr="00327D5A" w:rsidRDefault="007067E5">
                      <w:pPr>
                        <w:rPr>
                          <w:rFonts w:asciiTheme="minorHAnsi" w:hAnsiTheme="minorHAnsi" w:cstheme="minorHAnsi"/>
                          <w:b/>
                          <w:bCs/>
                          <w:sz w:val="20"/>
                          <w:szCs w:val="20"/>
                        </w:rPr>
                      </w:pPr>
                    </w:p>
                  </w:txbxContent>
                </v:textbox>
                <w10:wrap type="square" anchorx="margin"/>
              </v:roundrect>
            </w:pict>
          </mc:Fallback>
        </mc:AlternateContent>
      </w:r>
      <w:r w:rsidR="00DF66F8" w:rsidRPr="002A0F44">
        <w:rPr>
          <w:rFonts w:asciiTheme="majorHAnsi" w:hAnsiTheme="majorHAnsi" w:cstheme="majorHAnsi"/>
          <w:color w:val="2C2D5B"/>
        </w:rPr>
        <w:t>B</w:t>
      </w:r>
      <w:r w:rsidR="00A70009" w:rsidRPr="002A0F44">
        <w:rPr>
          <w:rFonts w:asciiTheme="majorHAnsi" w:hAnsiTheme="majorHAnsi" w:cstheme="majorHAnsi"/>
          <w:color w:val="2C2D5B"/>
        </w:rPr>
        <w:t xml:space="preserve">ased on </w:t>
      </w:r>
      <w:r w:rsidR="00DB00C7" w:rsidRPr="002A0F44">
        <w:rPr>
          <w:rFonts w:asciiTheme="majorHAnsi" w:hAnsiTheme="majorHAnsi" w:cstheme="majorHAnsi"/>
          <w:color w:val="2C2D5B"/>
        </w:rPr>
        <w:t>their</w:t>
      </w:r>
      <w:r w:rsidR="00A70009" w:rsidRPr="002A0F44">
        <w:rPr>
          <w:rFonts w:asciiTheme="majorHAnsi" w:hAnsiTheme="majorHAnsi" w:cstheme="majorHAnsi"/>
          <w:color w:val="2C2D5B"/>
        </w:rPr>
        <w:t xml:space="preserve"> recognition in the EChFR</w:t>
      </w:r>
      <w:r w:rsidR="00DF66F8" w:rsidRPr="002A0F44">
        <w:rPr>
          <w:rFonts w:asciiTheme="majorHAnsi" w:hAnsiTheme="majorHAnsi" w:cstheme="majorHAnsi"/>
          <w:color w:val="2C2D5B"/>
        </w:rPr>
        <w:t xml:space="preserve">, each one of these fundamental rights may be subject to legislative development to specify </w:t>
      </w:r>
      <w:r w:rsidR="00DB00C7" w:rsidRPr="002A0F44">
        <w:rPr>
          <w:rFonts w:asciiTheme="majorHAnsi" w:hAnsiTheme="majorHAnsi" w:cstheme="majorHAnsi"/>
          <w:color w:val="2C2D5B"/>
        </w:rPr>
        <w:t>their</w:t>
      </w:r>
      <w:r w:rsidR="00DF66F8" w:rsidRPr="002A0F44">
        <w:rPr>
          <w:rFonts w:asciiTheme="majorHAnsi" w:hAnsiTheme="majorHAnsi" w:cstheme="majorHAnsi"/>
          <w:color w:val="2C2D5B"/>
        </w:rPr>
        <w:t xml:space="preserve"> content and scope.</w:t>
      </w:r>
      <w:r w:rsidR="009F7D3D" w:rsidRPr="002A0F44">
        <w:rPr>
          <w:rFonts w:asciiTheme="majorHAnsi" w:hAnsiTheme="majorHAnsi" w:cstheme="majorHAnsi"/>
          <w:color w:val="2C2D5B"/>
        </w:rPr>
        <w:t xml:space="preserve"> </w:t>
      </w:r>
      <w:r w:rsidR="00761C6F" w:rsidRPr="002A0F44">
        <w:rPr>
          <w:rFonts w:asciiTheme="majorHAnsi" w:hAnsiTheme="majorHAnsi" w:cstheme="majorHAnsi"/>
          <w:b/>
          <w:bCs/>
          <w:color w:val="2C2D5B"/>
        </w:rPr>
        <w:t xml:space="preserve">Certain </w:t>
      </w:r>
      <w:r w:rsidR="00A601E0" w:rsidRPr="002A0F44">
        <w:rPr>
          <w:rFonts w:asciiTheme="majorHAnsi" w:hAnsiTheme="majorHAnsi" w:cstheme="majorHAnsi"/>
          <w:b/>
          <w:bCs/>
          <w:color w:val="2C2D5B"/>
        </w:rPr>
        <w:t xml:space="preserve"> fundamental rights laid down in the Charter appl</w:t>
      </w:r>
      <w:r w:rsidR="009F7D3D" w:rsidRPr="002A0F44">
        <w:rPr>
          <w:rFonts w:asciiTheme="majorHAnsi" w:hAnsiTheme="majorHAnsi" w:cstheme="majorHAnsi"/>
          <w:b/>
          <w:bCs/>
          <w:color w:val="2C2D5B"/>
        </w:rPr>
        <w:t xml:space="preserve">y </w:t>
      </w:r>
      <w:r w:rsidR="00761C6F" w:rsidRPr="002A0F44">
        <w:rPr>
          <w:rFonts w:asciiTheme="majorHAnsi" w:hAnsiTheme="majorHAnsi" w:cstheme="majorHAnsi"/>
          <w:b/>
          <w:bCs/>
          <w:color w:val="2C2D5B"/>
        </w:rPr>
        <w:t>exclusively</w:t>
      </w:r>
      <w:r w:rsidR="009F7D3D" w:rsidRPr="002A0F44">
        <w:rPr>
          <w:rFonts w:asciiTheme="majorHAnsi" w:hAnsiTheme="majorHAnsi" w:cstheme="majorHAnsi"/>
          <w:b/>
          <w:bCs/>
          <w:color w:val="2C2D5B"/>
        </w:rPr>
        <w:t xml:space="preserve"> to EU citizens</w:t>
      </w:r>
      <w:r w:rsidR="009F7D3D" w:rsidRPr="002A0F44">
        <w:rPr>
          <w:rFonts w:asciiTheme="majorHAnsi" w:hAnsiTheme="majorHAnsi" w:cstheme="majorHAnsi"/>
          <w:color w:val="2C2D5B"/>
        </w:rPr>
        <w:t xml:space="preserve">, notably: </w:t>
      </w:r>
      <w:r w:rsidR="00A601E0" w:rsidRPr="002A0F44">
        <w:rPr>
          <w:rFonts w:asciiTheme="majorHAnsi" w:hAnsiTheme="majorHAnsi" w:cstheme="majorHAnsi"/>
          <w:color w:val="2C2D5B"/>
        </w:rPr>
        <w:t>the right to work and freedom to choose an occupation (Article 15(1)) or the freedom to conduct a business (Article 16).</w:t>
      </w:r>
    </w:p>
    <w:p w14:paraId="3EFC15E0" w14:textId="77777777" w:rsidR="00F87908" w:rsidRDefault="00F87908" w:rsidP="009F7D3D">
      <w:pPr>
        <w:spacing w:after="120" w:line="276" w:lineRule="auto"/>
        <w:jc w:val="both"/>
        <w:rPr>
          <w:rFonts w:asciiTheme="majorHAnsi" w:hAnsiTheme="majorHAnsi" w:cstheme="majorHAnsi"/>
          <w:color w:val="000000"/>
        </w:rPr>
      </w:pPr>
    </w:p>
    <w:p w14:paraId="0FF975A2" w14:textId="5EC176EC" w:rsidR="007C3FEA" w:rsidRDefault="00505929" w:rsidP="009F7D3D">
      <w:pPr>
        <w:spacing w:after="120" w:line="276" w:lineRule="auto"/>
        <w:jc w:val="both"/>
        <w:rPr>
          <w:rFonts w:asciiTheme="majorHAnsi" w:hAnsiTheme="majorHAnsi" w:cstheme="majorHAnsi"/>
          <w:color w:val="2C2D5B"/>
        </w:rPr>
      </w:pPr>
      <w:r w:rsidRPr="00CE2F6D">
        <w:rPr>
          <w:rFonts w:asciiTheme="majorHAnsi" w:hAnsiTheme="majorHAnsi" w:cstheme="majorHAnsi"/>
          <w:color w:val="2C2D5B"/>
        </w:rPr>
        <w:t xml:space="preserve">The seventh chapter is perceived by many as the most significant: its four articles establish rules of interpretation and application of EChFR’s rights. </w:t>
      </w:r>
      <w:r w:rsidR="00A70009" w:rsidRPr="00CE2F6D">
        <w:rPr>
          <w:rFonts w:asciiTheme="majorHAnsi" w:hAnsiTheme="majorHAnsi" w:cstheme="majorHAnsi"/>
          <w:color w:val="2C2D5B"/>
        </w:rPr>
        <w:t xml:space="preserve">As will be explained in detail below, </w:t>
      </w:r>
      <w:r w:rsidRPr="00CE2F6D">
        <w:rPr>
          <w:rFonts w:asciiTheme="majorHAnsi" w:hAnsiTheme="majorHAnsi" w:cstheme="majorHAnsi"/>
          <w:color w:val="2C2D5B"/>
        </w:rPr>
        <w:t xml:space="preserve">pursuant to Article 51, </w:t>
      </w:r>
      <w:r w:rsidRPr="00CE2F6D">
        <w:rPr>
          <w:rFonts w:asciiTheme="majorHAnsi" w:hAnsiTheme="majorHAnsi" w:cstheme="majorHAnsi"/>
          <w:b/>
          <w:bCs/>
          <w:color w:val="2C2D5B"/>
        </w:rPr>
        <w:t>the EChFR appl</w:t>
      </w:r>
      <w:r w:rsidR="00761C6F" w:rsidRPr="00CE2F6D">
        <w:rPr>
          <w:rFonts w:asciiTheme="majorHAnsi" w:hAnsiTheme="majorHAnsi" w:cstheme="majorHAnsi"/>
          <w:b/>
          <w:bCs/>
          <w:color w:val="2C2D5B"/>
        </w:rPr>
        <w:t>ies</w:t>
      </w:r>
      <w:r w:rsidRPr="00CE2F6D">
        <w:rPr>
          <w:rFonts w:asciiTheme="majorHAnsi" w:hAnsiTheme="majorHAnsi" w:cstheme="majorHAnsi"/>
          <w:b/>
          <w:bCs/>
          <w:color w:val="2C2D5B"/>
        </w:rPr>
        <w:t xml:space="preserve"> only in situations in which EU law is implemented</w:t>
      </w:r>
      <w:r w:rsidRPr="00CE2F6D">
        <w:rPr>
          <w:rFonts w:asciiTheme="majorHAnsi" w:hAnsiTheme="majorHAnsi" w:cstheme="majorHAnsi"/>
          <w:color w:val="2C2D5B"/>
        </w:rPr>
        <w:t>; the same provision also reiterates that the</w:t>
      </w:r>
      <w:r w:rsidR="00F87908" w:rsidRPr="00CE2F6D">
        <w:rPr>
          <w:rFonts w:asciiTheme="majorHAnsi" w:hAnsiTheme="majorHAnsi" w:cstheme="majorHAnsi"/>
          <w:color w:val="2C2D5B"/>
        </w:rPr>
        <w:t xml:space="preserve"> </w:t>
      </w:r>
      <w:r w:rsidRPr="00CE2F6D">
        <w:rPr>
          <w:rFonts w:asciiTheme="majorHAnsi" w:hAnsiTheme="majorHAnsi" w:cstheme="majorHAnsi"/>
          <w:color w:val="2C2D5B"/>
        </w:rPr>
        <w:t>EChFR does not establish any new powers for the Union.</w:t>
      </w:r>
      <w:r w:rsidR="00A70009" w:rsidRPr="00CE2F6D">
        <w:rPr>
          <w:rFonts w:asciiTheme="majorHAnsi" w:hAnsiTheme="majorHAnsi" w:cstheme="majorHAnsi"/>
          <w:color w:val="2C2D5B"/>
        </w:rPr>
        <w:t xml:space="preserve"> Furthermore, Article 52 EChFR</w:t>
      </w:r>
      <w:r w:rsidRPr="00CE2F6D">
        <w:rPr>
          <w:rFonts w:asciiTheme="majorHAnsi" w:hAnsiTheme="majorHAnsi" w:cstheme="majorHAnsi"/>
          <w:color w:val="2C2D5B"/>
        </w:rPr>
        <w:t xml:space="preserve"> recalls the </w:t>
      </w:r>
      <w:r w:rsidRPr="00CE2F6D">
        <w:rPr>
          <w:rFonts w:asciiTheme="majorHAnsi" w:hAnsiTheme="majorHAnsi" w:cstheme="majorHAnsi"/>
          <w:b/>
          <w:bCs/>
          <w:color w:val="2C2D5B"/>
        </w:rPr>
        <w:t>principle</w:t>
      </w:r>
      <w:r w:rsidR="00A70009" w:rsidRPr="00CE2F6D">
        <w:rPr>
          <w:rFonts w:asciiTheme="majorHAnsi" w:hAnsiTheme="majorHAnsi" w:cstheme="majorHAnsi"/>
          <w:b/>
          <w:bCs/>
          <w:color w:val="2C2D5B"/>
        </w:rPr>
        <w:t>s</w:t>
      </w:r>
      <w:r w:rsidRPr="00CE2F6D">
        <w:rPr>
          <w:rFonts w:asciiTheme="majorHAnsi" w:hAnsiTheme="majorHAnsi" w:cstheme="majorHAnsi"/>
          <w:b/>
          <w:bCs/>
          <w:color w:val="2C2D5B"/>
        </w:rPr>
        <w:t xml:space="preserve"> of legality and proportionality</w:t>
      </w:r>
      <w:r w:rsidR="00A70009" w:rsidRPr="00CE2F6D">
        <w:rPr>
          <w:rFonts w:asciiTheme="majorHAnsi" w:hAnsiTheme="majorHAnsi" w:cstheme="majorHAnsi"/>
          <w:color w:val="2C2D5B"/>
        </w:rPr>
        <w:t>.</w:t>
      </w:r>
      <w:r w:rsidR="0078699D" w:rsidRPr="00CE2F6D">
        <w:rPr>
          <w:rFonts w:asciiTheme="majorHAnsi" w:hAnsiTheme="majorHAnsi" w:cstheme="majorHAnsi"/>
          <w:color w:val="2C2D5B"/>
        </w:rPr>
        <w:t xml:space="preserve"> </w:t>
      </w:r>
      <w:r w:rsidRPr="00CE2F6D">
        <w:rPr>
          <w:rFonts w:asciiTheme="majorHAnsi" w:hAnsiTheme="majorHAnsi" w:cstheme="majorHAnsi"/>
          <w:color w:val="2C2D5B"/>
        </w:rPr>
        <w:t>The same provision refers to the ECHR</w:t>
      </w:r>
      <w:r w:rsidR="0078699D" w:rsidRPr="00CE2F6D">
        <w:rPr>
          <w:rFonts w:asciiTheme="majorHAnsi" w:hAnsiTheme="majorHAnsi" w:cstheme="majorHAnsi"/>
          <w:color w:val="2C2D5B"/>
        </w:rPr>
        <w:t xml:space="preserve"> and indicates that </w:t>
      </w:r>
      <w:r w:rsidR="0078699D" w:rsidRPr="00CE2F6D">
        <w:rPr>
          <w:rFonts w:asciiTheme="majorHAnsi" w:hAnsiTheme="majorHAnsi" w:cstheme="majorHAnsi"/>
          <w:b/>
          <w:bCs/>
          <w:color w:val="2C2D5B"/>
        </w:rPr>
        <w:t xml:space="preserve">the protection granted by the EChFR cannot </w:t>
      </w:r>
      <w:r w:rsidRPr="00CE2F6D">
        <w:rPr>
          <w:rFonts w:asciiTheme="majorHAnsi" w:hAnsiTheme="majorHAnsi" w:cstheme="majorHAnsi"/>
          <w:b/>
          <w:bCs/>
          <w:color w:val="2C2D5B"/>
        </w:rPr>
        <w:t>fall below the standard enshrined in the ECHR</w:t>
      </w:r>
      <w:r w:rsidRPr="00CE2F6D">
        <w:rPr>
          <w:rFonts w:asciiTheme="majorHAnsi" w:hAnsiTheme="majorHAnsi" w:cstheme="majorHAnsi"/>
          <w:color w:val="2C2D5B"/>
        </w:rPr>
        <w:t>. But there is nothing in EChFR preventing this standard to be even higher.</w:t>
      </w:r>
    </w:p>
    <w:p w14:paraId="0F42F4C0" w14:textId="77777777" w:rsidR="00DF479C" w:rsidRDefault="00DF479C" w:rsidP="009F7D3D">
      <w:pPr>
        <w:spacing w:after="120" w:line="276" w:lineRule="auto"/>
        <w:jc w:val="both"/>
        <w:rPr>
          <w:rFonts w:asciiTheme="majorHAnsi" w:hAnsiTheme="majorHAnsi" w:cstheme="majorHAnsi"/>
          <w:color w:val="2C2D5B"/>
        </w:rPr>
      </w:pPr>
    </w:p>
    <w:p w14:paraId="1A1F25B9" w14:textId="77777777" w:rsidR="00DF479C" w:rsidRDefault="00DF479C" w:rsidP="009F7D3D">
      <w:pPr>
        <w:spacing w:after="120" w:line="276" w:lineRule="auto"/>
        <w:jc w:val="both"/>
        <w:rPr>
          <w:rFonts w:asciiTheme="majorHAnsi" w:hAnsiTheme="majorHAnsi" w:cstheme="majorHAnsi"/>
          <w:color w:val="2C2D5B"/>
        </w:rPr>
      </w:pPr>
    </w:p>
    <w:p w14:paraId="16F93959" w14:textId="77777777" w:rsidR="00DF479C" w:rsidRPr="00CE2F6D" w:rsidRDefault="00DF479C" w:rsidP="009F7D3D">
      <w:pPr>
        <w:spacing w:after="120" w:line="276" w:lineRule="auto"/>
        <w:jc w:val="both"/>
        <w:rPr>
          <w:rFonts w:asciiTheme="majorHAnsi" w:hAnsiTheme="majorHAnsi" w:cstheme="majorHAnsi"/>
          <w:color w:val="2C2D5B"/>
        </w:rPr>
      </w:pPr>
    </w:p>
    <w:p w14:paraId="3294434E" w14:textId="77777777" w:rsidR="002E3100" w:rsidRPr="00D3423A" w:rsidRDefault="002E3100" w:rsidP="009F7D3D">
      <w:pPr>
        <w:spacing w:after="120" w:line="276" w:lineRule="auto"/>
        <w:jc w:val="both"/>
        <w:rPr>
          <w:rFonts w:asciiTheme="majorHAnsi" w:hAnsiTheme="majorHAnsi" w:cstheme="majorHAnsi"/>
          <w:color w:val="000000"/>
        </w:rPr>
      </w:pPr>
    </w:p>
    <w:p w14:paraId="7B694EA5" w14:textId="7614D1AF" w:rsidR="00EC2273" w:rsidRPr="00DF479C" w:rsidRDefault="00DF479C" w:rsidP="00DF479C">
      <w:pPr>
        <w:pStyle w:val="Odstavecseseznamem"/>
        <w:spacing w:line="276" w:lineRule="auto"/>
        <w:ind w:left="284" w:hanging="568"/>
        <w:jc w:val="both"/>
        <w:rPr>
          <w:rFonts w:asciiTheme="minorHAnsi" w:hAnsiTheme="minorHAnsi" w:cstheme="minorHAnsi"/>
          <w:b/>
          <w:bCs/>
          <w:color w:val="2F5496" w:themeColor="accent1" w:themeShade="BF"/>
          <w:sz w:val="32"/>
          <w:szCs w:val="32"/>
        </w:rPr>
      </w:pPr>
      <w:bookmarkStart w:id="7" w:name="_Toc188457866"/>
      <w:r>
        <w:rPr>
          <w:rFonts w:asciiTheme="minorHAnsi" w:hAnsiTheme="minorHAnsi" w:cstheme="minorHAnsi"/>
          <w:b/>
          <w:bCs/>
          <w:color w:val="B6A04C"/>
          <w:sz w:val="32"/>
          <w:szCs w:val="32"/>
        </w:rPr>
        <w:t xml:space="preserve">3.3 </w:t>
      </w:r>
      <w:r w:rsidR="00924666" w:rsidRPr="00DF479C">
        <w:rPr>
          <w:rFonts w:asciiTheme="minorHAnsi" w:hAnsiTheme="minorHAnsi" w:cstheme="minorHAnsi"/>
          <w:b/>
          <w:bCs/>
          <w:color w:val="2F5496" w:themeColor="accent1" w:themeShade="BF"/>
          <w:sz w:val="32"/>
          <w:szCs w:val="32"/>
        </w:rPr>
        <w:t>Analysis of Key rights most relevant to legal practice</w:t>
      </w:r>
      <w:bookmarkEnd w:id="7"/>
      <w:r w:rsidR="00924666" w:rsidRPr="00DF479C">
        <w:rPr>
          <w:rFonts w:asciiTheme="minorHAnsi" w:hAnsiTheme="minorHAnsi" w:cstheme="minorHAnsi"/>
          <w:b/>
          <w:bCs/>
          <w:color w:val="2F5496" w:themeColor="accent1" w:themeShade="BF"/>
          <w:sz w:val="32"/>
          <w:szCs w:val="32"/>
        </w:rPr>
        <w:t xml:space="preserve"> </w:t>
      </w:r>
    </w:p>
    <w:p w14:paraId="2E85787A" w14:textId="3D04490A" w:rsidR="00CD33A6" w:rsidRPr="00DF479C" w:rsidRDefault="00CD33A6" w:rsidP="00DB4562">
      <w:pPr>
        <w:pStyle w:val="Normlnweb"/>
        <w:jc w:val="both"/>
        <w:rPr>
          <w:rFonts w:ascii="Calibri Light" w:hAnsi="Calibri Light" w:cs="Calibri Light"/>
          <w:color w:val="2C2D5B"/>
          <w:lang w:eastAsia="fr-FR"/>
        </w:rPr>
      </w:pPr>
      <w:r w:rsidRPr="00DF479C">
        <w:rPr>
          <w:rFonts w:ascii="Calibri Light" w:hAnsi="Calibri Light" w:cs="Calibri Light"/>
          <w:color w:val="2C2D5B"/>
        </w:rPr>
        <w:t xml:space="preserve">This section highlights the fundamental rights within the European Charter of Fundamental Rights (EChFR) that have significant implications for legal practice. For some of these rights, dedicated </w:t>
      </w:r>
      <w:r w:rsidRPr="00DF479C">
        <w:rPr>
          <w:rStyle w:val="Siln"/>
          <w:rFonts w:ascii="Calibri Light" w:hAnsi="Calibri Light" w:cs="Calibri Light"/>
          <w:color w:val="2C2D5B"/>
        </w:rPr>
        <w:t>information sheets</w:t>
      </w:r>
      <w:r w:rsidRPr="00DF479C">
        <w:rPr>
          <w:rFonts w:ascii="Calibri Light" w:hAnsi="Calibri Light" w:cs="Calibri Light"/>
          <w:color w:val="2C2D5B"/>
        </w:rPr>
        <w:t xml:space="preserve"> have been included as part of the Training Kit to provide a more detailed analysis and practical guidance. When applicable, references to these sheets are noted.</w:t>
      </w:r>
    </w:p>
    <w:p w14:paraId="516BAF85" w14:textId="77777777" w:rsidR="00CD33A6" w:rsidRPr="00BE2184" w:rsidRDefault="00CD33A6" w:rsidP="00BE2184">
      <w:pPr>
        <w:pStyle w:val="Nadpis4"/>
        <w:jc w:val="both"/>
        <w:rPr>
          <w:rFonts w:ascii="Calibri Light" w:hAnsi="Calibri Light" w:cs="Calibri Light"/>
          <w:b/>
          <w:bCs/>
          <w:sz w:val="26"/>
          <w:szCs w:val="26"/>
        </w:rPr>
      </w:pPr>
      <w:r w:rsidRPr="00BE2184">
        <w:rPr>
          <w:rStyle w:val="Siln"/>
          <w:rFonts w:ascii="Calibri Light" w:hAnsi="Calibri Light" w:cs="Calibri Light"/>
          <w:sz w:val="26"/>
          <w:szCs w:val="26"/>
        </w:rPr>
        <w:t>1. Dignity</w:t>
      </w:r>
    </w:p>
    <w:p w14:paraId="2B39666F" w14:textId="4261E364" w:rsidR="00CD33A6" w:rsidRPr="00DF479C" w:rsidRDefault="00CD33A6" w:rsidP="00BE2184">
      <w:pPr>
        <w:numPr>
          <w:ilvl w:val="0"/>
          <w:numId w:val="36"/>
        </w:numPr>
        <w:spacing w:before="100" w:beforeAutospacing="1" w:after="100" w:afterAutospacing="1"/>
        <w:jc w:val="both"/>
        <w:rPr>
          <w:rFonts w:ascii="Calibri Light" w:hAnsi="Calibri Light" w:cs="Calibri Light"/>
          <w:color w:val="2C2D5B"/>
        </w:rPr>
      </w:pPr>
      <w:r w:rsidRPr="00DF479C">
        <w:rPr>
          <w:rStyle w:val="Siln"/>
          <w:rFonts w:ascii="Calibri Light" w:hAnsi="Calibri Light" w:cs="Calibri Light"/>
          <w:color w:val="2C2D5B"/>
        </w:rPr>
        <w:t>Human Dignity (Article 1)</w:t>
      </w:r>
      <w:r w:rsidRPr="00DF479C">
        <w:rPr>
          <w:rFonts w:ascii="Calibri Light" w:hAnsi="Calibri Light" w:cs="Calibri Light"/>
          <w:color w:val="2C2D5B"/>
        </w:rPr>
        <w:t xml:space="preserve"> </w:t>
      </w:r>
      <w:r w:rsidRPr="00DF479C">
        <w:rPr>
          <w:rStyle w:val="Zdraznn"/>
          <w:rFonts w:ascii="Calibri Light" w:hAnsi="Calibri Light" w:cs="Calibri Light"/>
          <w:color w:val="2C2D5B"/>
        </w:rPr>
        <w:t>(See Information Sheet on Article 1</w:t>
      </w:r>
      <w:r w:rsidR="00DF479C">
        <w:rPr>
          <w:rStyle w:val="Zdraznn"/>
          <w:rFonts w:ascii="Calibri Light" w:hAnsi="Calibri Light" w:cs="Calibri Light"/>
          <w:color w:val="2C2D5B"/>
        </w:rPr>
        <w:t xml:space="preserve"> </w:t>
      </w:r>
      <w:r w:rsidRPr="00DF479C">
        <w:rPr>
          <w:rStyle w:val="Zdraznn"/>
          <w:rFonts w:ascii="Calibri Light" w:hAnsi="Calibri Light" w:cs="Calibri Light"/>
          <w:color w:val="2C2D5B"/>
        </w:rPr>
        <w:t>)</w:t>
      </w:r>
      <w:r w:rsidRPr="00DF479C">
        <w:rPr>
          <w:rFonts w:ascii="Calibri Light" w:hAnsi="Calibri Light" w:cs="Calibri Light"/>
          <w:color w:val="2C2D5B"/>
        </w:rPr>
        <w:t>:</w:t>
      </w:r>
    </w:p>
    <w:p w14:paraId="541B7BB4" w14:textId="77777777" w:rsidR="00CD33A6" w:rsidRPr="00DF479C" w:rsidRDefault="00CD33A6" w:rsidP="00BE2184">
      <w:pPr>
        <w:numPr>
          <w:ilvl w:val="1"/>
          <w:numId w:val="36"/>
        </w:numPr>
        <w:spacing w:before="100" w:beforeAutospacing="1" w:after="100" w:afterAutospacing="1"/>
        <w:jc w:val="both"/>
        <w:rPr>
          <w:rFonts w:ascii="Calibri Light" w:hAnsi="Calibri Light" w:cs="Calibri Light"/>
          <w:color w:val="2C2D5B"/>
        </w:rPr>
      </w:pPr>
      <w:r w:rsidRPr="00DF479C">
        <w:rPr>
          <w:rFonts w:ascii="Calibri Light" w:hAnsi="Calibri Light" w:cs="Calibri Light"/>
          <w:color w:val="2C2D5B"/>
        </w:rPr>
        <w:t>Recognized as the foundational principle of the Charter.</w:t>
      </w:r>
    </w:p>
    <w:p w14:paraId="3D6577E4" w14:textId="77777777" w:rsidR="00CD33A6" w:rsidRPr="00DF479C" w:rsidRDefault="00CD33A6" w:rsidP="00BE2184">
      <w:pPr>
        <w:numPr>
          <w:ilvl w:val="1"/>
          <w:numId w:val="36"/>
        </w:numPr>
        <w:spacing w:before="100" w:beforeAutospacing="1" w:after="100" w:afterAutospacing="1"/>
        <w:jc w:val="both"/>
        <w:rPr>
          <w:rFonts w:ascii="Calibri Light" w:hAnsi="Calibri Light" w:cs="Calibri Light"/>
          <w:color w:val="2C2D5B"/>
        </w:rPr>
      </w:pPr>
      <w:r w:rsidRPr="00DF479C">
        <w:rPr>
          <w:rStyle w:val="Siln"/>
          <w:rFonts w:ascii="Calibri Light" w:hAnsi="Calibri Light" w:cs="Calibri Light"/>
          <w:color w:val="2C2D5B"/>
        </w:rPr>
        <w:t>Practical Relevance</w:t>
      </w:r>
      <w:r w:rsidRPr="00DF479C">
        <w:rPr>
          <w:rFonts w:ascii="Calibri Light" w:hAnsi="Calibri Light" w:cs="Calibri Light"/>
          <w:color w:val="2C2D5B"/>
        </w:rPr>
        <w:t xml:space="preserve">: Often invoked in cases concerning inhuman or degrading treatment, such as detention or deportation.\n - </w:t>
      </w:r>
      <w:r w:rsidRPr="00DF479C">
        <w:rPr>
          <w:rStyle w:val="Siln"/>
          <w:rFonts w:ascii="Calibri Light" w:hAnsi="Calibri Light" w:cs="Calibri Light"/>
          <w:color w:val="2C2D5B"/>
        </w:rPr>
        <w:t>Key Case</w:t>
      </w:r>
      <w:r w:rsidRPr="00DF479C">
        <w:rPr>
          <w:rFonts w:ascii="Calibri Light" w:hAnsi="Calibri Light" w:cs="Calibri Light"/>
          <w:color w:val="2C2D5B"/>
        </w:rPr>
        <w:t xml:space="preserve">: </w:t>
      </w:r>
      <w:r w:rsidRPr="00DF479C">
        <w:rPr>
          <w:rStyle w:val="Zdraznn"/>
          <w:rFonts w:ascii="Calibri Light" w:hAnsi="Calibri Light" w:cs="Calibri Light"/>
          <w:color w:val="2C2D5B"/>
        </w:rPr>
        <w:t>Case C-404/15, P v. Q</w:t>
      </w:r>
      <w:r w:rsidRPr="00DF479C">
        <w:rPr>
          <w:rFonts w:ascii="Calibri Light" w:hAnsi="Calibri Light" w:cs="Calibri Light"/>
          <w:color w:val="2C2D5B"/>
        </w:rPr>
        <w:t xml:space="preserve"> – Deporting a seriously ill individual to a country without adequate medical care was found to violate their dignity.</w:t>
      </w:r>
    </w:p>
    <w:p w14:paraId="78B534F3" w14:textId="77777777" w:rsidR="00CD33A6" w:rsidRPr="00DF479C" w:rsidRDefault="00CD33A6" w:rsidP="00BE2184">
      <w:pPr>
        <w:numPr>
          <w:ilvl w:val="0"/>
          <w:numId w:val="36"/>
        </w:numPr>
        <w:spacing w:before="100" w:beforeAutospacing="1" w:after="100" w:afterAutospacing="1"/>
        <w:jc w:val="both"/>
        <w:rPr>
          <w:rFonts w:ascii="Calibri Light" w:hAnsi="Calibri Light" w:cs="Calibri Light"/>
          <w:color w:val="2C2D5B"/>
        </w:rPr>
      </w:pPr>
      <w:r w:rsidRPr="00DF479C">
        <w:rPr>
          <w:rStyle w:val="Siln"/>
          <w:rFonts w:ascii="Calibri Light" w:hAnsi="Calibri Light" w:cs="Calibri Light"/>
          <w:color w:val="2C2D5B"/>
        </w:rPr>
        <w:t>Prohibition of Torture and Inhuman or Degrading Treatment (Article 4)</w:t>
      </w:r>
      <w:r w:rsidRPr="00DF479C">
        <w:rPr>
          <w:rFonts w:ascii="Calibri Light" w:hAnsi="Calibri Light" w:cs="Calibri Light"/>
          <w:color w:val="2C2D5B"/>
        </w:rPr>
        <w:t xml:space="preserve"> </w:t>
      </w:r>
      <w:r w:rsidRPr="00DF479C">
        <w:rPr>
          <w:rStyle w:val="Zdraznn"/>
          <w:rFonts w:ascii="Calibri Light" w:hAnsi="Calibri Light" w:cs="Calibri Light"/>
          <w:color w:val="2C2D5B"/>
        </w:rPr>
        <w:t>(See Information Sheet on Article 4)</w:t>
      </w:r>
      <w:r w:rsidRPr="00DF479C">
        <w:rPr>
          <w:rFonts w:ascii="Calibri Light" w:hAnsi="Calibri Light" w:cs="Calibri Light"/>
          <w:color w:val="2C2D5B"/>
        </w:rPr>
        <w:t>:</w:t>
      </w:r>
    </w:p>
    <w:p w14:paraId="5ABD4749" w14:textId="77777777" w:rsidR="00CD33A6" w:rsidRPr="00DF479C" w:rsidRDefault="00CD33A6" w:rsidP="00BE2184">
      <w:pPr>
        <w:numPr>
          <w:ilvl w:val="1"/>
          <w:numId w:val="36"/>
        </w:numPr>
        <w:spacing w:before="100" w:beforeAutospacing="1" w:after="100" w:afterAutospacing="1"/>
        <w:jc w:val="both"/>
        <w:rPr>
          <w:rFonts w:ascii="Calibri Light" w:hAnsi="Calibri Light" w:cs="Calibri Light"/>
          <w:color w:val="2C2D5B"/>
        </w:rPr>
      </w:pPr>
      <w:r w:rsidRPr="00DF479C">
        <w:rPr>
          <w:rFonts w:ascii="Calibri Light" w:hAnsi="Calibri Light" w:cs="Calibri Light"/>
          <w:color w:val="2C2D5B"/>
        </w:rPr>
        <w:t>An absolute right that allows no derogation under any circumstances.</w:t>
      </w:r>
    </w:p>
    <w:p w14:paraId="71C824D0" w14:textId="03570916" w:rsidR="00CD33A6" w:rsidRPr="00DF479C" w:rsidRDefault="00CD33A6" w:rsidP="00BE2184">
      <w:pPr>
        <w:numPr>
          <w:ilvl w:val="1"/>
          <w:numId w:val="36"/>
        </w:numPr>
        <w:spacing w:before="100" w:beforeAutospacing="1" w:after="100" w:afterAutospacing="1"/>
        <w:jc w:val="both"/>
        <w:rPr>
          <w:rFonts w:ascii="Calibri Light" w:hAnsi="Calibri Light" w:cs="Calibri Light"/>
          <w:color w:val="2C2D5B"/>
        </w:rPr>
      </w:pPr>
      <w:r w:rsidRPr="00DF479C">
        <w:rPr>
          <w:rStyle w:val="Siln"/>
          <w:rFonts w:ascii="Calibri Light" w:hAnsi="Calibri Light" w:cs="Calibri Light"/>
          <w:color w:val="2C2D5B"/>
        </w:rPr>
        <w:t>Practical Relevance</w:t>
      </w:r>
      <w:r w:rsidRPr="00DF479C">
        <w:rPr>
          <w:rFonts w:ascii="Calibri Light" w:hAnsi="Calibri Light" w:cs="Calibri Light"/>
          <w:color w:val="2C2D5B"/>
        </w:rPr>
        <w:t>: Central to cases involving prison conditions, refugee treatment, or police misconduct.</w:t>
      </w:r>
    </w:p>
    <w:p w14:paraId="2639326E" w14:textId="77777777" w:rsidR="00CD33A6" w:rsidRPr="00BE2184" w:rsidRDefault="00CD33A6" w:rsidP="00BE2184">
      <w:pPr>
        <w:pStyle w:val="Nadpis4"/>
        <w:jc w:val="both"/>
        <w:rPr>
          <w:rFonts w:ascii="Calibri Light" w:hAnsi="Calibri Light" w:cs="Calibri Light"/>
          <w:b/>
          <w:bCs/>
          <w:sz w:val="26"/>
          <w:szCs w:val="26"/>
        </w:rPr>
      </w:pPr>
      <w:r w:rsidRPr="00BE2184">
        <w:rPr>
          <w:rStyle w:val="Siln"/>
          <w:rFonts w:ascii="Calibri Light" w:hAnsi="Calibri Light" w:cs="Calibri Light"/>
          <w:sz w:val="26"/>
          <w:szCs w:val="26"/>
        </w:rPr>
        <w:t>2. Freedoms</w:t>
      </w:r>
    </w:p>
    <w:p w14:paraId="7B506AF7" w14:textId="77777777" w:rsidR="00CD33A6" w:rsidRPr="00DF479C" w:rsidRDefault="00CD33A6" w:rsidP="00BE2184">
      <w:pPr>
        <w:numPr>
          <w:ilvl w:val="0"/>
          <w:numId w:val="37"/>
        </w:numPr>
        <w:spacing w:before="100" w:beforeAutospacing="1" w:after="100" w:afterAutospacing="1"/>
        <w:jc w:val="both"/>
        <w:rPr>
          <w:rFonts w:ascii="Calibri Light" w:hAnsi="Calibri Light" w:cs="Calibri Light"/>
          <w:color w:val="2C2D5B"/>
        </w:rPr>
      </w:pPr>
      <w:r w:rsidRPr="00DF479C">
        <w:rPr>
          <w:rStyle w:val="Siln"/>
          <w:rFonts w:ascii="Calibri Light" w:hAnsi="Calibri Light" w:cs="Calibri Light"/>
          <w:color w:val="2C2D5B"/>
        </w:rPr>
        <w:t>Respect for Private and Family Life (Article 7)</w:t>
      </w:r>
      <w:r w:rsidRPr="00DF479C">
        <w:rPr>
          <w:rFonts w:ascii="Calibri Light" w:hAnsi="Calibri Light" w:cs="Calibri Light"/>
          <w:color w:val="2C2D5B"/>
        </w:rPr>
        <w:t xml:space="preserve"> </w:t>
      </w:r>
      <w:r w:rsidRPr="00DF479C">
        <w:rPr>
          <w:rStyle w:val="Zdraznn"/>
          <w:rFonts w:ascii="Calibri Light" w:hAnsi="Calibri Light" w:cs="Calibri Light"/>
          <w:color w:val="2C2D5B"/>
        </w:rPr>
        <w:t>(See Information Sheet on Article 7)</w:t>
      </w:r>
      <w:r w:rsidRPr="00DF479C">
        <w:rPr>
          <w:rFonts w:ascii="Calibri Light" w:hAnsi="Calibri Light" w:cs="Calibri Light"/>
          <w:color w:val="2C2D5B"/>
        </w:rPr>
        <w:t>:</w:t>
      </w:r>
    </w:p>
    <w:p w14:paraId="57249119" w14:textId="77777777" w:rsidR="00CD33A6" w:rsidRPr="00DF479C" w:rsidRDefault="00CD33A6" w:rsidP="00BE2184">
      <w:pPr>
        <w:numPr>
          <w:ilvl w:val="1"/>
          <w:numId w:val="37"/>
        </w:numPr>
        <w:spacing w:before="100" w:beforeAutospacing="1" w:after="100" w:afterAutospacing="1"/>
        <w:jc w:val="both"/>
        <w:rPr>
          <w:rFonts w:ascii="Calibri Light" w:hAnsi="Calibri Light" w:cs="Calibri Light"/>
          <w:color w:val="2C2D5B"/>
        </w:rPr>
      </w:pPr>
      <w:r w:rsidRPr="00DF479C">
        <w:rPr>
          <w:rFonts w:ascii="Calibri Light" w:hAnsi="Calibri Light" w:cs="Calibri Light"/>
          <w:color w:val="2C2D5B"/>
        </w:rPr>
        <w:t>Protects individuals from interference in their private and family life, home, and communications.</w:t>
      </w:r>
    </w:p>
    <w:p w14:paraId="30DF403A" w14:textId="37F7FBBD" w:rsidR="00CD33A6" w:rsidRPr="00DF479C" w:rsidRDefault="00CD33A6" w:rsidP="00BE2184">
      <w:pPr>
        <w:numPr>
          <w:ilvl w:val="1"/>
          <w:numId w:val="37"/>
        </w:numPr>
        <w:spacing w:before="100" w:beforeAutospacing="1" w:after="100" w:afterAutospacing="1"/>
        <w:jc w:val="both"/>
        <w:rPr>
          <w:rFonts w:ascii="Calibri Light" w:hAnsi="Calibri Light" w:cs="Calibri Light"/>
          <w:color w:val="2C2D5B"/>
        </w:rPr>
      </w:pPr>
      <w:r w:rsidRPr="00DF479C">
        <w:rPr>
          <w:rStyle w:val="Siln"/>
          <w:rFonts w:ascii="Calibri Light" w:hAnsi="Calibri Light" w:cs="Calibri Light"/>
          <w:color w:val="2C2D5B"/>
        </w:rPr>
        <w:t>Practical Relevance</w:t>
      </w:r>
      <w:r w:rsidRPr="00DF479C">
        <w:rPr>
          <w:rFonts w:ascii="Calibri Light" w:hAnsi="Calibri Light" w:cs="Calibri Light"/>
          <w:color w:val="2C2D5B"/>
        </w:rPr>
        <w:t xml:space="preserve">: Frequently invoked in cases of government surveillance, deportation affecting family unity, and custody disputes.\n - </w:t>
      </w:r>
    </w:p>
    <w:p w14:paraId="7FAFCA3B" w14:textId="54EDAD3C" w:rsidR="00CD33A6" w:rsidRPr="00DF479C" w:rsidRDefault="00CD33A6" w:rsidP="00BE2184">
      <w:pPr>
        <w:numPr>
          <w:ilvl w:val="0"/>
          <w:numId w:val="37"/>
        </w:numPr>
        <w:spacing w:before="100" w:beforeAutospacing="1" w:after="100" w:afterAutospacing="1"/>
        <w:jc w:val="both"/>
        <w:rPr>
          <w:rFonts w:ascii="Calibri Light" w:hAnsi="Calibri Light" w:cs="Calibri Light"/>
          <w:color w:val="2C2D5B"/>
        </w:rPr>
      </w:pPr>
      <w:r w:rsidRPr="00DF479C">
        <w:rPr>
          <w:rStyle w:val="Siln"/>
          <w:rFonts w:ascii="Calibri Light" w:hAnsi="Calibri Light" w:cs="Calibri Light"/>
          <w:color w:val="2C2D5B"/>
        </w:rPr>
        <w:t>Right to Data Protection (Article 8)</w:t>
      </w:r>
      <w:r w:rsidRPr="00DF479C">
        <w:rPr>
          <w:rFonts w:ascii="Calibri Light" w:hAnsi="Calibri Light" w:cs="Calibri Light"/>
          <w:color w:val="2C2D5B"/>
        </w:rPr>
        <w:t xml:space="preserve"> </w:t>
      </w:r>
      <w:r w:rsidRPr="00DF479C">
        <w:rPr>
          <w:rStyle w:val="Zdraznn"/>
          <w:rFonts w:ascii="Calibri Light" w:hAnsi="Calibri Light" w:cs="Calibri Light"/>
          <w:color w:val="2C2D5B"/>
        </w:rPr>
        <w:t>(See Information Sheet on Article 8)</w:t>
      </w:r>
      <w:r w:rsidR="00DF479C">
        <w:rPr>
          <w:rStyle w:val="Zdraznn"/>
          <w:rFonts w:ascii="Calibri Light" w:hAnsi="Calibri Light" w:cs="Calibri Light"/>
          <w:color w:val="2C2D5B"/>
        </w:rPr>
        <w:t xml:space="preserve"> </w:t>
      </w:r>
      <w:r w:rsidRPr="00DF479C">
        <w:rPr>
          <w:rFonts w:ascii="Calibri Light" w:hAnsi="Calibri Light" w:cs="Calibri Light"/>
          <w:color w:val="2C2D5B"/>
        </w:rPr>
        <w:t>:</w:t>
      </w:r>
    </w:p>
    <w:p w14:paraId="15EE3F7C" w14:textId="77777777" w:rsidR="00CD33A6" w:rsidRPr="00DF479C" w:rsidRDefault="00CD33A6" w:rsidP="00BE2184">
      <w:pPr>
        <w:numPr>
          <w:ilvl w:val="1"/>
          <w:numId w:val="37"/>
        </w:numPr>
        <w:spacing w:before="100" w:beforeAutospacing="1" w:after="100" w:afterAutospacing="1"/>
        <w:jc w:val="both"/>
        <w:rPr>
          <w:rFonts w:ascii="Calibri Light" w:hAnsi="Calibri Light" w:cs="Calibri Light"/>
          <w:color w:val="2C2D5B"/>
        </w:rPr>
      </w:pPr>
      <w:r w:rsidRPr="00DF479C">
        <w:rPr>
          <w:rFonts w:ascii="Calibri Light" w:hAnsi="Calibri Light" w:cs="Calibri Light"/>
          <w:color w:val="2C2D5B"/>
        </w:rPr>
        <w:t>Provides individuals with control over their personal data, ensuring transparency and accountability in data processing.</w:t>
      </w:r>
    </w:p>
    <w:p w14:paraId="700629DF" w14:textId="77777777" w:rsidR="00CD33A6" w:rsidRPr="00DF479C" w:rsidRDefault="00CD33A6" w:rsidP="00BE2184">
      <w:pPr>
        <w:numPr>
          <w:ilvl w:val="1"/>
          <w:numId w:val="37"/>
        </w:numPr>
        <w:spacing w:before="100" w:beforeAutospacing="1" w:after="100" w:afterAutospacing="1"/>
        <w:jc w:val="both"/>
        <w:rPr>
          <w:rFonts w:ascii="Calibri Light" w:hAnsi="Calibri Light" w:cs="Calibri Light"/>
          <w:color w:val="2C2D5B"/>
        </w:rPr>
      </w:pPr>
      <w:r w:rsidRPr="00DF479C">
        <w:rPr>
          <w:rStyle w:val="Siln"/>
          <w:rFonts w:ascii="Calibri Light" w:hAnsi="Calibri Light" w:cs="Calibri Light"/>
          <w:color w:val="2C2D5B"/>
        </w:rPr>
        <w:t>Practical Relevance</w:t>
      </w:r>
      <w:r w:rsidRPr="00DF479C">
        <w:rPr>
          <w:rFonts w:ascii="Calibri Light" w:hAnsi="Calibri Light" w:cs="Calibri Light"/>
          <w:color w:val="2C2D5B"/>
        </w:rPr>
        <w:t>: Significant in cases concerning automated decision-making, data breaches, and cross-border data transfers.</w:t>
      </w:r>
    </w:p>
    <w:p w14:paraId="37814833" w14:textId="3D1BB2F6" w:rsidR="00CD33A6" w:rsidRPr="00DF479C" w:rsidRDefault="00CD33A6" w:rsidP="00BE2184">
      <w:pPr>
        <w:numPr>
          <w:ilvl w:val="0"/>
          <w:numId w:val="37"/>
        </w:numPr>
        <w:spacing w:before="100" w:beforeAutospacing="1" w:after="100" w:afterAutospacing="1"/>
        <w:jc w:val="both"/>
        <w:rPr>
          <w:rFonts w:ascii="Calibri Light" w:hAnsi="Calibri Light" w:cs="Calibri Light"/>
          <w:color w:val="2C2D5B"/>
        </w:rPr>
      </w:pPr>
      <w:r w:rsidRPr="00DF479C">
        <w:rPr>
          <w:rStyle w:val="Siln"/>
          <w:rFonts w:ascii="Calibri Light" w:hAnsi="Calibri Light" w:cs="Calibri Light"/>
          <w:color w:val="2C2D5B"/>
        </w:rPr>
        <w:t>Freedom of Thought, Conscience, and Religion (Article 10)</w:t>
      </w:r>
      <w:r w:rsidR="00DF479C">
        <w:rPr>
          <w:rStyle w:val="Siln"/>
          <w:rFonts w:ascii="Calibri Light" w:hAnsi="Calibri Light" w:cs="Calibri Light"/>
          <w:color w:val="2C2D5B"/>
        </w:rPr>
        <w:t xml:space="preserve"> </w:t>
      </w:r>
      <w:r w:rsidRPr="00DF479C">
        <w:rPr>
          <w:rFonts w:ascii="Calibri Light" w:hAnsi="Calibri Light" w:cs="Calibri Light"/>
          <w:color w:val="2C2D5B"/>
        </w:rPr>
        <w:t>:</w:t>
      </w:r>
    </w:p>
    <w:p w14:paraId="75BB8D7D" w14:textId="77777777" w:rsidR="00CD33A6" w:rsidRPr="00DF479C" w:rsidRDefault="00CD33A6" w:rsidP="00BE2184">
      <w:pPr>
        <w:numPr>
          <w:ilvl w:val="1"/>
          <w:numId w:val="37"/>
        </w:numPr>
        <w:spacing w:before="100" w:beforeAutospacing="1" w:after="100" w:afterAutospacing="1"/>
        <w:jc w:val="both"/>
        <w:rPr>
          <w:rFonts w:ascii="Calibri Light" w:hAnsi="Calibri Light" w:cs="Calibri Light"/>
          <w:color w:val="2C2D5B"/>
        </w:rPr>
      </w:pPr>
      <w:r w:rsidRPr="00DF479C">
        <w:rPr>
          <w:rFonts w:ascii="Calibri Light" w:hAnsi="Calibri Light" w:cs="Calibri Light"/>
          <w:color w:val="2C2D5B"/>
        </w:rPr>
        <w:t>Guarantees freedom of personal beliefs and practices, including religious expression.</w:t>
      </w:r>
    </w:p>
    <w:p w14:paraId="372FE0C2" w14:textId="77777777" w:rsidR="00CD33A6" w:rsidRDefault="00CD33A6" w:rsidP="00BE2184">
      <w:pPr>
        <w:numPr>
          <w:ilvl w:val="1"/>
          <w:numId w:val="37"/>
        </w:numPr>
        <w:spacing w:before="100" w:beforeAutospacing="1" w:after="100" w:afterAutospacing="1"/>
        <w:jc w:val="both"/>
        <w:rPr>
          <w:rFonts w:ascii="Calibri Light" w:hAnsi="Calibri Light" w:cs="Calibri Light"/>
          <w:color w:val="2C2D5B"/>
        </w:rPr>
      </w:pPr>
      <w:r w:rsidRPr="00DF479C">
        <w:rPr>
          <w:rStyle w:val="Siln"/>
          <w:rFonts w:ascii="Calibri Light" w:hAnsi="Calibri Light" w:cs="Calibri Light"/>
          <w:color w:val="2C2D5B"/>
        </w:rPr>
        <w:t>Practical Relevance</w:t>
      </w:r>
      <w:r w:rsidRPr="00DF479C">
        <w:rPr>
          <w:rFonts w:ascii="Calibri Light" w:hAnsi="Calibri Light" w:cs="Calibri Light"/>
          <w:color w:val="2C2D5B"/>
        </w:rPr>
        <w:t>: Common in cases involving workplace accommodations for religious practices and challenges to laws restricting religious attire.</w:t>
      </w:r>
    </w:p>
    <w:p w14:paraId="151E6678" w14:textId="77777777" w:rsidR="00DF479C" w:rsidRDefault="00DF479C" w:rsidP="00DF479C">
      <w:pPr>
        <w:spacing w:before="100" w:beforeAutospacing="1" w:after="100" w:afterAutospacing="1"/>
        <w:ind w:left="1440"/>
        <w:jc w:val="both"/>
        <w:rPr>
          <w:rStyle w:val="Siln"/>
          <w:rFonts w:ascii="Calibri Light" w:hAnsi="Calibri Light" w:cs="Calibri Light"/>
          <w:color w:val="2C2D5B"/>
        </w:rPr>
      </w:pPr>
    </w:p>
    <w:p w14:paraId="4AAE8A9C" w14:textId="77777777" w:rsidR="00D01352" w:rsidRDefault="00D01352" w:rsidP="00DF479C">
      <w:pPr>
        <w:spacing w:before="100" w:beforeAutospacing="1" w:after="100" w:afterAutospacing="1"/>
        <w:ind w:left="1440"/>
        <w:jc w:val="both"/>
        <w:rPr>
          <w:rStyle w:val="Siln"/>
          <w:rFonts w:ascii="Calibri Light" w:hAnsi="Calibri Light" w:cs="Calibri Light"/>
          <w:color w:val="2C2D5B"/>
        </w:rPr>
      </w:pPr>
    </w:p>
    <w:p w14:paraId="4CA3E155" w14:textId="77777777" w:rsidR="00D01352" w:rsidRDefault="00D01352" w:rsidP="00DF479C">
      <w:pPr>
        <w:spacing w:before="100" w:beforeAutospacing="1" w:after="100" w:afterAutospacing="1"/>
        <w:ind w:left="1440"/>
        <w:jc w:val="both"/>
        <w:rPr>
          <w:rStyle w:val="Siln"/>
          <w:rFonts w:ascii="Calibri Light" w:hAnsi="Calibri Light" w:cs="Calibri Light"/>
          <w:color w:val="2C2D5B"/>
        </w:rPr>
      </w:pPr>
    </w:p>
    <w:p w14:paraId="46D15EEA" w14:textId="77777777" w:rsidR="00D01352" w:rsidRPr="00DF479C" w:rsidRDefault="00D01352" w:rsidP="00DF479C">
      <w:pPr>
        <w:spacing w:before="100" w:beforeAutospacing="1" w:after="100" w:afterAutospacing="1"/>
        <w:ind w:left="1440"/>
        <w:jc w:val="both"/>
        <w:rPr>
          <w:rFonts w:ascii="Calibri Light" w:hAnsi="Calibri Light" w:cs="Calibri Light"/>
          <w:color w:val="2C2D5B"/>
        </w:rPr>
      </w:pPr>
    </w:p>
    <w:p w14:paraId="42CE3F21" w14:textId="405D435A" w:rsidR="00CD33A6" w:rsidRPr="00D01352" w:rsidRDefault="00CD33A6" w:rsidP="00BE2184">
      <w:pPr>
        <w:numPr>
          <w:ilvl w:val="0"/>
          <w:numId w:val="37"/>
        </w:numPr>
        <w:spacing w:before="100" w:beforeAutospacing="1" w:after="100" w:afterAutospacing="1"/>
        <w:jc w:val="both"/>
        <w:rPr>
          <w:rFonts w:ascii="Calibri Light" w:hAnsi="Calibri Light" w:cs="Calibri Light"/>
          <w:color w:val="2C2D5B"/>
        </w:rPr>
      </w:pPr>
      <w:r w:rsidRPr="00D01352">
        <w:rPr>
          <w:rStyle w:val="Siln"/>
          <w:rFonts w:ascii="Calibri Light" w:hAnsi="Calibri Light" w:cs="Calibri Light"/>
          <w:color w:val="2C2D5B"/>
        </w:rPr>
        <w:t>Right to Asylum (Article 18)</w:t>
      </w:r>
      <w:r w:rsidRPr="00D01352">
        <w:rPr>
          <w:rFonts w:ascii="Calibri Light" w:hAnsi="Calibri Light" w:cs="Calibri Light"/>
          <w:color w:val="2C2D5B"/>
        </w:rPr>
        <w:t xml:space="preserve"> </w:t>
      </w:r>
      <w:r w:rsidRPr="00D01352">
        <w:rPr>
          <w:rStyle w:val="Zdraznn"/>
          <w:rFonts w:ascii="Calibri Light" w:hAnsi="Calibri Light" w:cs="Calibri Light"/>
          <w:color w:val="2C2D5B"/>
        </w:rPr>
        <w:t>(See Information Sheet on Article 18)</w:t>
      </w:r>
      <w:r w:rsidR="00DF479C" w:rsidRPr="00D01352">
        <w:rPr>
          <w:rStyle w:val="Zdraznn"/>
          <w:rFonts w:ascii="Calibri Light" w:hAnsi="Calibri Light" w:cs="Calibri Light"/>
          <w:color w:val="2C2D5B"/>
        </w:rPr>
        <w:t xml:space="preserve"> </w:t>
      </w:r>
      <w:r w:rsidRPr="00D01352">
        <w:rPr>
          <w:rFonts w:ascii="Calibri Light" w:hAnsi="Calibri Light" w:cs="Calibri Light"/>
          <w:color w:val="2C2D5B"/>
        </w:rPr>
        <w:t>:</w:t>
      </w:r>
    </w:p>
    <w:p w14:paraId="7D58A7DB" w14:textId="77777777" w:rsidR="00CD33A6" w:rsidRPr="00D01352" w:rsidRDefault="00CD33A6" w:rsidP="00BE2184">
      <w:pPr>
        <w:numPr>
          <w:ilvl w:val="1"/>
          <w:numId w:val="37"/>
        </w:numPr>
        <w:spacing w:before="100" w:beforeAutospacing="1" w:after="100" w:afterAutospacing="1"/>
        <w:jc w:val="both"/>
        <w:rPr>
          <w:rFonts w:ascii="Calibri Light" w:hAnsi="Calibri Light" w:cs="Calibri Light"/>
          <w:color w:val="2C2D5B"/>
        </w:rPr>
      </w:pPr>
      <w:r w:rsidRPr="00D01352">
        <w:rPr>
          <w:rFonts w:ascii="Calibri Light" w:hAnsi="Calibri Light" w:cs="Calibri Light"/>
          <w:color w:val="2C2D5B"/>
        </w:rPr>
        <w:t>Recognizes the legal right to asylum under EU law and international obligations.</w:t>
      </w:r>
    </w:p>
    <w:p w14:paraId="3E1FDD92" w14:textId="693314BE" w:rsidR="00CD33A6" w:rsidRPr="00D01352" w:rsidRDefault="00CD33A6" w:rsidP="00BE2184">
      <w:pPr>
        <w:numPr>
          <w:ilvl w:val="1"/>
          <w:numId w:val="37"/>
        </w:numPr>
        <w:spacing w:before="100" w:beforeAutospacing="1" w:after="100" w:afterAutospacing="1"/>
        <w:jc w:val="both"/>
        <w:rPr>
          <w:rFonts w:ascii="Calibri Light" w:hAnsi="Calibri Light" w:cs="Calibri Light"/>
          <w:color w:val="2C2D5B"/>
        </w:rPr>
      </w:pPr>
      <w:r w:rsidRPr="00D01352">
        <w:rPr>
          <w:rStyle w:val="Siln"/>
          <w:rFonts w:ascii="Calibri Light" w:hAnsi="Calibri Light" w:cs="Calibri Light"/>
          <w:color w:val="2C2D5B"/>
        </w:rPr>
        <w:t>Practical Relevance</w:t>
      </w:r>
      <w:r w:rsidRPr="00D01352">
        <w:rPr>
          <w:rFonts w:ascii="Calibri Light" w:hAnsi="Calibri Light" w:cs="Calibri Light"/>
          <w:color w:val="2C2D5B"/>
        </w:rPr>
        <w:t>: Commonly invoked in immigration disputes where Member States’ asylum systems or procedures are challenged</w:t>
      </w:r>
      <w:r w:rsidR="00D01352" w:rsidRPr="00D01352">
        <w:rPr>
          <w:rFonts w:ascii="Calibri Light" w:hAnsi="Calibri Light" w:cs="Calibri Light"/>
          <w:color w:val="2C2D5B"/>
        </w:rPr>
        <w:t>.</w:t>
      </w:r>
    </w:p>
    <w:p w14:paraId="678402C1" w14:textId="77777777" w:rsidR="00CD33A6" w:rsidRPr="00BE2184" w:rsidRDefault="00CD33A6" w:rsidP="00BE2184">
      <w:pPr>
        <w:pStyle w:val="Nadpis4"/>
        <w:jc w:val="both"/>
        <w:rPr>
          <w:rFonts w:ascii="Calibri Light" w:hAnsi="Calibri Light" w:cs="Calibri Light"/>
          <w:b/>
          <w:bCs/>
          <w:sz w:val="26"/>
          <w:szCs w:val="26"/>
        </w:rPr>
      </w:pPr>
      <w:r w:rsidRPr="00BE2184">
        <w:rPr>
          <w:rStyle w:val="Siln"/>
          <w:rFonts w:ascii="Calibri Light" w:hAnsi="Calibri Light" w:cs="Calibri Light"/>
          <w:sz w:val="26"/>
          <w:szCs w:val="26"/>
        </w:rPr>
        <w:t>3. Equality</w:t>
      </w:r>
    </w:p>
    <w:p w14:paraId="4E6A8259" w14:textId="67AF9FC7" w:rsidR="00CD33A6" w:rsidRPr="00D01352" w:rsidRDefault="00CD33A6" w:rsidP="00BE2184">
      <w:pPr>
        <w:numPr>
          <w:ilvl w:val="0"/>
          <w:numId w:val="38"/>
        </w:numPr>
        <w:spacing w:before="100" w:beforeAutospacing="1" w:after="100" w:afterAutospacing="1"/>
        <w:jc w:val="both"/>
        <w:rPr>
          <w:rFonts w:ascii="Calibri Light" w:hAnsi="Calibri Light" w:cs="Calibri Light"/>
          <w:color w:val="2C2D5B"/>
        </w:rPr>
      </w:pPr>
      <w:r w:rsidRPr="00D01352">
        <w:rPr>
          <w:rStyle w:val="Siln"/>
          <w:rFonts w:ascii="Calibri Light" w:hAnsi="Calibri Light" w:cs="Calibri Light"/>
          <w:color w:val="2C2D5B"/>
        </w:rPr>
        <w:t>Non-Discrimination (Article 21)</w:t>
      </w:r>
      <w:r w:rsidR="00D01352">
        <w:rPr>
          <w:rStyle w:val="Siln"/>
          <w:rFonts w:ascii="Calibri Light" w:hAnsi="Calibri Light" w:cs="Calibri Light"/>
          <w:color w:val="2C2D5B"/>
        </w:rPr>
        <w:t xml:space="preserve"> </w:t>
      </w:r>
      <w:r w:rsidRPr="00D01352">
        <w:rPr>
          <w:rFonts w:ascii="Calibri Light" w:hAnsi="Calibri Light" w:cs="Calibri Light"/>
          <w:color w:val="2C2D5B"/>
        </w:rPr>
        <w:t>:</w:t>
      </w:r>
    </w:p>
    <w:p w14:paraId="6717812C" w14:textId="77777777" w:rsidR="00CD33A6" w:rsidRPr="00D01352" w:rsidRDefault="00CD33A6" w:rsidP="00BE2184">
      <w:pPr>
        <w:numPr>
          <w:ilvl w:val="1"/>
          <w:numId w:val="38"/>
        </w:numPr>
        <w:spacing w:before="100" w:beforeAutospacing="1" w:after="100" w:afterAutospacing="1"/>
        <w:jc w:val="both"/>
        <w:rPr>
          <w:rFonts w:ascii="Calibri Light" w:hAnsi="Calibri Light" w:cs="Calibri Light"/>
          <w:color w:val="2C2D5B"/>
        </w:rPr>
      </w:pPr>
      <w:r w:rsidRPr="00D01352">
        <w:rPr>
          <w:rFonts w:ascii="Calibri Light" w:hAnsi="Calibri Light" w:cs="Calibri Light"/>
          <w:color w:val="2C2D5B"/>
        </w:rPr>
        <w:t>Prohibits discrimination on grounds such as sex, race, age, disability, or sexual orientation.</w:t>
      </w:r>
    </w:p>
    <w:p w14:paraId="61DE61DA" w14:textId="57917E91" w:rsidR="00CD33A6" w:rsidRPr="00D01352" w:rsidRDefault="00CD33A6" w:rsidP="00BE2184">
      <w:pPr>
        <w:numPr>
          <w:ilvl w:val="0"/>
          <w:numId w:val="38"/>
        </w:numPr>
        <w:spacing w:before="100" w:beforeAutospacing="1" w:after="100" w:afterAutospacing="1"/>
        <w:jc w:val="both"/>
        <w:rPr>
          <w:rFonts w:ascii="Calibri Light" w:hAnsi="Calibri Light" w:cs="Calibri Light"/>
          <w:color w:val="2C2D5B"/>
        </w:rPr>
      </w:pPr>
      <w:r w:rsidRPr="00D01352">
        <w:rPr>
          <w:rStyle w:val="Siln"/>
          <w:rFonts w:ascii="Calibri Light" w:hAnsi="Calibri Light" w:cs="Calibri Light"/>
          <w:color w:val="2C2D5B"/>
        </w:rPr>
        <w:t>Equality Between Men and Women (Article 23)</w:t>
      </w:r>
      <w:r w:rsidR="00D01352">
        <w:rPr>
          <w:rStyle w:val="Siln"/>
          <w:rFonts w:ascii="Calibri Light" w:hAnsi="Calibri Light" w:cs="Calibri Light"/>
          <w:color w:val="2C2D5B"/>
        </w:rPr>
        <w:t xml:space="preserve"> </w:t>
      </w:r>
      <w:r w:rsidRPr="00D01352">
        <w:rPr>
          <w:rFonts w:ascii="Calibri Light" w:hAnsi="Calibri Light" w:cs="Calibri Light"/>
          <w:color w:val="2C2D5B"/>
        </w:rPr>
        <w:t>:</w:t>
      </w:r>
    </w:p>
    <w:p w14:paraId="2B5CDCB6" w14:textId="77777777" w:rsidR="00CD33A6" w:rsidRPr="00D01352" w:rsidRDefault="00CD33A6" w:rsidP="00BE2184">
      <w:pPr>
        <w:numPr>
          <w:ilvl w:val="1"/>
          <w:numId w:val="38"/>
        </w:numPr>
        <w:spacing w:before="100" w:beforeAutospacing="1" w:after="100" w:afterAutospacing="1"/>
        <w:jc w:val="both"/>
        <w:rPr>
          <w:rFonts w:ascii="Calibri Light" w:hAnsi="Calibri Light" w:cs="Calibri Light"/>
          <w:color w:val="2C2D5B"/>
        </w:rPr>
      </w:pPr>
      <w:r w:rsidRPr="00D01352">
        <w:rPr>
          <w:rFonts w:ascii="Calibri Light" w:hAnsi="Calibri Light" w:cs="Calibri Light"/>
          <w:color w:val="2C2D5B"/>
        </w:rPr>
        <w:t xml:space="preserve">Ensures gender equality in all areas, including employment and pay.\n - </w:t>
      </w:r>
      <w:r w:rsidRPr="00D01352">
        <w:rPr>
          <w:rStyle w:val="Siln"/>
          <w:rFonts w:ascii="Calibri Light" w:hAnsi="Calibri Light" w:cs="Calibri Light"/>
          <w:color w:val="2C2D5B"/>
        </w:rPr>
        <w:t>Practical Relevance</w:t>
      </w:r>
      <w:r w:rsidRPr="00D01352">
        <w:rPr>
          <w:rFonts w:ascii="Calibri Light" w:hAnsi="Calibri Light" w:cs="Calibri Light"/>
          <w:color w:val="2C2D5B"/>
        </w:rPr>
        <w:t>: Central in cases challenging unequal pay practices, hiring discrimination, or workplace harassment.</w:t>
      </w:r>
    </w:p>
    <w:p w14:paraId="248BF6E7" w14:textId="03B16263" w:rsidR="00CD33A6" w:rsidRPr="00D01352" w:rsidRDefault="00CD33A6" w:rsidP="00BE2184">
      <w:pPr>
        <w:numPr>
          <w:ilvl w:val="0"/>
          <w:numId w:val="38"/>
        </w:numPr>
        <w:spacing w:before="100" w:beforeAutospacing="1" w:after="100" w:afterAutospacing="1"/>
        <w:jc w:val="both"/>
        <w:rPr>
          <w:rFonts w:ascii="Calibri Light" w:hAnsi="Calibri Light" w:cs="Calibri Light"/>
          <w:color w:val="2C2D5B"/>
        </w:rPr>
      </w:pPr>
      <w:r w:rsidRPr="00D01352">
        <w:rPr>
          <w:rStyle w:val="Siln"/>
          <w:rFonts w:ascii="Calibri Light" w:hAnsi="Calibri Light" w:cs="Calibri Light"/>
          <w:color w:val="2C2D5B"/>
        </w:rPr>
        <w:t>Integration of Persons with Disabilities (Article 26)</w:t>
      </w:r>
      <w:r w:rsidR="00D01352">
        <w:rPr>
          <w:rStyle w:val="Siln"/>
          <w:rFonts w:ascii="Calibri Light" w:hAnsi="Calibri Light" w:cs="Calibri Light"/>
          <w:color w:val="2C2D5B"/>
        </w:rPr>
        <w:t xml:space="preserve"> </w:t>
      </w:r>
      <w:r w:rsidRPr="00D01352">
        <w:rPr>
          <w:rFonts w:ascii="Calibri Light" w:hAnsi="Calibri Light" w:cs="Calibri Light"/>
          <w:color w:val="2C2D5B"/>
        </w:rPr>
        <w:t>:</w:t>
      </w:r>
    </w:p>
    <w:p w14:paraId="288BCC05" w14:textId="77777777" w:rsidR="00CD33A6" w:rsidRPr="00D01352" w:rsidRDefault="00CD33A6" w:rsidP="00BE2184">
      <w:pPr>
        <w:numPr>
          <w:ilvl w:val="1"/>
          <w:numId w:val="38"/>
        </w:numPr>
        <w:spacing w:before="100" w:beforeAutospacing="1" w:after="100" w:afterAutospacing="1"/>
        <w:jc w:val="both"/>
        <w:rPr>
          <w:rFonts w:ascii="Calibri Light" w:hAnsi="Calibri Light" w:cs="Calibri Light"/>
          <w:color w:val="2C2D5B"/>
        </w:rPr>
      </w:pPr>
      <w:r w:rsidRPr="00D01352">
        <w:rPr>
          <w:rFonts w:ascii="Calibri Light" w:hAnsi="Calibri Light" w:cs="Calibri Light"/>
          <w:color w:val="2C2D5B"/>
        </w:rPr>
        <w:t>Guarantees equal opportunities and protection for individuals with disabilities.</w:t>
      </w:r>
    </w:p>
    <w:p w14:paraId="2E6BD669" w14:textId="44C5F77F" w:rsidR="00CD33A6" w:rsidRPr="00D01352" w:rsidRDefault="00CD33A6" w:rsidP="00BE2184">
      <w:pPr>
        <w:numPr>
          <w:ilvl w:val="1"/>
          <w:numId w:val="38"/>
        </w:numPr>
        <w:spacing w:before="100" w:beforeAutospacing="1" w:after="100" w:afterAutospacing="1"/>
        <w:jc w:val="both"/>
        <w:rPr>
          <w:rFonts w:ascii="Calibri Light" w:hAnsi="Calibri Light" w:cs="Calibri Light"/>
          <w:color w:val="2C2D5B"/>
        </w:rPr>
      </w:pPr>
      <w:r w:rsidRPr="00D01352">
        <w:rPr>
          <w:rStyle w:val="Siln"/>
          <w:rFonts w:ascii="Calibri Light" w:hAnsi="Calibri Light" w:cs="Calibri Light"/>
          <w:color w:val="2C2D5B"/>
        </w:rPr>
        <w:t>Practical Relevance</w:t>
      </w:r>
      <w:r w:rsidRPr="00D01352">
        <w:rPr>
          <w:rFonts w:ascii="Calibri Light" w:hAnsi="Calibri Light" w:cs="Calibri Light"/>
          <w:color w:val="2C2D5B"/>
        </w:rPr>
        <w:t>: Often used to challenge inaccessible public services or discriminatory practices in the workplace.</w:t>
      </w:r>
    </w:p>
    <w:p w14:paraId="7A0D3E07" w14:textId="77777777" w:rsidR="00CD33A6" w:rsidRPr="00BE2184" w:rsidRDefault="00CD33A6" w:rsidP="00BE2184">
      <w:pPr>
        <w:pStyle w:val="Nadpis4"/>
        <w:jc w:val="both"/>
        <w:rPr>
          <w:rFonts w:ascii="Calibri Light" w:hAnsi="Calibri Light" w:cs="Calibri Light"/>
          <w:b/>
          <w:bCs/>
          <w:sz w:val="26"/>
          <w:szCs w:val="26"/>
        </w:rPr>
      </w:pPr>
      <w:r w:rsidRPr="00BE2184">
        <w:rPr>
          <w:rStyle w:val="Siln"/>
          <w:rFonts w:ascii="Calibri Light" w:hAnsi="Calibri Light" w:cs="Calibri Light"/>
          <w:sz w:val="26"/>
          <w:szCs w:val="26"/>
        </w:rPr>
        <w:t>4. Solidarity</w:t>
      </w:r>
    </w:p>
    <w:p w14:paraId="6911821C" w14:textId="47181E0C" w:rsidR="00CD33A6" w:rsidRPr="00D01352" w:rsidRDefault="00CD33A6" w:rsidP="00BE2184">
      <w:pPr>
        <w:numPr>
          <w:ilvl w:val="0"/>
          <w:numId w:val="39"/>
        </w:numPr>
        <w:spacing w:before="100" w:beforeAutospacing="1" w:after="100" w:afterAutospacing="1"/>
        <w:jc w:val="both"/>
        <w:rPr>
          <w:rFonts w:ascii="Calibri Light" w:hAnsi="Calibri Light" w:cs="Calibri Light"/>
          <w:color w:val="2C2D5B"/>
        </w:rPr>
      </w:pPr>
      <w:r w:rsidRPr="00D01352">
        <w:rPr>
          <w:rStyle w:val="Siln"/>
          <w:rFonts w:ascii="Calibri Light" w:hAnsi="Calibri Light" w:cs="Calibri Light"/>
          <w:color w:val="2C2D5B"/>
        </w:rPr>
        <w:t>Fair and Just Working Conditions (Article 31)</w:t>
      </w:r>
      <w:r w:rsidRPr="00D01352">
        <w:rPr>
          <w:rFonts w:ascii="Calibri Light" w:hAnsi="Calibri Light" w:cs="Calibri Light"/>
          <w:color w:val="2C2D5B"/>
        </w:rPr>
        <w:t xml:space="preserve"> </w:t>
      </w:r>
      <w:r w:rsidRPr="00D01352">
        <w:rPr>
          <w:rStyle w:val="Zdraznn"/>
          <w:rFonts w:ascii="Calibri Light" w:hAnsi="Calibri Light" w:cs="Calibri Light"/>
          <w:color w:val="2C2D5B"/>
        </w:rPr>
        <w:t>(See Information Sheet on Article 31)</w:t>
      </w:r>
      <w:r w:rsidR="00D01352">
        <w:rPr>
          <w:rStyle w:val="Zdraznn"/>
          <w:rFonts w:ascii="Calibri Light" w:hAnsi="Calibri Light" w:cs="Calibri Light"/>
          <w:color w:val="2C2D5B"/>
        </w:rPr>
        <w:t xml:space="preserve"> </w:t>
      </w:r>
      <w:r w:rsidRPr="00D01352">
        <w:rPr>
          <w:rFonts w:ascii="Calibri Light" w:hAnsi="Calibri Light" w:cs="Calibri Light"/>
          <w:color w:val="2C2D5B"/>
        </w:rPr>
        <w:t>:</w:t>
      </w:r>
    </w:p>
    <w:p w14:paraId="5FB957D8" w14:textId="77777777" w:rsidR="00CD33A6" w:rsidRPr="00D01352" w:rsidRDefault="00CD33A6" w:rsidP="00BE2184">
      <w:pPr>
        <w:numPr>
          <w:ilvl w:val="1"/>
          <w:numId w:val="39"/>
        </w:numPr>
        <w:spacing w:before="100" w:beforeAutospacing="1" w:after="100" w:afterAutospacing="1"/>
        <w:jc w:val="both"/>
        <w:rPr>
          <w:rFonts w:ascii="Calibri Light" w:hAnsi="Calibri Light" w:cs="Calibri Light"/>
          <w:color w:val="2C2D5B"/>
        </w:rPr>
      </w:pPr>
      <w:r w:rsidRPr="00D01352">
        <w:rPr>
          <w:rFonts w:ascii="Calibri Light" w:hAnsi="Calibri Light" w:cs="Calibri Light"/>
          <w:color w:val="2C2D5B"/>
        </w:rPr>
        <w:t>Protects workers’ rights to safe and dignified working conditions.</w:t>
      </w:r>
    </w:p>
    <w:p w14:paraId="17B02E36" w14:textId="4EB9C6DA" w:rsidR="00CD33A6" w:rsidRPr="00D01352" w:rsidRDefault="00CD33A6" w:rsidP="00BE2184">
      <w:pPr>
        <w:numPr>
          <w:ilvl w:val="1"/>
          <w:numId w:val="39"/>
        </w:numPr>
        <w:spacing w:before="100" w:beforeAutospacing="1" w:after="100" w:afterAutospacing="1"/>
        <w:jc w:val="both"/>
        <w:rPr>
          <w:rFonts w:ascii="Calibri Light" w:hAnsi="Calibri Light" w:cs="Calibri Light"/>
          <w:color w:val="2C2D5B"/>
        </w:rPr>
      </w:pPr>
      <w:r w:rsidRPr="00D01352">
        <w:rPr>
          <w:rStyle w:val="Siln"/>
          <w:rFonts w:ascii="Calibri Light" w:hAnsi="Calibri Light" w:cs="Calibri Light"/>
          <w:color w:val="2C2D5B"/>
        </w:rPr>
        <w:t>Practical Relevance</w:t>
      </w:r>
      <w:r w:rsidRPr="00D01352">
        <w:rPr>
          <w:rFonts w:ascii="Calibri Light" w:hAnsi="Calibri Light" w:cs="Calibri Light"/>
          <w:color w:val="2C2D5B"/>
        </w:rPr>
        <w:t>: Frequently invoked in disputes over unpaid overtime, hazardous workplace conditions, or exploitative practices</w:t>
      </w:r>
    </w:p>
    <w:p w14:paraId="5CE981EA" w14:textId="77777777" w:rsidR="00CD33A6" w:rsidRPr="00BE2184" w:rsidRDefault="00CD33A6" w:rsidP="00BE2184">
      <w:pPr>
        <w:pStyle w:val="Nadpis4"/>
        <w:jc w:val="both"/>
        <w:rPr>
          <w:rFonts w:ascii="Calibri Light" w:hAnsi="Calibri Light" w:cs="Calibri Light"/>
          <w:b/>
          <w:bCs/>
          <w:sz w:val="26"/>
          <w:szCs w:val="26"/>
        </w:rPr>
      </w:pPr>
      <w:r w:rsidRPr="00BE2184">
        <w:rPr>
          <w:rStyle w:val="Siln"/>
          <w:rFonts w:ascii="Calibri Light" w:hAnsi="Calibri Light" w:cs="Calibri Light"/>
          <w:sz w:val="26"/>
          <w:szCs w:val="26"/>
        </w:rPr>
        <w:t>5. Citizens’ Rights</w:t>
      </w:r>
    </w:p>
    <w:p w14:paraId="0529E5F9" w14:textId="0345810A" w:rsidR="00CD33A6" w:rsidRPr="00D01352" w:rsidRDefault="00CD33A6" w:rsidP="00BE2184">
      <w:pPr>
        <w:numPr>
          <w:ilvl w:val="0"/>
          <w:numId w:val="40"/>
        </w:numPr>
        <w:spacing w:before="100" w:beforeAutospacing="1" w:after="100" w:afterAutospacing="1"/>
        <w:jc w:val="both"/>
        <w:rPr>
          <w:rFonts w:ascii="Calibri Light" w:hAnsi="Calibri Light" w:cs="Calibri Light"/>
          <w:color w:val="2C2D5B"/>
        </w:rPr>
      </w:pPr>
      <w:r w:rsidRPr="00D01352">
        <w:rPr>
          <w:rStyle w:val="Siln"/>
          <w:rFonts w:ascii="Calibri Light" w:hAnsi="Calibri Light" w:cs="Calibri Light"/>
          <w:color w:val="2C2D5B"/>
        </w:rPr>
        <w:t>Right to Good Administration (Article 41)</w:t>
      </w:r>
      <w:r w:rsidR="00D01352">
        <w:rPr>
          <w:rStyle w:val="Siln"/>
          <w:rFonts w:ascii="Calibri Light" w:hAnsi="Calibri Light" w:cs="Calibri Light"/>
          <w:color w:val="2C2D5B"/>
        </w:rPr>
        <w:t xml:space="preserve"> </w:t>
      </w:r>
      <w:r w:rsidRPr="00D01352">
        <w:rPr>
          <w:rFonts w:ascii="Calibri Light" w:hAnsi="Calibri Light" w:cs="Calibri Light"/>
          <w:color w:val="2C2D5B"/>
        </w:rPr>
        <w:t>:</w:t>
      </w:r>
    </w:p>
    <w:p w14:paraId="33682D84" w14:textId="77777777" w:rsidR="00CD33A6" w:rsidRPr="00D01352" w:rsidRDefault="00CD33A6" w:rsidP="00BE2184">
      <w:pPr>
        <w:numPr>
          <w:ilvl w:val="1"/>
          <w:numId w:val="40"/>
        </w:numPr>
        <w:spacing w:before="100" w:beforeAutospacing="1" w:after="100" w:afterAutospacing="1"/>
        <w:jc w:val="both"/>
        <w:rPr>
          <w:rFonts w:ascii="Calibri Light" w:hAnsi="Calibri Light" w:cs="Calibri Light"/>
          <w:color w:val="2C2D5B"/>
        </w:rPr>
      </w:pPr>
      <w:r w:rsidRPr="00D01352">
        <w:rPr>
          <w:rFonts w:ascii="Calibri Light" w:hAnsi="Calibri Light" w:cs="Calibri Light"/>
          <w:color w:val="2C2D5B"/>
        </w:rPr>
        <w:t xml:space="preserve">Ensures transparency, fairness, and accountability in administrative actions by EU institutions.\n - </w:t>
      </w:r>
      <w:r w:rsidRPr="00D01352">
        <w:rPr>
          <w:rStyle w:val="Siln"/>
          <w:rFonts w:ascii="Calibri Light" w:hAnsi="Calibri Light" w:cs="Calibri Light"/>
          <w:color w:val="2C2D5B"/>
        </w:rPr>
        <w:t>Practical Relevance</w:t>
      </w:r>
      <w:r w:rsidRPr="00D01352">
        <w:rPr>
          <w:rFonts w:ascii="Calibri Light" w:hAnsi="Calibri Light" w:cs="Calibri Light"/>
          <w:color w:val="2C2D5B"/>
        </w:rPr>
        <w:t>: Frequently used in cases challenging decisions made by EU bodies or institutions.</w:t>
      </w:r>
    </w:p>
    <w:p w14:paraId="3EA6F34D" w14:textId="1C740579" w:rsidR="00CD33A6" w:rsidRPr="00D01352" w:rsidRDefault="00CD33A6" w:rsidP="00BE2184">
      <w:pPr>
        <w:numPr>
          <w:ilvl w:val="0"/>
          <w:numId w:val="40"/>
        </w:numPr>
        <w:spacing w:before="100" w:beforeAutospacing="1" w:after="100" w:afterAutospacing="1"/>
        <w:jc w:val="both"/>
        <w:rPr>
          <w:rFonts w:ascii="Calibri Light" w:hAnsi="Calibri Light" w:cs="Calibri Light"/>
          <w:color w:val="2C2D5B"/>
        </w:rPr>
      </w:pPr>
      <w:r w:rsidRPr="00D01352">
        <w:rPr>
          <w:rStyle w:val="Siln"/>
          <w:rFonts w:ascii="Calibri Light" w:hAnsi="Calibri Light" w:cs="Calibri Light"/>
          <w:color w:val="2C2D5B"/>
        </w:rPr>
        <w:t>Right to Petition the European Parliament (Article 44)</w:t>
      </w:r>
      <w:r w:rsidR="00D01352">
        <w:rPr>
          <w:rStyle w:val="Siln"/>
          <w:rFonts w:ascii="Calibri Light" w:hAnsi="Calibri Light" w:cs="Calibri Light"/>
          <w:color w:val="2C2D5B"/>
        </w:rPr>
        <w:t xml:space="preserve"> </w:t>
      </w:r>
      <w:r w:rsidRPr="00D01352">
        <w:rPr>
          <w:rFonts w:ascii="Calibri Light" w:hAnsi="Calibri Light" w:cs="Calibri Light"/>
          <w:color w:val="2C2D5B"/>
        </w:rPr>
        <w:t>:</w:t>
      </w:r>
    </w:p>
    <w:p w14:paraId="35AC79C8" w14:textId="6522DD59" w:rsidR="00DA0751" w:rsidRDefault="00CD33A6" w:rsidP="00DA0751">
      <w:pPr>
        <w:numPr>
          <w:ilvl w:val="1"/>
          <w:numId w:val="40"/>
        </w:numPr>
        <w:spacing w:before="100" w:beforeAutospacing="1" w:after="100" w:afterAutospacing="1"/>
        <w:jc w:val="both"/>
        <w:rPr>
          <w:rFonts w:ascii="Calibri Light" w:hAnsi="Calibri Light" w:cs="Calibri Light"/>
          <w:color w:val="2C2D5B"/>
        </w:rPr>
      </w:pPr>
      <w:r w:rsidRPr="00D01352">
        <w:rPr>
          <w:rFonts w:ascii="Calibri Light" w:hAnsi="Calibri Light" w:cs="Calibri Light"/>
          <w:color w:val="2C2D5B"/>
        </w:rPr>
        <w:t>Grants individuals the right to address grievances directly to the EU legislature.</w:t>
      </w:r>
    </w:p>
    <w:p w14:paraId="573967A6" w14:textId="77777777" w:rsidR="00D01352" w:rsidRDefault="00D01352" w:rsidP="00D01352">
      <w:pPr>
        <w:spacing w:before="100" w:beforeAutospacing="1" w:after="100" w:afterAutospacing="1"/>
        <w:jc w:val="both"/>
        <w:rPr>
          <w:rFonts w:ascii="Calibri Light" w:hAnsi="Calibri Light" w:cs="Calibri Light"/>
          <w:color w:val="2C2D5B"/>
        </w:rPr>
      </w:pPr>
    </w:p>
    <w:p w14:paraId="4B768076" w14:textId="77777777" w:rsidR="00D01352" w:rsidRDefault="00D01352" w:rsidP="00D01352">
      <w:pPr>
        <w:spacing w:before="100" w:beforeAutospacing="1" w:after="100" w:afterAutospacing="1"/>
        <w:jc w:val="both"/>
        <w:rPr>
          <w:rFonts w:ascii="Calibri Light" w:hAnsi="Calibri Light" w:cs="Calibri Light"/>
          <w:color w:val="2C2D5B"/>
        </w:rPr>
      </w:pPr>
    </w:p>
    <w:p w14:paraId="3A5E74E6" w14:textId="77777777" w:rsidR="00D01352" w:rsidRDefault="00D01352" w:rsidP="00D01352">
      <w:pPr>
        <w:spacing w:before="100" w:beforeAutospacing="1" w:after="100" w:afterAutospacing="1"/>
        <w:jc w:val="both"/>
        <w:rPr>
          <w:rFonts w:ascii="Calibri Light" w:hAnsi="Calibri Light" w:cs="Calibri Light"/>
          <w:color w:val="2C2D5B"/>
        </w:rPr>
      </w:pPr>
    </w:p>
    <w:p w14:paraId="1E6FC63C" w14:textId="77777777" w:rsidR="00D01352" w:rsidRDefault="00D01352" w:rsidP="00D01352">
      <w:pPr>
        <w:spacing w:before="100" w:beforeAutospacing="1" w:after="100" w:afterAutospacing="1"/>
        <w:jc w:val="both"/>
        <w:rPr>
          <w:rFonts w:ascii="Calibri Light" w:hAnsi="Calibri Light" w:cs="Calibri Light"/>
          <w:color w:val="2C2D5B"/>
        </w:rPr>
      </w:pPr>
    </w:p>
    <w:p w14:paraId="5199164C" w14:textId="77777777" w:rsidR="00D01352" w:rsidRDefault="00D01352" w:rsidP="00D01352">
      <w:pPr>
        <w:spacing w:before="100" w:beforeAutospacing="1" w:after="100" w:afterAutospacing="1"/>
        <w:jc w:val="both"/>
        <w:rPr>
          <w:rFonts w:ascii="Calibri Light" w:hAnsi="Calibri Light" w:cs="Calibri Light"/>
          <w:color w:val="2C2D5B"/>
        </w:rPr>
      </w:pPr>
    </w:p>
    <w:p w14:paraId="17E3E191" w14:textId="77777777" w:rsidR="00D01352" w:rsidRPr="00D01352" w:rsidRDefault="00D01352" w:rsidP="00D01352">
      <w:pPr>
        <w:spacing w:before="100" w:beforeAutospacing="1" w:after="100" w:afterAutospacing="1"/>
        <w:jc w:val="both"/>
        <w:rPr>
          <w:rStyle w:val="Siln"/>
          <w:rFonts w:ascii="Calibri Light" w:hAnsi="Calibri Light" w:cs="Calibri Light"/>
          <w:b w:val="0"/>
          <w:bCs w:val="0"/>
          <w:color w:val="2C2D5B"/>
        </w:rPr>
      </w:pPr>
    </w:p>
    <w:p w14:paraId="72E06549" w14:textId="286B4115" w:rsidR="00CD33A6" w:rsidRPr="00BE2184" w:rsidRDefault="00CD33A6" w:rsidP="00BE2184">
      <w:pPr>
        <w:pStyle w:val="Nadpis4"/>
        <w:jc w:val="both"/>
        <w:rPr>
          <w:rFonts w:ascii="Calibri Light" w:hAnsi="Calibri Light" w:cs="Calibri Light"/>
          <w:b/>
          <w:bCs/>
          <w:sz w:val="26"/>
          <w:szCs w:val="26"/>
        </w:rPr>
      </w:pPr>
      <w:r w:rsidRPr="00BE2184">
        <w:rPr>
          <w:rStyle w:val="Siln"/>
          <w:rFonts w:ascii="Calibri Light" w:hAnsi="Calibri Light" w:cs="Calibri Light"/>
          <w:sz w:val="26"/>
          <w:szCs w:val="26"/>
        </w:rPr>
        <w:t>6. Justice</w:t>
      </w:r>
    </w:p>
    <w:p w14:paraId="259A9A88" w14:textId="2A02A636" w:rsidR="00CD33A6" w:rsidRPr="00D01352" w:rsidRDefault="00CD33A6" w:rsidP="00BE2184">
      <w:pPr>
        <w:numPr>
          <w:ilvl w:val="0"/>
          <w:numId w:val="41"/>
        </w:numPr>
        <w:spacing w:before="100" w:beforeAutospacing="1" w:after="100" w:afterAutospacing="1"/>
        <w:jc w:val="both"/>
        <w:rPr>
          <w:rFonts w:ascii="Calibri Light" w:hAnsi="Calibri Light" w:cs="Calibri Light"/>
          <w:color w:val="2C2D5B"/>
        </w:rPr>
      </w:pPr>
      <w:r w:rsidRPr="00D01352">
        <w:rPr>
          <w:rStyle w:val="Siln"/>
          <w:rFonts w:ascii="Calibri Light" w:hAnsi="Calibri Light" w:cs="Calibri Light"/>
          <w:color w:val="2C2D5B"/>
        </w:rPr>
        <w:t>Right to an Effective Remedy and a Fair Trial (Article 47)</w:t>
      </w:r>
      <w:r w:rsidRPr="00D01352">
        <w:rPr>
          <w:rFonts w:ascii="Calibri Light" w:hAnsi="Calibri Light" w:cs="Calibri Light"/>
          <w:color w:val="2C2D5B"/>
        </w:rPr>
        <w:t xml:space="preserve"> </w:t>
      </w:r>
      <w:r w:rsidRPr="00D01352">
        <w:rPr>
          <w:rStyle w:val="Zdraznn"/>
          <w:rFonts w:ascii="Calibri Light" w:hAnsi="Calibri Light" w:cs="Calibri Light"/>
          <w:color w:val="2C2D5B"/>
        </w:rPr>
        <w:t>(See Information Sheet on Article 47)</w:t>
      </w:r>
      <w:r w:rsidR="00D01352" w:rsidRPr="00D01352">
        <w:rPr>
          <w:rStyle w:val="Zdraznn"/>
          <w:rFonts w:ascii="Calibri Light" w:hAnsi="Calibri Light" w:cs="Calibri Light"/>
          <w:color w:val="2C2D5B"/>
        </w:rPr>
        <w:t xml:space="preserve"> </w:t>
      </w:r>
      <w:r w:rsidRPr="00D01352">
        <w:rPr>
          <w:rFonts w:ascii="Calibri Light" w:hAnsi="Calibri Light" w:cs="Calibri Light"/>
          <w:color w:val="2C2D5B"/>
        </w:rPr>
        <w:t>:</w:t>
      </w:r>
    </w:p>
    <w:p w14:paraId="4D9B7529" w14:textId="0C082671" w:rsidR="00447E92" w:rsidRPr="00D01352" w:rsidRDefault="00CD33A6" w:rsidP="006670A9">
      <w:pPr>
        <w:numPr>
          <w:ilvl w:val="1"/>
          <w:numId w:val="41"/>
        </w:numPr>
        <w:spacing w:before="100" w:beforeAutospacing="1" w:after="100" w:afterAutospacing="1"/>
        <w:jc w:val="both"/>
        <w:rPr>
          <w:rFonts w:ascii="Calibri Light" w:hAnsi="Calibri Light" w:cs="Calibri Light"/>
          <w:color w:val="2C2D5B"/>
        </w:rPr>
      </w:pPr>
      <w:r w:rsidRPr="00D01352">
        <w:rPr>
          <w:rFonts w:ascii="Calibri Light" w:hAnsi="Calibri Light" w:cs="Calibri Light"/>
          <w:color w:val="2C2D5B"/>
        </w:rPr>
        <w:t>Guarantees access to an independent and impartial tribunal to challenge violations of EU law.</w:t>
      </w:r>
    </w:p>
    <w:p w14:paraId="09AE42A4" w14:textId="1C51412F" w:rsidR="00CD33A6" w:rsidRPr="00D01352" w:rsidRDefault="00CD33A6" w:rsidP="00BE2184">
      <w:pPr>
        <w:numPr>
          <w:ilvl w:val="0"/>
          <w:numId w:val="41"/>
        </w:numPr>
        <w:spacing w:before="100" w:beforeAutospacing="1" w:after="100" w:afterAutospacing="1"/>
        <w:jc w:val="both"/>
        <w:rPr>
          <w:rFonts w:ascii="Calibri Light" w:hAnsi="Calibri Light" w:cs="Calibri Light"/>
          <w:color w:val="2C2D5B"/>
        </w:rPr>
      </w:pPr>
      <w:r w:rsidRPr="00D01352">
        <w:rPr>
          <w:rStyle w:val="Siln"/>
          <w:rFonts w:ascii="Calibri Light" w:hAnsi="Calibri Light" w:cs="Calibri Light"/>
          <w:color w:val="2C2D5B"/>
        </w:rPr>
        <w:t>Presumption of Innocence and Right of Defense (Article 48)</w:t>
      </w:r>
      <w:r w:rsidR="00D01352" w:rsidRPr="00D01352">
        <w:rPr>
          <w:rStyle w:val="Siln"/>
          <w:rFonts w:ascii="Calibri Light" w:hAnsi="Calibri Light" w:cs="Calibri Light"/>
          <w:color w:val="2C2D5B"/>
        </w:rPr>
        <w:t xml:space="preserve"> </w:t>
      </w:r>
      <w:r w:rsidRPr="00D01352">
        <w:rPr>
          <w:rFonts w:ascii="Calibri Light" w:hAnsi="Calibri Light" w:cs="Calibri Light"/>
          <w:color w:val="2C2D5B"/>
        </w:rPr>
        <w:t>:</w:t>
      </w:r>
    </w:p>
    <w:p w14:paraId="7D3F5295" w14:textId="77777777" w:rsidR="00CD33A6" w:rsidRPr="00D01352" w:rsidRDefault="00CD33A6" w:rsidP="00BE2184">
      <w:pPr>
        <w:numPr>
          <w:ilvl w:val="1"/>
          <w:numId w:val="41"/>
        </w:numPr>
        <w:spacing w:before="100" w:beforeAutospacing="1" w:after="100" w:afterAutospacing="1"/>
        <w:jc w:val="both"/>
        <w:rPr>
          <w:rFonts w:ascii="Calibri Light" w:hAnsi="Calibri Light" w:cs="Calibri Light"/>
          <w:color w:val="2C2D5B"/>
        </w:rPr>
      </w:pPr>
      <w:r w:rsidRPr="00D01352">
        <w:rPr>
          <w:rFonts w:ascii="Calibri Light" w:hAnsi="Calibri Light" w:cs="Calibri Light"/>
          <w:color w:val="2C2D5B"/>
        </w:rPr>
        <w:t>Ensures fairness and due process in criminal proceedings.</w:t>
      </w:r>
    </w:p>
    <w:p w14:paraId="220FAE4B" w14:textId="5034E122" w:rsidR="00924666" w:rsidRPr="00A03993" w:rsidRDefault="00CD33A6" w:rsidP="00A03993">
      <w:pPr>
        <w:numPr>
          <w:ilvl w:val="1"/>
          <w:numId w:val="41"/>
        </w:numPr>
        <w:spacing w:before="100" w:beforeAutospacing="1" w:after="100" w:afterAutospacing="1"/>
        <w:jc w:val="both"/>
        <w:rPr>
          <w:rFonts w:ascii="Calibri Light" w:hAnsi="Calibri Light" w:cs="Calibri Light"/>
        </w:rPr>
      </w:pPr>
      <w:r w:rsidRPr="00D01352">
        <w:rPr>
          <w:rStyle w:val="Siln"/>
          <w:rFonts w:ascii="Calibri Light" w:hAnsi="Calibri Light" w:cs="Calibri Light"/>
          <w:color w:val="2C2D5B"/>
        </w:rPr>
        <w:t>Practical Relevance</w:t>
      </w:r>
      <w:r w:rsidRPr="00D01352">
        <w:rPr>
          <w:rFonts w:ascii="Calibri Light" w:hAnsi="Calibri Light" w:cs="Calibri Light"/>
          <w:color w:val="2C2D5B"/>
        </w:rPr>
        <w:t>: Central to defending individuals in high-stakes investigations or trials</w:t>
      </w:r>
      <w:r w:rsidR="00D01352" w:rsidRPr="00D01352">
        <w:rPr>
          <w:rFonts w:ascii="Calibri Light" w:hAnsi="Calibri Light" w:cs="Calibri Light"/>
          <w:color w:val="2C2D5B"/>
        </w:rPr>
        <w:t>.</w:t>
      </w:r>
      <w:r w:rsidR="00F87908">
        <w:rPr>
          <w:rFonts w:ascii="Calibri Light" w:hAnsi="Calibri Light" w:cs="Calibri Light"/>
        </w:rPr>
        <w:br w:type="page"/>
      </w:r>
    </w:p>
    <w:p w14:paraId="6B2D04E3" w14:textId="18D3AD89" w:rsidR="00CC5F07" w:rsidRPr="005A6959" w:rsidRDefault="000272BD" w:rsidP="000272BD">
      <w:pPr>
        <w:pStyle w:val="Odstavecseseznamem"/>
        <w:numPr>
          <w:ilvl w:val="0"/>
          <w:numId w:val="4"/>
        </w:numPr>
        <w:spacing w:after="120" w:line="276" w:lineRule="auto"/>
        <w:ind w:left="709" w:hanging="1004"/>
        <w:jc w:val="both"/>
        <w:rPr>
          <w:rFonts w:ascii="Calibri" w:hAnsi="Calibri" w:cs="Calibri"/>
          <w:b/>
          <w:bCs/>
          <w:vanish/>
        </w:rPr>
      </w:pPr>
      <w:r w:rsidRPr="00AA300E">
        <w:rPr>
          <w:rFonts w:ascii="Calibri" w:hAnsi="Calibri" w:cs="Calibri"/>
          <w:b/>
          <w:bCs/>
          <w:noProof/>
          <w:color w:val="FFFFFF" w:themeColor="background1"/>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Contextual"/>
        </w:rPr>
        <w:lastRenderedPageBreak/>
        <mc:AlternateContent>
          <mc:Choice Requires="wps">
            <w:drawing>
              <wp:anchor distT="0" distB="0" distL="114300" distR="114300" simplePos="0" relativeHeight="251841536" behindDoc="0" locked="0" layoutInCell="1" allowOverlap="1" wp14:anchorId="2AFEF0C2" wp14:editId="3D85DEAC">
                <wp:simplePos x="0" y="0"/>
                <wp:positionH relativeFrom="column">
                  <wp:posOffset>491842</wp:posOffset>
                </wp:positionH>
                <wp:positionV relativeFrom="paragraph">
                  <wp:posOffset>467995</wp:posOffset>
                </wp:positionV>
                <wp:extent cx="586740" cy="45085"/>
                <wp:effectExtent l="38100" t="38100" r="60960" b="88265"/>
                <wp:wrapNone/>
                <wp:docPr id="604714548" name="Rectangle 63"/>
                <wp:cNvGraphicFramePr/>
                <a:graphic xmlns:a="http://schemas.openxmlformats.org/drawingml/2006/main">
                  <a:graphicData uri="http://schemas.microsoft.com/office/word/2010/wordprocessingShape">
                    <wps:wsp>
                      <wps:cNvSpPr/>
                      <wps:spPr>
                        <a:xfrm>
                          <a:off x="0" y="0"/>
                          <a:ext cx="586740" cy="45085"/>
                        </a:xfrm>
                        <a:prstGeom prst="rect">
                          <a:avLst/>
                        </a:prstGeom>
                        <a:solidFill>
                          <a:srgbClr val="B6A04C"/>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BBDE310" id="Rectangle 63" o:spid="_x0000_s1026" style="position:absolute;margin-left:38.75pt;margin-top:36.85pt;width:46.2pt;height:3.55pt;z-index:251841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xMk0wIAABIGAAAOAAAAZHJzL2Uyb0RvYy54bWysVFFv2jAQfp+0/2D5fU1g0DLUUDGqTpOq&#10;FpVOfTaOQ6w5tmcbAvv1u7NDYG2fpvFgfPHdd9999t31zb5RZCecl0YXdHCRUyI0N6XUm4L+eL77&#10;NKHEB6ZLpowWBT0IT29mHz9ct3YqhqY2qhSOAIj209YWtA7BTrPM81o0zF8YKzQcVsY1LIDpNlnp&#10;WAvojcqGeX6ZtcaV1hkuvIevt+mQziJ+VQkeHqvKi0BUQYFbiKuL6xrXbHbNphvHbC15R4P9A4uG&#10;SQ1Je6hbFhjZOvkGqpHcGW+qcMFNk5mqklzEGqCaQf6qmlXNrIi1gDje9jL5/wfLH3Yru3QgQ2v9&#10;1MMWq9hXrsF/4Ef2UaxDL5bYB8Lh43hyeTUCSTkcjcb5ZIxaZqdY63z4JkxDcFNQB1cRFWK7ex+S&#10;69EFU3mjZHknlYqG26wXypEdg2v7ejnPR4sO/S83pdFZGwxLiOmLiBcPaWIN2yDcqi5bslZb98RK&#10;oJ5PcmBeSiT2eTJIBryK4VWOP0qY2sBzDooSZ8KLDHW8CtQAIZF3T2+tGP+ZKlO2ZonzKMKcqgTv&#10;KI45konWGc/sJH/chYMSmErpJ1ERWYLgw5gkdoboszPOhQ6DdFSzUqT8gzGWkfL3ETFnBETkCkTr&#10;sTsA7Lq32Amm88fQxLsPTqL0aRKDI7EU3EfEzEaHPriR2rj3KlNQVZc5+QP9M2lwuzblYenwiuIb&#10;9ZbfSbiae+bDkjnoY7hJmE3hEZZKmbagpttRUhv3+73v6A/tBaeUtDAXCup/bZkTlKjvGhrvy2CE&#10;rz5EYzS+GoLhzk/W5yd62ywMvOEBTEHL4xb9gzpuK2eaFxhhc8wKR0xzyF1QHtzRWIQ0r2AIcjGf&#10;RzcYHpaFe72yHMFRVXyUz/sX5mzXcQE69cEcZwibvmq85IuR2sy3wVQyduVJ105vGDzx4XRDEifb&#10;uR29TqN89gcAAP//AwBQSwMEFAAGAAgAAAAhAJLrzM7bAAAACAEAAA8AAABkcnMvZG93bnJldi54&#10;bWxMj81ugzAQhO+V8g7WRuqtsfMLoZioaoR6TtIH2OAtoOI1wk6gb1/n1J5GqxnNfJsfJtuJOw2+&#10;daxhuVAgiCtnWq41fF7KlxSED8gGO8ek4Yc8HIrZU46ZcSOf6H4OtYgl7DPU0ITQZ1L6qiGLfuF6&#10;4uh9ucFiiOdQSzPgGMttJ1dK7aTFluNCgz29N1R9n29Ww8e4KY2qNtLSOjmFMj1uS3PU+nk+vb2C&#10;CDSFvzA88CM6FJHp6m5svOg0JMk2JqOuExAPf7ffg7hqSFUKssjl/weKXwAAAP//AwBQSwECLQAU&#10;AAYACAAAACEAtoM4kv4AAADhAQAAEwAAAAAAAAAAAAAAAAAAAAAAW0NvbnRlbnRfVHlwZXNdLnht&#10;bFBLAQItABQABgAIAAAAIQA4/SH/1gAAAJQBAAALAAAAAAAAAAAAAAAAAC8BAABfcmVscy8ucmVs&#10;c1BLAQItABQABgAIAAAAIQCvgxMk0wIAABIGAAAOAAAAAAAAAAAAAAAAAC4CAABkcnMvZTJvRG9j&#10;LnhtbFBLAQItABQABgAIAAAAIQCS68zO2wAAAAgBAAAPAAAAAAAAAAAAAAAAAC0FAABkcnMvZG93&#10;bnJldi54bWxQSwUGAAAAAAQABADzAAAANQYAAAAA&#10;" fillcolor="#b6a04c" stroked="f" strokeweight="1pt">
                <v:shadow on="t" color="black" opacity="26214f" origin="-.5,-.5" offset=".74836mm,.74836mm"/>
              </v:rect>
            </w:pict>
          </mc:Fallback>
        </mc:AlternateContent>
      </w:r>
    </w:p>
    <w:p w14:paraId="526A1D86" w14:textId="77777777" w:rsidR="00CC5F07" w:rsidRPr="005A6959" w:rsidRDefault="00CC5F07" w:rsidP="008B4B98">
      <w:pPr>
        <w:pStyle w:val="Odstavecseseznamem"/>
        <w:numPr>
          <w:ilvl w:val="0"/>
          <w:numId w:val="4"/>
        </w:numPr>
        <w:spacing w:after="120" w:line="276" w:lineRule="auto"/>
        <w:jc w:val="both"/>
        <w:rPr>
          <w:rFonts w:ascii="Calibri" w:hAnsi="Calibri" w:cs="Calibri"/>
          <w:b/>
          <w:bCs/>
          <w:vanish/>
        </w:rPr>
      </w:pPr>
    </w:p>
    <w:p w14:paraId="1E61759D" w14:textId="03D164B0" w:rsidR="00D3423A" w:rsidRPr="00A03993" w:rsidRDefault="00253E61" w:rsidP="00152D6A">
      <w:pPr>
        <w:pStyle w:val="Nadpis1"/>
        <w:numPr>
          <w:ilvl w:val="0"/>
          <w:numId w:val="48"/>
        </w:numPr>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bookmarkStart w:id="8" w:name="_Toc188457867"/>
      <w:r w:rsidRPr="00A03993">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Applying the Charter : scope, principles and limitations</w:t>
      </w:r>
      <w:bookmarkEnd w:id="8"/>
    </w:p>
    <w:p w14:paraId="1AD7088A" w14:textId="0BB518D2" w:rsidR="00CB0240" w:rsidRPr="00CB0240" w:rsidRDefault="00CB0240" w:rsidP="00447E92">
      <w:pPr>
        <w:spacing w:before="100" w:beforeAutospacing="1" w:after="100" w:afterAutospacing="1"/>
        <w:jc w:val="both"/>
        <w:outlineLvl w:val="3"/>
        <w:rPr>
          <w:rFonts w:asciiTheme="majorHAnsi" w:hAnsiTheme="majorHAnsi" w:cstheme="majorHAnsi"/>
          <w:b/>
          <w:bCs/>
          <w:i/>
          <w:iCs/>
          <w:color w:val="2F5496" w:themeColor="accent1" w:themeShade="BF"/>
          <w:sz w:val="10"/>
          <w:szCs w:val="10"/>
          <w:lang w:eastAsia="fr-FR"/>
        </w:rPr>
      </w:pPr>
      <w:r w:rsidRPr="00AC4EAF">
        <w:rPr>
          <w:rStyle w:val="Siln"/>
          <w:rFonts w:ascii="Calibri Light" w:hAnsi="Calibri Light" w:cs="Calibri Light"/>
          <w:noProof/>
          <w:sz w:val="26"/>
          <w:szCs w:val="26"/>
        </w:rPr>
        <w:drawing>
          <wp:anchor distT="0" distB="0" distL="114300" distR="114300" simplePos="0" relativeHeight="251891712" behindDoc="0" locked="0" layoutInCell="1" allowOverlap="1" wp14:anchorId="246C4E78" wp14:editId="4E45A895">
            <wp:simplePos x="0" y="0"/>
            <wp:positionH relativeFrom="column">
              <wp:posOffset>1494155</wp:posOffset>
            </wp:positionH>
            <wp:positionV relativeFrom="paragraph">
              <wp:posOffset>20461</wp:posOffset>
            </wp:positionV>
            <wp:extent cx="676910" cy="646430"/>
            <wp:effectExtent l="0" t="0" r="8890" b="1270"/>
            <wp:wrapNone/>
            <wp:docPr id="907045675" name="Image 1" descr="Une image contenant croquis, clipart, dessin humoristique, Dessin d’enf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187443" name="Image 1" descr="Une image contenant croquis, clipart, dessin humoristique, Dessin d’enfant&#10;&#10;Description générée automatiquement"/>
                    <pic:cNvPicPr/>
                  </pic:nvPicPr>
                  <pic:blipFill>
                    <a:blip r:embed="rId12">
                      <a:extLst>
                        <a:ext uri="{28A0092B-C50C-407E-A947-70E740481C1C}">
                          <a14:useLocalDpi xmlns:a14="http://schemas.microsoft.com/office/drawing/2010/main" val="0"/>
                        </a:ext>
                      </a:extLst>
                    </a:blip>
                    <a:stretch>
                      <a:fillRect/>
                    </a:stretch>
                  </pic:blipFill>
                  <pic:spPr>
                    <a:xfrm>
                      <a:off x="0" y="0"/>
                      <a:ext cx="676910" cy="646430"/>
                    </a:xfrm>
                    <a:prstGeom prst="rect">
                      <a:avLst/>
                    </a:prstGeom>
                  </pic:spPr>
                </pic:pic>
              </a:graphicData>
            </a:graphic>
            <wp14:sizeRelH relativeFrom="page">
              <wp14:pctWidth>0</wp14:pctWidth>
            </wp14:sizeRelH>
            <wp14:sizeRelV relativeFrom="page">
              <wp14:pctHeight>0</wp14:pctHeight>
            </wp14:sizeRelV>
          </wp:anchor>
        </w:drawing>
      </w:r>
      <w:r>
        <w:rPr>
          <w:rFonts w:ascii="Calibri Light" w:hAnsi="Calibri Light" w:cs="Calibri Light"/>
          <w:b/>
          <w:bCs/>
          <w:noProof/>
          <w:sz w:val="26"/>
          <w:szCs w:val="26"/>
          <w14:ligatures w14:val="standardContextual"/>
        </w:rPr>
        <mc:AlternateContent>
          <mc:Choice Requires="wps">
            <w:drawing>
              <wp:anchor distT="0" distB="0" distL="114300" distR="114300" simplePos="0" relativeHeight="251880448" behindDoc="1" locked="0" layoutInCell="1" allowOverlap="1" wp14:anchorId="78DAD90E" wp14:editId="6A7E8345">
                <wp:simplePos x="0" y="0"/>
                <wp:positionH relativeFrom="column">
                  <wp:posOffset>14887</wp:posOffset>
                </wp:positionH>
                <wp:positionV relativeFrom="paragraph">
                  <wp:posOffset>354753</wp:posOffset>
                </wp:positionV>
                <wp:extent cx="2155755" cy="361245"/>
                <wp:effectExtent l="0" t="0" r="0" b="1270"/>
                <wp:wrapNone/>
                <wp:docPr id="1842875689" name="Ellipse 66"/>
                <wp:cNvGraphicFramePr/>
                <a:graphic xmlns:a="http://schemas.openxmlformats.org/drawingml/2006/main">
                  <a:graphicData uri="http://schemas.microsoft.com/office/word/2010/wordprocessingShape">
                    <wps:wsp>
                      <wps:cNvSpPr/>
                      <wps:spPr>
                        <a:xfrm>
                          <a:off x="0" y="0"/>
                          <a:ext cx="2155755" cy="361245"/>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A6EE24D" id="Ellipse 66" o:spid="_x0000_s1026" style="position:absolute;margin-left:1.15pt;margin-top:27.95pt;width:169.75pt;height:28.45pt;z-index:-25143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pmrfAIAAGEFAAAOAAAAZHJzL2Uyb0RvYy54bWysVE1v2zAMvQ/YfxB0X21ncbsFdYogRYYB&#10;RVu0HXpWZCkWIIuapMTJfv0o2XHatdhh2EUWRfLxw4+8vNq3muyE8wpMRYuznBJhONTKbCr642n1&#10;6QslPjBTMw1GVPQgPL2af/xw2dmZmEADuhaOIIjxs85WtAnBzrLM80a0zJ+BFQaVElzLAopuk9WO&#10;dYje6myS5+dZB662DrjwHl+veyWdJ3wpBQ93UnoRiK4o5hbS6dK5jmc2v2SzjWO2UXxIg/1DFi1T&#10;BoOOUNcsMLJ16g1Uq7gDDzKccWgzkFJxkWrAaor8j2oeG2ZFqgWb4+3YJv//YPnt7tHeO2xDZ/3M&#10;4zVWsZeujV/Mj+xTsw5js8Q+EI6Pk6IsL8qSEo66z+fFZFrGbmYnb+t8+CagJfFSUaG1sj7Ww2Zs&#10;d+NDb320is8etKpXSuskRA6IpXZkx/DvrTfFgP/KSptoayB69YDxJTtVk27hoEW00+ZBSKLqmH9K&#10;JBHtFIRxLkwoelXDatHHLso8T1zB6kaPVGsCjMgS44/YA8DrAo7YfZaDfXQViaejc/63xHrn0SNF&#10;BhNG51YZcO8BaKxqiNzbH5vUtyZ2aQ314d4RB/2UeMtXCv/cDfPhnjkcCxwgHPVwh4fU0FUUhhsl&#10;Dbhf771He2QrainpcMwq6n9umROU6O8Gefy1mE7jXCZhWl5MUHAvNeuXGrNtl4BcKHCpWJ6u0T7o&#10;41U6aJ9xIyxiVFQxwzF2RXlwR2EZ+vHHncLFYpHMcBYtCzfm0fIIHrsaafm0f2bODvQNSPxbOI7k&#10;Gwr3ttHTwGIbQKrE71Nfh37jHCfiDDsnLoqXcrI6bcb5bwAAAP//AwBQSwMEFAAGAAgAAAAhAN9H&#10;Nr3gAAAACAEAAA8AAABkcnMvZG93bnJldi54bWxMj8tOwzAQRfdI/IM1SOyo8yCoDXEqxGtTHmpA&#10;QuzceEiixuModpvw9wwrWI7u0Z1zi/Vse3HE0XeOFMSLCARS7UxHjYL3t4eLJQgfNBndO0IF3+hh&#10;XZ6eFDo3bqItHqvQCC4hn2sFbQhDLqWvW7TaL9yAxNmXG60OfI6NNKOeuNz2MomiK2l1R/yh1QPe&#10;tljvq4NV8PTxsk/H7PHu9fl+M1VRmnXV5lOp87P55hpEwDn8wfCrz+pQstPOHch40StIUgYVZNkK&#10;BMfpZcxLdszFyRJkWcj/A8ofAAAA//8DAFBLAQItABQABgAIAAAAIQC2gziS/gAAAOEBAAATAAAA&#10;AAAAAAAAAAAAAAAAAABbQ29udGVudF9UeXBlc10ueG1sUEsBAi0AFAAGAAgAAAAhADj9If/WAAAA&#10;lAEAAAsAAAAAAAAAAAAAAAAALwEAAF9yZWxzLy5yZWxzUEsBAi0AFAAGAAgAAAAhAI62mat8AgAA&#10;YQUAAA4AAAAAAAAAAAAAAAAALgIAAGRycy9lMm9Eb2MueG1sUEsBAi0AFAAGAAgAAAAhAN9HNr3g&#10;AAAACAEAAA8AAAAAAAAAAAAAAAAA1gQAAGRycy9kb3ducmV2LnhtbFBLBQYAAAAABAAEAPMAAADj&#10;BQAAAAA=&#10;" fillcolor="white [3212]" stroked="f" strokeweight="1pt">
                <v:stroke joinstyle="miter"/>
              </v:oval>
            </w:pict>
          </mc:Fallback>
        </mc:AlternateContent>
      </w:r>
    </w:p>
    <w:p w14:paraId="61C012EC" w14:textId="77777777" w:rsidR="00CB0240" w:rsidRDefault="008A3768" w:rsidP="00447E92">
      <w:pPr>
        <w:spacing w:before="100" w:beforeAutospacing="1" w:after="100" w:afterAutospacing="1"/>
        <w:jc w:val="both"/>
        <w:outlineLvl w:val="3"/>
        <w:rPr>
          <w:rFonts w:asciiTheme="majorHAnsi" w:hAnsiTheme="majorHAnsi" w:cstheme="majorHAnsi"/>
          <w:b/>
          <w:bCs/>
          <w:i/>
          <w:iCs/>
          <w:color w:val="2F5496" w:themeColor="accent1" w:themeShade="BF"/>
          <w:sz w:val="26"/>
          <w:szCs w:val="26"/>
          <w:lang w:eastAsia="fr-FR"/>
        </w:rPr>
      </w:pPr>
      <w:r>
        <w:rPr>
          <w:rFonts w:ascii="Calibri Light" w:hAnsi="Calibri Light" w:cs="Calibri Light"/>
          <w:b/>
          <w:bCs/>
          <w:noProof/>
          <w:sz w:val="26"/>
          <w:szCs w:val="26"/>
          <w14:ligatures w14:val="standardContextual"/>
        </w:rPr>
        <mc:AlternateContent>
          <mc:Choice Requires="wps">
            <w:drawing>
              <wp:anchor distT="0" distB="0" distL="114300" distR="114300" simplePos="0" relativeHeight="251879424" behindDoc="1" locked="0" layoutInCell="1" allowOverlap="1" wp14:anchorId="59FAE8B8" wp14:editId="1228A0D8">
                <wp:simplePos x="0" y="0"/>
                <wp:positionH relativeFrom="column">
                  <wp:posOffset>-52846</wp:posOffset>
                </wp:positionH>
                <wp:positionV relativeFrom="paragraph">
                  <wp:posOffset>147461</wp:posOffset>
                </wp:positionV>
                <wp:extent cx="5880947" cy="1106311"/>
                <wp:effectExtent l="0" t="0" r="24765" b="17780"/>
                <wp:wrapNone/>
                <wp:docPr id="525276625" name="Rectangle : coins arrondis 65"/>
                <wp:cNvGraphicFramePr/>
                <a:graphic xmlns:a="http://schemas.openxmlformats.org/drawingml/2006/main">
                  <a:graphicData uri="http://schemas.microsoft.com/office/word/2010/wordprocessingShape">
                    <wps:wsp>
                      <wps:cNvSpPr/>
                      <wps:spPr>
                        <a:xfrm>
                          <a:off x="0" y="0"/>
                          <a:ext cx="5880947" cy="1106311"/>
                        </a:xfrm>
                        <a:prstGeom prst="roundRect">
                          <a:avLst/>
                        </a:prstGeom>
                        <a:noFill/>
                        <a:ln w="19050">
                          <a:solidFill>
                            <a:schemeClr val="accent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102B05" id="Rectangle : coins arrondis 65" o:spid="_x0000_s1026" style="position:absolute;margin-left:-4.15pt;margin-top:11.6pt;width:463.05pt;height:87.1pt;z-index:-25143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6jikQIAAJYFAAAOAAAAZHJzL2Uyb0RvYy54bWysVE1v2zAMvQ/YfxB0X21nSZsGdYqgRYcB&#10;XVu0HXpWZCk2IIuapMTJfv0oyXGyLrsMu9iSSD6Sjx9X19tWkY2wrgFd0uIsp0RoDlWjVyX9/nr3&#10;aUqJ80xXTIEWJd0JR6/nHz9cdWYmRlCDqoQlCKLdrDMlrb03syxzvBYtc2dghEahBNsyj1e7yirL&#10;OkRvVTbK8/OsA1sZC1w4h6+3SUjnEV9Kwf2jlE54okqKsfn4tfG7DN9sfsVmK8tM3fA+DPYPUbSs&#10;0eh0gLplnpG1bf6AahtuwYH0ZxzaDKRsuIg5YDZF/i6bl5oZEXNBcpwZaHL/D5Y/bF7Mk0UaOuNm&#10;Do8hi620bfhjfGQbydoNZImtJxwfJ9Npfjm+oISjrCjy889FEejMDubGOv9FQEvCoaQW1rp6xpJE&#10;ptjm3vmkv9cLLjXcNUrFsihNOoS+zCd5tHCgmipIg17sEHGjLNkwrC3jXGhfRD21br9Bld4vJnke&#10;q4xhDSYxyCM0lCmNjwcK4snvlAiulH4WkjQVJj1KgYTuPO3b1awSyXXxV9cRMCBLTGbATsEPQf6e&#10;VyKq1w+mIjb3YNwzdDqwZDxYRM+g/WDcNhrsqcwUMtp7Tvp7khI1gaUlVLsnSyyk0XKG3zVY7Xvm&#10;/BOzOEs4dbgf/CN+pAIsKPQnSmqwP0+9B31scZRS0uFsltT9WDMrKFFfNTb/ZTEeh2GOl/HkYoQX&#10;eyxZHkv0ur0BbJECN5Hh8Rj0vdofpYX2DdfIInhFEdMcfZeUe7u/3Pi0M3ARcbFYRDUcYMP8vX4x&#10;PIAHVkMjv27fmDV9y3uclgfYzzGbvWv6pBssNSzWHmQTJ+LAa883Dn/s2X5Rhe1yfI9ah3U6/wUA&#10;AP//AwBQSwMEFAAGAAgAAAAhACyzEyLdAAAACQEAAA8AAABkcnMvZG93bnJldi54bWxMj8FuwjAQ&#10;RO+V+AdrkXoDh1AVSOMg1KqnXkqg4mrixYmI1yE2kP59t6f2uJqn2Tf5enCtuGEfGk8KZtMEBFLl&#10;TUNWwX73PlmCCFGT0a0nVPCNAdbF6CHXmfF32uKtjFZwCYVMK6hj7DIpQ1Wj02HqOyTOTr53OvLZ&#10;W2l6fedy18o0SZ6l0w3xh1p3+FpjdS6vTkGZXr4+k+3BVh9vg7O4C4e9DUo9jofNC4iIQ/yD4Vef&#10;1aFgp6O/kgmiVTBZzplUkM5TEJyvZguecmRwtXgCWeTy/4LiBwAA//8DAFBLAQItABQABgAIAAAA&#10;IQC2gziS/gAAAOEBAAATAAAAAAAAAAAAAAAAAAAAAABbQ29udGVudF9UeXBlc10ueG1sUEsBAi0A&#10;FAAGAAgAAAAhADj9If/WAAAAlAEAAAsAAAAAAAAAAAAAAAAALwEAAF9yZWxzLy5yZWxzUEsBAi0A&#10;FAAGAAgAAAAhAO33qOKRAgAAlgUAAA4AAAAAAAAAAAAAAAAALgIAAGRycy9lMm9Eb2MueG1sUEsB&#10;Ai0AFAAGAAgAAAAhACyzEyLdAAAACQEAAA8AAAAAAAAAAAAAAAAA6wQAAGRycy9kb3ducmV2Lnht&#10;bFBLBQYAAAAABAAEAPMAAAD1BQAAAAA=&#10;" filled="f" strokecolor="#2f5496 [2404]" strokeweight="1.5pt">
                <v:stroke joinstyle="miter"/>
              </v:roundrect>
            </w:pict>
          </mc:Fallback>
        </mc:AlternateContent>
      </w:r>
      <w:r w:rsidR="008712B2" w:rsidRPr="00447E92">
        <w:rPr>
          <w:rFonts w:asciiTheme="majorHAnsi" w:hAnsiTheme="majorHAnsi" w:cstheme="majorHAnsi"/>
          <w:b/>
          <w:bCs/>
          <w:i/>
          <w:iCs/>
          <w:color w:val="2F5496" w:themeColor="accent1" w:themeShade="BF"/>
          <w:sz w:val="26"/>
          <w:szCs w:val="26"/>
          <w:lang w:eastAsia="fr-FR"/>
        </w:rPr>
        <w:t>What You</w:t>
      </w:r>
      <w:r w:rsidR="00DA0751" w:rsidRPr="00447E92">
        <w:rPr>
          <w:rFonts w:asciiTheme="majorHAnsi" w:hAnsiTheme="majorHAnsi" w:cstheme="majorHAnsi"/>
          <w:b/>
          <w:bCs/>
          <w:i/>
          <w:iCs/>
          <w:color w:val="2F5496" w:themeColor="accent1" w:themeShade="BF"/>
          <w:sz w:val="26"/>
          <w:szCs w:val="26"/>
          <w:lang w:eastAsia="fr-FR"/>
        </w:rPr>
        <w:t xml:space="preserve"> will Learn</w:t>
      </w:r>
      <w:r w:rsidR="000272BD">
        <w:rPr>
          <w:rFonts w:asciiTheme="majorHAnsi" w:hAnsiTheme="majorHAnsi" w:cstheme="majorHAnsi"/>
          <w:b/>
          <w:bCs/>
          <w:i/>
          <w:iCs/>
          <w:color w:val="2F5496" w:themeColor="accent1" w:themeShade="BF"/>
          <w:sz w:val="26"/>
          <w:szCs w:val="26"/>
          <w:lang w:eastAsia="fr-FR"/>
        </w:rPr>
        <w:t xml:space="preserve"> </w:t>
      </w:r>
      <w:r w:rsidR="00DA0751" w:rsidRPr="00447E92">
        <w:rPr>
          <w:rFonts w:asciiTheme="majorHAnsi" w:hAnsiTheme="majorHAnsi" w:cstheme="majorHAnsi"/>
          <w:b/>
          <w:bCs/>
          <w:i/>
          <w:iCs/>
          <w:color w:val="2F5496" w:themeColor="accent1" w:themeShade="BF"/>
          <w:sz w:val="26"/>
          <w:szCs w:val="26"/>
          <w:lang w:eastAsia="fr-FR"/>
        </w:rPr>
        <w:t xml:space="preserve">: </w:t>
      </w:r>
    </w:p>
    <w:p w14:paraId="18E75962" w14:textId="5A5AA02F" w:rsidR="008712B2" w:rsidRPr="00CB0240" w:rsidRDefault="008712B2" w:rsidP="00447E92">
      <w:pPr>
        <w:spacing w:before="100" w:beforeAutospacing="1" w:after="100" w:afterAutospacing="1"/>
        <w:jc w:val="both"/>
        <w:outlineLvl w:val="3"/>
        <w:rPr>
          <w:rFonts w:asciiTheme="majorHAnsi" w:hAnsiTheme="majorHAnsi" w:cstheme="majorHAnsi"/>
          <w:b/>
          <w:bCs/>
          <w:i/>
          <w:iCs/>
          <w:color w:val="2F5496" w:themeColor="accent1" w:themeShade="BF"/>
          <w:sz w:val="26"/>
          <w:szCs w:val="26"/>
          <w:lang w:eastAsia="fr-FR"/>
        </w:rPr>
      </w:pPr>
      <w:r w:rsidRPr="000272BD">
        <w:rPr>
          <w:rFonts w:asciiTheme="majorHAnsi" w:hAnsiTheme="majorHAnsi" w:cstheme="majorHAnsi"/>
          <w:color w:val="2C2D5B"/>
          <w:lang w:eastAsia="fr-FR"/>
        </w:rPr>
        <w:t>This section focuses on the practical application of the European Charter of Fundamental Rights (EChFR), providing trainee lawyers with the tools to determine when and how the Charter applies. It explains the principles governing its use, the limitations imposed on its scope, and the interaction between the Charter and other legal frameworks.</w:t>
      </w:r>
    </w:p>
    <w:p w14:paraId="6882E6B9" w14:textId="77777777" w:rsidR="00CB0240" w:rsidRPr="008C46C0" w:rsidRDefault="00CB0240" w:rsidP="008712B2">
      <w:pPr>
        <w:spacing w:before="100" w:beforeAutospacing="1" w:after="100" w:afterAutospacing="1"/>
        <w:rPr>
          <w:rFonts w:asciiTheme="majorHAnsi" w:hAnsiTheme="majorHAnsi" w:cstheme="majorHAnsi"/>
          <w:b/>
          <w:bCs/>
          <w:i/>
          <w:iCs/>
          <w:color w:val="2F5496" w:themeColor="accent1" w:themeShade="BF"/>
          <w:sz w:val="4"/>
          <w:szCs w:val="4"/>
          <w:lang w:eastAsia="fr-FR"/>
        </w:rPr>
      </w:pPr>
    </w:p>
    <w:p w14:paraId="7E5CD140" w14:textId="61613032" w:rsidR="008712B2" w:rsidRPr="00447E92" w:rsidRDefault="008712B2" w:rsidP="008712B2">
      <w:pPr>
        <w:spacing w:before="100" w:beforeAutospacing="1" w:after="100" w:afterAutospacing="1"/>
        <w:rPr>
          <w:rFonts w:asciiTheme="majorHAnsi" w:hAnsiTheme="majorHAnsi" w:cstheme="majorHAnsi"/>
          <w:b/>
          <w:bCs/>
          <w:i/>
          <w:iCs/>
          <w:color w:val="2F5496" w:themeColor="accent1" w:themeShade="BF"/>
          <w:sz w:val="26"/>
          <w:szCs w:val="26"/>
          <w:lang w:val="fr-FR" w:eastAsia="fr-FR"/>
        </w:rPr>
      </w:pPr>
      <w:r w:rsidRPr="00447E92">
        <w:rPr>
          <w:rFonts w:asciiTheme="majorHAnsi" w:hAnsiTheme="majorHAnsi" w:cstheme="majorHAnsi"/>
          <w:b/>
          <w:bCs/>
          <w:i/>
          <w:iCs/>
          <w:color w:val="2F5496" w:themeColor="accent1" w:themeShade="BF"/>
          <w:sz w:val="26"/>
          <w:szCs w:val="26"/>
          <w:lang w:val="fr-FR" w:eastAsia="fr-FR"/>
        </w:rPr>
        <w:t xml:space="preserve">Key </w:t>
      </w:r>
      <w:r w:rsidR="00DA0751" w:rsidRPr="00447E92">
        <w:rPr>
          <w:rFonts w:asciiTheme="majorHAnsi" w:hAnsiTheme="majorHAnsi" w:cstheme="majorHAnsi"/>
          <w:b/>
          <w:bCs/>
          <w:i/>
          <w:iCs/>
          <w:color w:val="2F5496" w:themeColor="accent1" w:themeShade="BF"/>
          <w:sz w:val="26"/>
          <w:szCs w:val="26"/>
          <w:lang w:val="fr-FR" w:eastAsia="fr-FR"/>
        </w:rPr>
        <w:t>themes</w:t>
      </w:r>
      <w:r w:rsidR="000272BD">
        <w:rPr>
          <w:rFonts w:asciiTheme="majorHAnsi" w:hAnsiTheme="majorHAnsi" w:cstheme="majorHAnsi"/>
          <w:b/>
          <w:bCs/>
          <w:i/>
          <w:iCs/>
          <w:color w:val="2F5496" w:themeColor="accent1" w:themeShade="BF"/>
          <w:sz w:val="26"/>
          <w:szCs w:val="26"/>
          <w:lang w:val="fr-FR" w:eastAsia="fr-FR"/>
        </w:rPr>
        <w:t xml:space="preserve"> </w:t>
      </w:r>
      <w:r w:rsidR="00DA0751" w:rsidRPr="00447E92">
        <w:rPr>
          <w:rFonts w:asciiTheme="majorHAnsi" w:hAnsiTheme="majorHAnsi" w:cstheme="majorHAnsi"/>
          <w:b/>
          <w:bCs/>
          <w:i/>
          <w:iCs/>
          <w:color w:val="2F5496" w:themeColor="accent1" w:themeShade="BF"/>
          <w:sz w:val="26"/>
          <w:szCs w:val="26"/>
          <w:lang w:val="fr-FR" w:eastAsia="fr-FR"/>
        </w:rPr>
        <w:t>:</w:t>
      </w:r>
      <w:r w:rsidR="008A3768" w:rsidRPr="008A3768">
        <w:rPr>
          <w:rFonts w:ascii="Calibri Light" w:hAnsi="Calibri Light" w:cs="Calibri Light"/>
          <w:b/>
          <w:bCs/>
          <w:noProof/>
          <w:sz w:val="26"/>
          <w:szCs w:val="26"/>
          <w14:ligatures w14:val="standardContextual"/>
        </w:rPr>
        <w:t xml:space="preserve"> </w:t>
      </w:r>
    </w:p>
    <w:p w14:paraId="49D47D7C" w14:textId="77777777" w:rsidR="008712B2" w:rsidRPr="000272BD" w:rsidRDefault="008712B2" w:rsidP="008712B2">
      <w:pPr>
        <w:numPr>
          <w:ilvl w:val="0"/>
          <w:numId w:val="42"/>
        </w:numPr>
        <w:spacing w:before="100" w:beforeAutospacing="1" w:after="100" w:afterAutospacing="1"/>
        <w:rPr>
          <w:rFonts w:asciiTheme="majorHAnsi" w:hAnsiTheme="majorHAnsi" w:cstheme="majorHAnsi"/>
          <w:color w:val="2C2D5B"/>
          <w:lang w:eastAsia="fr-FR"/>
        </w:rPr>
      </w:pPr>
      <w:r w:rsidRPr="000272BD">
        <w:rPr>
          <w:rFonts w:asciiTheme="majorHAnsi" w:hAnsiTheme="majorHAnsi" w:cstheme="majorHAnsi"/>
          <w:b/>
          <w:bCs/>
          <w:color w:val="2C2D5B"/>
          <w:lang w:eastAsia="fr-FR"/>
        </w:rPr>
        <w:t>Understanding the Scope</w:t>
      </w:r>
      <w:r w:rsidRPr="000272BD">
        <w:rPr>
          <w:rFonts w:asciiTheme="majorHAnsi" w:hAnsiTheme="majorHAnsi" w:cstheme="majorHAnsi"/>
          <w:color w:val="2C2D5B"/>
          <w:lang w:eastAsia="fr-FR"/>
        </w:rPr>
        <w:t xml:space="preserve">: When the Charter applies, the role of the </w:t>
      </w:r>
      <w:r w:rsidRPr="000272BD">
        <w:rPr>
          <w:rFonts w:asciiTheme="majorHAnsi" w:hAnsiTheme="majorHAnsi" w:cstheme="majorHAnsi"/>
          <w:b/>
          <w:bCs/>
          <w:color w:val="2C2D5B"/>
          <w:lang w:eastAsia="fr-FR"/>
        </w:rPr>
        <w:t>trigger rule</w:t>
      </w:r>
      <w:r w:rsidRPr="000272BD">
        <w:rPr>
          <w:rFonts w:asciiTheme="majorHAnsi" w:hAnsiTheme="majorHAnsi" w:cstheme="majorHAnsi"/>
          <w:color w:val="2C2D5B"/>
          <w:lang w:eastAsia="fr-FR"/>
        </w:rPr>
        <w:t>, and the entities bound by its provisions.</w:t>
      </w:r>
    </w:p>
    <w:p w14:paraId="77DED3FD" w14:textId="77777777" w:rsidR="008712B2" w:rsidRPr="000272BD" w:rsidRDefault="008712B2" w:rsidP="008712B2">
      <w:pPr>
        <w:numPr>
          <w:ilvl w:val="0"/>
          <w:numId w:val="42"/>
        </w:numPr>
        <w:spacing w:before="100" w:beforeAutospacing="1" w:after="100" w:afterAutospacing="1"/>
        <w:rPr>
          <w:rFonts w:asciiTheme="majorHAnsi" w:hAnsiTheme="majorHAnsi" w:cstheme="majorHAnsi"/>
          <w:color w:val="2C2D5B"/>
          <w:lang w:eastAsia="fr-FR"/>
        </w:rPr>
      </w:pPr>
      <w:r w:rsidRPr="000272BD">
        <w:rPr>
          <w:rFonts w:asciiTheme="majorHAnsi" w:hAnsiTheme="majorHAnsi" w:cstheme="majorHAnsi"/>
          <w:b/>
          <w:bCs/>
          <w:color w:val="2C2D5B"/>
          <w:lang w:eastAsia="fr-FR"/>
        </w:rPr>
        <w:t>Rights vs. Principles</w:t>
      </w:r>
      <w:r w:rsidRPr="000272BD">
        <w:rPr>
          <w:rFonts w:asciiTheme="majorHAnsi" w:hAnsiTheme="majorHAnsi" w:cstheme="majorHAnsi"/>
          <w:color w:val="2C2D5B"/>
          <w:lang w:eastAsia="fr-FR"/>
        </w:rPr>
        <w:t>: Distinguishing between directly enforceable rights and principles that require legislative development.</w:t>
      </w:r>
    </w:p>
    <w:p w14:paraId="3A7777DD" w14:textId="77777777" w:rsidR="008712B2" w:rsidRPr="000272BD" w:rsidRDefault="008712B2" w:rsidP="008712B2">
      <w:pPr>
        <w:numPr>
          <w:ilvl w:val="0"/>
          <w:numId w:val="42"/>
        </w:numPr>
        <w:spacing w:before="100" w:beforeAutospacing="1" w:after="100" w:afterAutospacing="1"/>
        <w:rPr>
          <w:rFonts w:asciiTheme="majorHAnsi" w:hAnsiTheme="majorHAnsi" w:cstheme="majorHAnsi"/>
          <w:color w:val="2C2D5B"/>
          <w:lang w:eastAsia="fr-FR"/>
        </w:rPr>
      </w:pPr>
      <w:r w:rsidRPr="000272BD">
        <w:rPr>
          <w:rFonts w:asciiTheme="majorHAnsi" w:hAnsiTheme="majorHAnsi" w:cstheme="majorHAnsi"/>
          <w:b/>
          <w:bCs/>
          <w:color w:val="2C2D5B"/>
          <w:lang w:eastAsia="fr-FR"/>
        </w:rPr>
        <w:t>Interaction with National Law</w:t>
      </w:r>
      <w:r w:rsidRPr="000272BD">
        <w:rPr>
          <w:rFonts w:asciiTheme="majorHAnsi" w:hAnsiTheme="majorHAnsi" w:cstheme="majorHAnsi"/>
          <w:color w:val="2C2D5B"/>
          <w:lang w:eastAsia="fr-FR"/>
        </w:rPr>
        <w:t>: How the Charter coexists with Member States’ constitutions and ensures harmonized fundamental rights protection across the EU.</w:t>
      </w:r>
    </w:p>
    <w:p w14:paraId="143E22F1" w14:textId="77777777" w:rsidR="008712B2" w:rsidRPr="000272BD" w:rsidRDefault="008712B2" w:rsidP="008712B2">
      <w:pPr>
        <w:numPr>
          <w:ilvl w:val="0"/>
          <w:numId w:val="42"/>
        </w:numPr>
        <w:spacing w:before="100" w:beforeAutospacing="1" w:after="100" w:afterAutospacing="1"/>
        <w:rPr>
          <w:rFonts w:asciiTheme="majorHAnsi" w:hAnsiTheme="majorHAnsi" w:cstheme="majorHAnsi"/>
          <w:color w:val="2C2D5B"/>
          <w:lang w:eastAsia="fr-FR"/>
        </w:rPr>
      </w:pPr>
      <w:r w:rsidRPr="000272BD">
        <w:rPr>
          <w:rFonts w:asciiTheme="majorHAnsi" w:hAnsiTheme="majorHAnsi" w:cstheme="majorHAnsi"/>
          <w:b/>
          <w:bCs/>
          <w:color w:val="2C2D5B"/>
          <w:lang w:eastAsia="fr-FR"/>
        </w:rPr>
        <w:t>Limitations on Rights</w:t>
      </w:r>
      <w:r w:rsidRPr="000272BD">
        <w:rPr>
          <w:rFonts w:asciiTheme="majorHAnsi" w:hAnsiTheme="majorHAnsi" w:cstheme="majorHAnsi"/>
          <w:color w:val="2C2D5B"/>
          <w:lang w:eastAsia="fr-FR"/>
        </w:rPr>
        <w:t>: The principles of legality and proportionality governing restrictions on Charter rights, as well as absolute rights that cannot be limited.</w:t>
      </w:r>
    </w:p>
    <w:p w14:paraId="2ECF403C" w14:textId="266DC6F8" w:rsidR="008712B2" w:rsidRPr="00EA04E2" w:rsidRDefault="008712B2" w:rsidP="008712B2">
      <w:pPr>
        <w:spacing w:before="100" w:beforeAutospacing="1" w:after="100" w:afterAutospacing="1"/>
        <w:outlineLvl w:val="3"/>
        <w:rPr>
          <w:rFonts w:asciiTheme="majorHAnsi" w:hAnsiTheme="majorHAnsi" w:cstheme="majorHAnsi"/>
          <w:b/>
          <w:bCs/>
          <w:i/>
          <w:iCs/>
          <w:color w:val="2C2D5B"/>
          <w:sz w:val="26"/>
          <w:szCs w:val="26"/>
          <w:lang w:eastAsia="fr-FR"/>
        </w:rPr>
      </w:pPr>
      <w:r w:rsidRPr="00EA04E2">
        <w:rPr>
          <w:rFonts w:asciiTheme="majorHAnsi" w:hAnsiTheme="majorHAnsi" w:cstheme="majorHAnsi"/>
          <w:b/>
          <w:bCs/>
          <w:i/>
          <w:iCs/>
          <w:color w:val="2C2D5B"/>
          <w:sz w:val="26"/>
          <w:szCs w:val="26"/>
          <w:lang w:eastAsia="fr-FR"/>
        </w:rPr>
        <w:t>Practical Value for Lawyers</w:t>
      </w:r>
      <w:r w:rsidR="000272BD" w:rsidRPr="00EA04E2">
        <w:rPr>
          <w:rFonts w:asciiTheme="majorHAnsi" w:hAnsiTheme="majorHAnsi" w:cstheme="majorHAnsi"/>
          <w:b/>
          <w:bCs/>
          <w:i/>
          <w:iCs/>
          <w:color w:val="2C2D5B"/>
          <w:sz w:val="26"/>
          <w:szCs w:val="26"/>
          <w:lang w:eastAsia="fr-FR"/>
        </w:rPr>
        <w:t xml:space="preserve"> </w:t>
      </w:r>
      <w:r w:rsidR="00DA0751" w:rsidRPr="00EA04E2">
        <w:rPr>
          <w:rFonts w:asciiTheme="majorHAnsi" w:hAnsiTheme="majorHAnsi" w:cstheme="majorHAnsi"/>
          <w:b/>
          <w:bCs/>
          <w:i/>
          <w:iCs/>
          <w:color w:val="2C2D5B"/>
          <w:sz w:val="26"/>
          <w:szCs w:val="26"/>
          <w:lang w:eastAsia="fr-FR"/>
        </w:rPr>
        <w:t>:</w:t>
      </w:r>
    </w:p>
    <w:p w14:paraId="5FDFF89D" w14:textId="5C76EE69" w:rsidR="008712B2" w:rsidRPr="00EA04E2" w:rsidRDefault="008712B2" w:rsidP="008712B2">
      <w:pPr>
        <w:spacing w:before="100" w:beforeAutospacing="1" w:after="100" w:afterAutospacing="1"/>
        <w:rPr>
          <w:rFonts w:asciiTheme="majorHAnsi" w:hAnsiTheme="majorHAnsi" w:cstheme="majorHAnsi"/>
          <w:color w:val="2C2D5B"/>
          <w:lang w:eastAsia="fr-FR"/>
        </w:rPr>
      </w:pPr>
      <w:r w:rsidRPr="00EA04E2">
        <w:rPr>
          <w:rFonts w:asciiTheme="majorHAnsi" w:hAnsiTheme="majorHAnsi" w:cstheme="majorHAnsi"/>
          <w:color w:val="2C2D5B"/>
          <w:lang w:eastAsia="fr-FR"/>
        </w:rPr>
        <w:t>This section equips lawyers with the knowledge to</w:t>
      </w:r>
      <w:r w:rsidR="000272BD" w:rsidRPr="00EA04E2">
        <w:rPr>
          <w:rFonts w:asciiTheme="majorHAnsi" w:hAnsiTheme="majorHAnsi" w:cstheme="majorHAnsi"/>
          <w:color w:val="2C2D5B"/>
          <w:lang w:eastAsia="fr-FR"/>
        </w:rPr>
        <w:t xml:space="preserve"> </w:t>
      </w:r>
      <w:r w:rsidRPr="00EA04E2">
        <w:rPr>
          <w:rFonts w:asciiTheme="majorHAnsi" w:hAnsiTheme="majorHAnsi" w:cstheme="majorHAnsi"/>
          <w:color w:val="2C2D5B"/>
          <w:lang w:eastAsia="fr-FR"/>
        </w:rPr>
        <w:t>:</w:t>
      </w:r>
    </w:p>
    <w:p w14:paraId="2E518F6E" w14:textId="77777777" w:rsidR="008712B2" w:rsidRPr="00EA04E2" w:rsidRDefault="008712B2" w:rsidP="008712B2">
      <w:pPr>
        <w:numPr>
          <w:ilvl w:val="0"/>
          <w:numId w:val="43"/>
        </w:numPr>
        <w:spacing w:before="100" w:beforeAutospacing="1" w:after="100" w:afterAutospacing="1"/>
        <w:rPr>
          <w:rFonts w:asciiTheme="majorHAnsi" w:hAnsiTheme="majorHAnsi" w:cstheme="majorHAnsi"/>
          <w:color w:val="2C2D5B"/>
          <w:lang w:eastAsia="fr-FR"/>
        </w:rPr>
      </w:pPr>
      <w:r w:rsidRPr="00EA04E2">
        <w:rPr>
          <w:rFonts w:asciiTheme="majorHAnsi" w:hAnsiTheme="majorHAnsi" w:cstheme="majorHAnsi"/>
          <w:color w:val="2C2D5B"/>
          <w:lang w:eastAsia="fr-FR"/>
        </w:rPr>
        <w:t>Identify situations where the Charter applies and link cases to EU law.</w:t>
      </w:r>
    </w:p>
    <w:p w14:paraId="4F1AEEEA" w14:textId="57530CF6" w:rsidR="00DA0751" w:rsidRPr="00EA04E2" w:rsidRDefault="008712B2" w:rsidP="00DA0751">
      <w:pPr>
        <w:numPr>
          <w:ilvl w:val="0"/>
          <w:numId w:val="43"/>
        </w:numPr>
        <w:spacing w:before="100" w:beforeAutospacing="1" w:after="100" w:afterAutospacing="1"/>
        <w:rPr>
          <w:rFonts w:asciiTheme="majorHAnsi" w:hAnsiTheme="majorHAnsi" w:cstheme="majorHAnsi"/>
          <w:color w:val="2C2D5B"/>
          <w:lang w:eastAsia="fr-FR"/>
        </w:rPr>
      </w:pPr>
      <w:r w:rsidRPr="00EA04E2">
        <w:rPr>
          <w:rFonts w:asciiTheme="majorHAnsi" w:hAnsiTheme="majorHAnsi" w:cstheme="majorHAnsi"/>
          <w:color w:val="2C2D5B"/>
          <w:lang w:eastAsia="fr-FR"/>
        </w:rPr>
        <w:t>Frame arguments based on enforceable rights and principles.</w:t>
      </w:r>
    </w:p>
    <w:p w14:paraId="11F455D7" w14:textId="77777777" w:rsidR="008712B2" w:rsidRPr="00EA04E2" w:rsidRDefault="008712B2" w:rsidP="008712B2">
      <w:pPr>
        <w:numPr>
          <w:ilvl w:val="0"/>
          <w:numId w:val="43"/>
        </w:numPr>
        <w:spacing w:before="100" w:beforeAutospacing="1" w:after="100" w:afterAutospacing="1"/>
        <w:rPr>
          <w:rFonts w:asciiTheme="majorHAnsi" w:hAnsiTheme="majorHAnsi" w:cstheme="majorHAnsi"/>
          <w:color w:val="2C2D5B"/>
          <w:lang w:eastAsia="fr-FR"/>
        </w:rPr>
      </w:pPr>
      <w:r w:rsidRPr="00EA04E2">
        <w:rPr>
          <w:rFonts w:asciiTheme="majorHAnsi" w:hAnsiTheme="majorHAnsi" w:cstheme="majorHAnsi"/>
          <w:color w:val="2C2D5B"/>
          <w:lang w:eastAsia="fr-FR"/>
        </w:rPr>
        <w:t>Navigate conflicts between national and EU law using the Charter as a reference point.</w:t>
      </w:r>
    </w:p>
    <w:p w14:paraId="644793F1" w14:textId="0E9DFB98" w:rsidR="00447E92" w:rsidRPr="00EA04E2" w:rsidRDefault="008712B2" w:rsidP="00447E92">
      <w:pPr>
        <w:numPr>
          <w:ilvl w:val="0"/>
          <w:numId w:val="43"/>
        </w:numPr>
        <w:spacing w:before="100" w:beforeAutospacing="1" w:after="100" w:afterAutospacing="1"/>
        <w:rPr>
          <w:rFonts w:asciiTheme="majorHAnsi" w:hAnsiTheme="majorHAnsi" w:cstheme="majorHAnsi"/>
          <w:color w:val="2C2D5B"/>
          <w:lang w:eastAsia="fr-FR"/>
        </w:rPr>
      </w:pPr>
      <w:r w:rsidRPr="00EA04E2">
        <w:rPr>
          <w:rFonts w:asciiTheme="majorHAnsi" w:hAnsiTheme="majorHAnsi" w:cstheme="majorHAnsi"/>
          <w:color w:val="2C2D5B"/>
          <w:lang w:eastAsia="fr-FR"/>
        </w:rPr>
        <w:t>Challenge limitations on rights by demonstrating disproportionate or unlawful restrictions.</w:t>
      </w:r>
    </w:p>
    <w:p w14:paraId="35561A90" w14:textId="398849A8" w:rsidR="00E16DBB" w:rsidRDefault="000D1ED9" w:rsidP="00EA04E2">
      <w:pPr>
        <w:pStyle w:val="Nadpis2"/>
        <w:ind w:left="284" w:hanging="568"/>
        <w:rPr>
          <w:rFonts w:ascii="Calibri" w:hAnsi="Calibri" w:cs="Calibri"/>
          <w:sz w:val="32"/>
          <w:szCs w:val="32"/>
        </w:rPr>
      </w:pPr>
      <w:bookmarkStart w:id="9" w:name="_Toc188457868"/>
      <w:r w:rsidRPr="00EA04E2">
        <w:rPr>
          <w:rFonts w:ascii="Calibri" w:hAnsi="Calibri" w:cs="Calibri"/>
          <w:b/>
          <w:bCs/>
          <w:color w:val="B6A04C"/>
          <w:sz w:val="32"/>
          <w:szCs w:val="32"/>
        </w:rPr>
        <w:t>4</w:t>
      </w:r>
      <w:r w:rsidR="00D27F21" w:rsidRPr="00EA04E2">
        <w:rPr>
          <w:rFonts w:ascii="Calibri" w:hAnsi="Calibri" w:cs="Calibri"/>
          <w:b/>
          <w:bCs/>
          <w:color w:val="B6A04C"/>
          <w:sz w:val="32"/>
          <w:szCs w:val="32"/>
        </w:rPr>
        <w:t>.1</w:t>
      </w:r>
      <w:r w:rsidR="00D27F21" w:rsidRPr="00EA04E2">
        <w:rPr>
          <w:rFonts w:ascii="Calibri" w:hAnsi="Calibri" w:cs="Calibri"/>
          <w:color w:val="B6A04C"/>
          <w:sz w:val="32"/>
          <w:szCs w:val="32"/>
        </w:rPr>
        <w:t xml:space="preserve"> </w:t>
      </w:r>
      <w:r w:rsidR="00253E61" w:rsidRPr="00EA04E2">
        <w:rPr>
          <w:rFonts w:ascii="Calibri" w:hAnsi="Calibri" w:cs="Calibri"/>
          <w:b/>
          <w:bCs/>
          <w:sz w:val="32"/>
          <w:szCs w:val="32"/>
        </w:rPr>
        <w:t xml:space="preserve">When does the Charter Apply </w:t>
      </w:r>
      <w:r w:rsidR="003C7BC9" w:rsidRPr="00EA04E2">
        <w:rPr>
          <w:rFonts w:ascii="Calibri" w:hAnsi="Calibri" w:cs="Calibri"/>
          <w:b/>
          <w:bCs/>
          <w:sz w:val="32"/>
          <w:szCs w:val="32"/>
        </w:rPr>
        <w:t xml:space="preserve">? </w:t>
      </w:r>
      <w:r w:rsidR="00253E61" w:rsidRPr="00EA04E2">
        <w:rPr>
          <w:rFonts w:ascii="Calibri" w:hAnsi="Calibri" w:cs="Calibri"/>
          <w:b/>
          <w:bCs/>
          <w:sz w:val="32"/>
          <w:szCs w:val="32"/>
        </w:rPr>
        <w:t>Understanding the scope and Trigger Rule</w:t>
      </w:r>
      <w:bookmarkEnd w:id="9"/>
      <w:r w:rsidR="00253E61">
        <w:rPr>
          <w:rFonts w:ascii="Calibri" w:hAnsi="Calibri" w:cs="Calibri"/>
          <w:sz w:val="32"/>
          <w:szCs w:val="32"/>
        </w:rPr>
        <w:t xml:space="preserve"> </w:t>
      </w:r>
    </w:p>
    <w:p w14:paraId="4F0D0521" w14:textId="77777777" w:rsidR="00DA0751" w:rsidRDefault="00DA0751" w:rsidP="00DA0751"/>
    <w:p w14:paraId="0B870A75" w14:textId="36CDF075" w:rsidR="003C7BC9" w:rsidRPr="00EA04E2" w:rsidRDefault="00063A4C" w:rsidP="00EC1B7F">
      <w:pPr>
        <w:spacing w:after="120" w:line="276" w:lineRule="auto"/>
        <w:jc w:val="both"/>
        <w:rPr>
          <w:rFonts w:asciiTheme="majorHAnsi" w:hAnsiTheme="majorHAnsi" w:cstheme="majorHAnsi"/>
          <w:color w:val="2C2D5B"/>
        </w:rPr>
      </w:pPr>
      <w:r w:rsidRPr="00EA04E2">
        <w:rPr>
          <w:rFonts w:asciiTheme="majorHAnsi" w:hAnsiTheme="majorHAnsi" w:cstheme="majorHAnsi"/>
          <w:color w:val="2C2D5B"/>
        </w:rPr>
        <w:t>Article 51 EChFR establishes that the institutions and other organs of the Union, as well as the Member states, are bound by the Charter only when they are applying EU law. Importantly, this provision emphasises that the EChFR does not extend the competences and the missions conferred by the EU treaties</w:t>
      </w:r>
      <w:r w:rsidR="00EA04E2" w:rsidRPr="00EA04E2">
        <w:rPr>
          <w:rFonts w:asciiTheme="majorHAnsi" w:hAnsiTheme="majorHAnsi" w:cstheme="majorHAnsi"/>
          <w:color w:val="2C2D5B"/>
        </w:rPr>
        <w:t>.</w:t>
      </w:r>
    </w:p>
    <w:p w14:paraId="6828D17F" w14:textId="77777777" w:rsidR="00F87908" w:rsidRDefault="00F87908" w:rsidP="00EC1B7F">
      <w:pPr>
        <w:spacing w:after="120" w:line="276" w:lineRule="auto"/>
        <w:jc w:val="both"/>
        <w:rPr>
          <w:rFonts w:ascii="Calibri" w:hAnsi="Calibri" w:cs="Calibri"/>
          <w:b/>
          <w:bCs/>
        </w:rPr>
      </w:pPr>
    </w:p>
    <w:p w14:paraId="01672682" w14:textId="77777777" w:rsidR="00EA04E2" w:rsidRDefault="00EA04E2" w:rsidP="00EC1B7F">
      <w:pPr>
        <w:spacing w:after="120" w:line="276" w:lineRule="auto"/>
        <w:jc w:val="both"/>
        <w:rPr>
          <w:rFonts w:ascii="Calibri" w:hAnsi="Calibri" w:cs="Calibri"/>
          <w:b/>
          <w:bCs/>
        </w:rPr>
      </w:pPr>
    </w:p>
    <w:p w14:paraId="5627C90A" w14:textId="77777777" w:rsidR="00EA04E2" w:rsidRDefault="00EA04E2" w:rsidP="00EC1B7F">
      <w:pPr>
        <w:spacing w:after="120" w:line="276" w:lineRule="auto"/>
        <w:jc w:val="both"/>
        <w:rPr>
          <w:rFonts w:ascii="Calibri" w:hAnsi="Calibri" w:cs="Calibri"/>
          <w:b/>
          <w:bCs/>
        </w:rPr>
      </w:pPr>
    </w:p>
    <w:p w14:paraId="0D74CAE4" w14:textId="77777777" w:rsidR="00EA04E2" w:rsidRDefault="00EA04E2" w:rsidP="00EC1B7F">
      <w:pPr>
        <w:spacing w:after="120" w:line="276" w:lineRule="auto"/>
        <w:jc w:val="both"/>
        <w:rPr>
          <w:rFonts w:ascii="Calibri" w:hAnsi="Calibri" w:cs="Calibri"/>
          <w:b/>
          <w:bCs/>
        </w:rPr>
      </w:pPr>
    </w:p>
    <w:p w14:paraId="6E6C5314" w14:textId="77777777" w:rsidR="00EA04E2" w:rsidRDefault="00EA04E2" w:rsidP="00EC1B7F">
      <w:pPr>
        <w:spacing w:after="120" w:line="276" w:lineRule="auto"/>
        <w:jc w:val="both"/>
        <w:rPr>
          <w:rFonts w:ascii="Calibri" w:hAnsi="Calibri" w:cs="Calibri"/>
          <w:b/>
          <w:bCs/>
        </w:rPr>
      </w:pPr>
    </w:p>
    <w:p w14:paraId="4E751295" w14:textId="2E0D84DF" w:rsidR="005A6959" w:rsidRPr="005361C5" w:rsidRDefault="005A6959" w:rsidP="00EC1B7F">
      <w:pPr>
        <w:spacing w:after="120" w:line="276" w:lineRule="auto"/>
        <w:jc w:val="both"/>
        <w:rPr>
          <w:rFonts w:asciiTheme="majorHAnsi" w:hAnsiTheme="majorHAnsi" w:cstheme="majorHAnsi"/>
          <w:b/>
          <w:bCs/>
          <w:i/>
          <w:iCs/>
          <w:color w:val="2F5496" w:themeColor="accent1" w:themeShade="BF"/>
          <w:sz w:val="26"/>
          <w:szCs w:val="26"/>
        </w:rPr>
      </w:pPr>
      <w:r w:rsidRPr="005361C5">
        <w:rPr>
          <w:rFonts w:asciiTheme="majorHAnsi" w:hAnsiTheme="majorHAnsi" w:cstheme="majorHAnsi"/>
          <w:b/>
          <w:bCs/>
          <w:i/>
          <w:iCs/>
          <w:color w:val="2F5496" w:themeColor="accent1" w:themeShade="BF"/>
          <w:sz w:val="26"/>
          <w:szCs w:val="26"/>
        </w:rPr>
        <w:t xml:space="preserve">Institutions and organs of the EU </w:t>
      </w:r>
    </w:p>
    <w:p w14:paraId="39CE94E3" w14:textId="679DD2F6" w:rsidR="005361C5" w:rsidRDefault="00974680" w:rsidP="00E16DBB">
      <w:pPr>
        <w:spacing w:after="120" w:line="276" w:lineRule="auto"/>
        <w:jc w:val="both"/>
        <w:rPr>
          <w:rFonts w:asciiTheme="majorHAnsi" w:hAnsiTheme="majorHAnsi" w:cstheme="majorHAnsi"/>
          <w:color w:val="2C2D5B"/>
        </w:rPr>
      </w:pPr>
      <w:r w:rsidRPr="00EA04E2">
        <w:rPr>
          <w:rFonts w:asciiTheme="majorHAnsi" w:hAnsiTheme="majorHAnsi" w:cstheme="majorHAnsi"/>
          <w:color w:val="2C2D5B"/>
        </w:rPr>
        <w:t xml:space="preserve">According to </w:t>
      </w:r>
      <w:r w:rsidR="00145404" w:rsidRPr="00EA04E2">
        <w:rPr>
          <w:rFonts w:asciiTheme="majorHAnsi" w:hAnsiTheme="majorHAnsi" w:cstheme="majorHAnsi"/>
          <w:color w:val="2C2D5B"/>
        </w:rPr>
        <w:t>A</w:t>
      </w:r>
      <w:r w:rsidRPr="00EA04E2">
        <w:rPr>
          <w:rFonts w:asciiTheme="majorHAnsi" w:hAnsiTheme="majorHAnsi" w:cstheme="majorHAnsi"/>
          <w:color w:val="2C2D5B"/>
        </w:rPr>
        <w:t>rticle 51</w:t>
      </w:r>
      <w:r w:rsidR="00D45864" w:rsidRPr="00EA04E2">
        <w:rPr>
          <w:rFonts w:asciiTheme="majorHAnsi" w:hAnsiTheme="majorHAnsi" w:cstheme="majorHAnsi"/>
          <w:color w:val="2C2D5B"/>
        </w:rPr>
        <w:t>(</w:t>
      </w:r>
      <w:r w:rsidRPr="00EA04E2">
        <w:rPr>
          <w:rFonts w:asciiTheme="majorHAnsi" w:hAnsiTheme="majorHAnsi" w:cstheme="majorHAnsi"/>
          <w:color w:val="2C2D5B"/>
        </w:rPr>
        <w:t>1</w:t>
      </w:r>
      <w:r w:rsidR="00D45864" w:rsidRPr="00EA04E2">
        <w:rPr>
          <w:rFonts w:asciiTheme="majorHAnsi" w:hAnsiTheme="majorHAnsi" w:cstheme="majorHAnsi"/>
          <w:color w:val="2C2D5B"/>
        </w:rPr>
        <w:t>)</w:t>
      </w:r>
      <w:r w:rsidR="00145404" w:rsidRPr="00EA04E2">
        <w:rPr>
          <w:rFonts w:asciiTheme="majorHAnsi" w:hAnsiTheme="majorHAnsi" w:cstheme="majorHAnsi"/>
          <w:color w:val="2C2D5B"/>
        </w:rPr>
        <w:t>,</w:t>
      </w:r>
      <w:r w:rsidRPr="00EA04E2">
        <w:rPr>
          <w:rFonts w:asciiTheme="majorHAnsi" w:hAnsiTheme="majorHAnsi" w:cstheme="majorHAnsi"/>
          <w:color w:val="2C2D5B"/>
        </w:rPr>
        <w:t xml:space="preserve"> the Charter is </w:t>
      </w:r>
      <w:r w:rsidRPr="00EA04E2">
        <w:rPr>
          <w:rStyle w:val="hgkelc"/>
          <w:rFonts w:asciiTheme="majorHAnsi" w:hAnsiTheme="majorHAnsi" w:cstheme="majorHAnsi"/>
          <w:color w:val="2C2D5B"/>
        </w:rPr>
        <w:t xml:space="preserve">addressed to </w:t>
      </w:r>
      <w:r w:rsidR="00D0451A" w:rsidRPr="00EA04E2">
        <w:rPr>
          <w:rFonts w:asciiTheme="majorHAnsi" w:hAnsiTheme="majorHAnsi" w:cstheme="majorHAnsi"/>
          <w:color w:val="2C2D5B"/>
        </w:rPr>
        <w:t>“</w:t>
      </w:r>
      <w:r w:rsidRPr="00EA04E2">
        <w:rPr>
          <w:rStyle w:val="hgkelc"/>
          <w:rFonts w:asciiTheme="majorHAnsi" w:hAnsiTheme="majorHAnsi" w:cstheme="majorHAnsi"/>
          <w:i/>
          <w:iCs/>
          <w:color w:val="2C2D5B"/>
        </w:rPr>
        <w:t>the institutions, bodies, offices and agencies of the Union with due regard</w:t>
      </w:r>
      <w:r w:rsidRPr="00EA04E2">
        <w:rPr>
          <w:rStyle w:val="hgkelc"/>
          <w:rFonts w:ascii="Calibri" w:hAnsi="Calibri" w:cs="Calibri"/>
          <w:i/>
          <w:iCs/>
          <w:color w:val="2C2D5B"/>
        </w:rPr>
        <w:t xml:space="preserve"> </w:t>
      </w:r>
      <w:r w:rsidR="002E3100" w:rsidRPr="00EA04E2">
        <w:rPr>
          <w:rStyle w:val="hgkelc"/>
          <w:rFonts w:ascii="Calibri" w:hAnsi="Calibri" w:cs="Calibri"/>
          <w:i/>
          <w:iCs/>
          <w:color w:val="2C2D5B"/>
        </w:rPr>
        <w:t>f</w:t>
      </w:r>
      <w:r w:rsidRPr="00EA04E2">
        <w:rPr>
          <w:rStyle w:val="hgkelc"/>
          <w:rFonts w:asciiTheme="majorHAnsi" w:hAnsiTheme="majorHAnsi" w:cstheme="majorHAnsi"/>
          <w:i/>
          <w:iCs/>
          <w:color w:val="2C2D5B"/>
        </w:rPr>
        <w:t>or the principle of subsidiarity</w:t>
      </w:r>
      <w:r w:rsidR="00D0451A" w:rsidRPr="00EA04E2">
        <w:rPr>
          <w:rStyle w:val="hgkelc"/>
          <w:rFonts w:asciiTheme="majorHAnsi" w:hAnsiTheme="majorHAnsi" w:cstheme="majorHAnsi"/>
          <w:i/>
          <w:iCs/>
          <w:color w:val="2C2D5B"/>
        </w:rPr>
        <w:t>”</w:t>
      </w:r>
      <w:r w:rsidRPr="00EA04E2">
        <w:rPr>
          <w:rStyle w:val="hgkelc"/>
          <w:rFonts w:asciiTheme="majorHAnsi" w:hAnsiTheme="majorHAnsi" w:cstheme="majorHAnsi"/>
          <w:color w:val="2C2D5B"/>
        </w:rPr>
        <w:t>.</w:t>
      </w:r>
      <w:r w:rsidR="007711F6" w:rsidRPr="00EA04E2">
        <w:rPr>
          <w:rFonts w:asciiTheme="majorHAnsi" w:hAnsiTheme="majorHAnsi" w:cstheme="majorHAnsi"/>
          <w:color w:val="2C2D5B"/>
        </w:rPr>
        <w:t xml:space="preserve"> </w:t>
      </w:r>
    </w:p>
    <w:p w14:paraId="6639D8C3" w14:textId="5B7654D3" w:rsidR="00C30B32" w:rsidRPr="00EA04E2" w:rsidRDefault="004B2B84" w:rsidP="00E16DBB">
      <w:pPr>
        <w:spacing w:after="120" w:line="276" w:lineRule="auto"/>
        <w:jc w:val="both"/>
        <w:rPr>
          <w:rFonts w:ascii="Calibri" w:hAnsi="Calibri" w:cs="Calibri"/>
          <w:i/>
          <w:iCs/>
          <w:color w:val="2C2D5B"/>
        </w:rPr>
      </w:pPr>
      <w:r w:rsidRPr="00E53B29">
        <w:rPr>
          <w:rFonts w:ascii="Calibri" w:hAnsi="Calibri" w:cs="Calibri"/>
          <w:b/>
          <w:bCs/>
          <w:i/>
          <w:iCs/>
          <w:noProof/>
          <w:color w:val="2F5496" w:themeColor="accent1" w:themeShade="BF"/>
          <w:sz w:val="26"/>
          <w:szCs w:val="26"/>
        </w:rPr>
        <w:drawing>
          <wp:anchor distT="0" distB="0" distL="114300" distR="114300" simplePos="0" relativeHeight="251914240" behindDoc="0" locked="0" layoutInCell="1" allowOverlap="1" wp14:anchorId="5D833511" wp14:editId="7F20CE13">
            <wp:simplePos x="0" y="0"/>
            <wp:positionH relativeFrom="column">
              <wp:posOffset>5368925</wp:posOffset>
            </wp:positionH>
            <wp:positionV relativeFrom="paragraph">
              <wp:posOffset>195721</wp:posOffset>
            </wp:positionV>
            <wp:extent cx="582930" cy="508000"/>
            <wp:effectExtent l="0" t="0" r="7620" b="6350"/>
            <wp:wrapNone/>
            <wp:docPr id="195206229" name="Image 1" descr="Une image contenant clipart, croquis, dessin humoristique, dessi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2888710" name="Image 1" descr="Une image contenant clipart, croquis, dessin humoristique, dessin&#10;&#10;Description générée automatiquement"/>
                    <pic:cNvPicPr/>
                  </pic:nvPicPr>
                  <pic:blipFill>
                    <a:blip r:embed="rId13">
                      <a:extLst>
                        <a:ext uri="{28A0092B-C50C-407E-A947-70E740481C1C}">
                          <a14:useLocalDpi xmlns:a14="http://schemas.microsoft.com/office/drawing/2010/main" val="0"/>
                        </a:ext>
                      </a:extLst>
                    </a:blip>
                    <a:stretch>
                      <a:fillRect/>
                    </a:stretch>
                  </pic:blipFill>
                  <pic:spPr>
                    <a:xfrm>
                      <a:off x="0" y="0"/>
                      <a:ext cx="582930" cy="508000"/>
                    </a:xfrm>
                    <a:prstGeom prst="rect">
                      <a:avLst/>
                    </a:prstGeom>
                  </pic:spPr>
                </pic:pic>
              </a:graphicData>
            </a:graphic>
            <wp14:sizeRelH relativeFrom="page">
              <wp14:pctWidth>0</wp14:pctWidth>
            </wp14:sizeRelH>
            <wp14:sizeRelV relativeFrom="page">
              <wp14:pctHeight>0</wp14:pctHeight>
            </wp14:sizeRelV>
          </wp:anchor>
        </w:drawing>
      </w:r>
      <w:r w:rsidR="00571143">
        <w:rPr>
          <w:rFonts w:ascii="Calibri" w:hAnsi="Calibri" w:cs="Calibri"/>
          <w:noProof/>
          <w:color w:val="2C2D5B"/>
          <w14:ligatures w14:val="standardContextual"/>
        </w:rPr>
        <mc:AlternateContent>
          <mc:Choice Requires="wps">
            <w:drawing>
              <wp:anchor distT="0" distB="0" distL="114300" distR="114300" simplePos="0" relativeHeight="251913215" behindDoc="0" locked="0" layoutInCell="1" allowOverlap="1" wp14:anchorId="6AE71917" wp14:editId="65A11BCF">
                <wp:simplePos x="0" y="0"/>
                <wp:positionH relativeFrom="column">
                  <wp:posOffset>5304155</wp:posOffset>
                </wp:positionH>
                <wp:positionV relativeFrom="paragraph">
                  <wp:posOffset>209198</wp:posOffset>
                </wp:positionV>
                <wp:extent cx="582930" cy="631825"/>
                <wp:effectExtent l="0" t="0" r="7620" b="0"/>
                <wp:wrapNone/>
                <wp:docPr id="1240085872" name="Ellipse 69"/>
                <wp:cNvGraphicFramePr/>
                <a:graphic xmlns:a="http://schemas.openxmlformats.org/drawingml/2006/main">
                  <a:graphicData uri="http://schemas.microsoft.com/office/word/2010/wordprocessingShape">
                    <wps:wsp>
                      <wps:cNvSpPr/>
                      <wps:spPr>
                        <a:xfrm>
                          <a:off x="0" y="0"/>
                          <a:ext cx="582930" cy="631825"/>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50CC8084" w14:textId="3C3DD4EA" w:rsidR="00571143" w:rsidRDefault="00571143" w:rsidP="00571143">
                            <w:pPr>
                              <w:jc w:val="center"/>
                            </w:pPr>
                            <w:r>
                              <w:t>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AE71917" id="Ellipse 69" o:spid="_x0000_s1033" style="position:absolute;left:0;text-align:left;margin-left:417.65pt;margin-top:16.45pt;width:45.9pt;height:49.75pt;z-index:251913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b4ZhwIAAHIFAAAOAAAAZHJzL2Uyb0RvYy54bWysVEtv2zAMvg/YfxB0X22nTR9BnCJI0WFA&#10;0RZrh54VWYoFyKImKbGzXz9Kdpx2LXYYdpFF8ePHh0nOr7tGk51wXoEpaXGSUyIMh0qZTUl/PN9+&#10;uaTEB2YqpsGIku6Fp9eLz5/mrZ2JCdSgK+EIkhg/a21J6xDsLMs8r0XD/AlYYVApwTUsoOg2WeVY&#10;i+yNziZ5fp614CrrgAvv8fWmV9JF4pdS8PAgpReB6JJibCGdLp3reGaLOZttHLO14kMY7B+iaJgy&#10;6HSkumGBka1T76gaxR14kOGEQ5OBlIqLlANmU+R/ZPNUMytSLlgcb8cy+f9Hy+93T/bRYRla62ce&#10;rzGLTromfjE+0qVi7cdiiS4Qjo/Ty8nVKZaUo+r8tLicTGMxs6OxdT58FdCQeCmp0FpZH9NhM7a7&#10;86FHH1Dx2YNW1a3SOgmxBcRKO7Jj+PPWm2Lgf4PSJmINRKueML5kx2TSLey1iDhtvgtJVIXhT1Ig&#10;qc+OThjnwoSiV9WsEr3vYprnqVUwu9Ei5ZoII7NE/yP3QPA2gQN3H+WAj6YitelonP8tsN54tEie&#10;wYTRuFEG3EcEGrMaPPf4Q5H60sQqhW7dYW1KehGR8WUN1f7REQf92HjLbxX+yzvmwyNzOCf4+3H2&#10;wwMeUkNbUhhulNTgfn30HvHYvqilpMW5K6n/uWVOUKK/GWzsq+LsLA5qEs6mFxMU3GvN+rXGbJsV&#10;YHcUuGUsT9eID/pwlQ6aF1wRy+gVVcxw9F1SHtxBWIV+H+CS4WK5TDAcTsvCnXmyPJLHOsdGfe5e&#10;mLNDQwechHs4zOi7pu6x0dLAchtAqtTxx7oOfwAHO7XSsITi5ngtJ9RxVS5+AwAA//8DAFBLAwQU&#10;AAYACAAAACEArsPOX+IAAAAKAQAADwAAAGRycy9kb3ducmV2LnhtbEyPy07DMBBF90j8gzVI7KjT&#10;mNA2xKkQr02BioCE2LnxkESNx5HtNuHvMStYju7RvWeK9WR6dkTnO0sS5rMEGFJtdUeNhPe3h4sl&#10;MB8UadVbQgnf6GFdnp4UKtd2pFc8VqFhsYR8riS0IQw5575u0Sg/swNSzL6sMyrE0zVcOzXGctPz&#10;NEmuuFEdxYVWDXjbYr2vDkbC08fLXrjs8W77fL8Zq0RkXbX5lPL8bLq5BhZwCn8w/OpHdSij084e&#10;SHvWS1iKTERUgkhXwCKwShdzYLtIivQSeFnw/y+UPwAAAP//AwBQSwECLQAUAAYACAAAACEAtoM4&#10;kv4AAADhAQAAEwAAAAAAAAAAAAAAAAAAAAAAW0NvbnRlbnRfVHlwZXNdLnhtbFBLAQItABQABgAI&#10;AAAAIQA4/SH/1gAAAJQBAAALAAAAAAAAAAAAAAAAAC8BAABfcmVscy8ucmVsc1BLAQItABQABgAI&#10;AAAAIQBArb4ZhwIAAHIFAAAOAAAAAAAAAAAAAAAAAC4CAABkcnMvZTJvRG9jLnhtbFBLAQItABQA&#10;BgAIAAAAIQCuw85f4gAAAAoBAAAPAAAAAAAAAAAAAAAAAOEEAABkcnMvZG93bnJldi54bWxQSwUG&#10;AAAAAAQABADzAAAA8AUAAAAA&#10;" fillcolor="white [3212]" stroked="f" strokeweight="1pt">
                <v:stroke joinstyle="miter"/>
                <v:textbox>
                  <w:txbxContent>
                    <w:p w14:paraId="50CC8084" w14:textId="3C3DD4EA" w:rsidR="00571143" w:rsidRDefault="00571143" w:rsidP="00571143">
                      <w:pPr>
                        <w:jc w:val="center"/>
                      </w:pPr>
                      <w:r>
                        <w:t>0</w:t>
                      </w:r>
                    </w:p>
                  </w:txbxContent>
                </v:textbox>
              </v:oval>
            </w:pict>
          </mc:Fallback>
        </mc:AlternateContent>
      </w:r>
      <w:r w:rsidR="00C30B32" w:rsidRPr="00EA04E2">
        <w:rPr>
          <w:rFonts w:ascii="Calibri" w:hAnsi="Calibri" w:cs="Calibri"/>
          <w:noProof/>
          <w:color w:val="2C2D5B"/>
        </w:rPr>
        <mc:AlternateContent>
          <mc:Choice Requires="wps">
            <w:drawing>
              <wp:anchor distT="45720" distB="45720" distL="114300" distR="114300" simplePos="0" relativeHeight="251783168" behindDoc="0" locked="0" layoutInCell="1" allowOverlap="1" wp14:anchorId="750FC4EF" wp14:editId="4CA69716">
                <wp:simplePos x="0" y="0"/>
                <wp:positionH relativeFrom="margin">
                  <wp:posOffset>262890</wp:posOffset>
                </wp:positionH>
                <wp:positionV relativeFrom="paragraph">
                  <wp:posOffset>356235</wp:posOffset>
                </wp:positionV>
                <wp:extent cx="5375275" cy="1964055"/>
                <wp:effectExtent l="0" t="0" r="15875" b="17145"/>
                <wp:wrapSquare wrapText="bothSides"/>
                <wp:docPr id="77560420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5275" cy="1964055"/>
                        </a:xfrm>
                        <a:prstGeom prst="roundRect">
                          <a:avLst/>
                        </a:prstGeom>
                        <a:solidFill>
                          <a:srgbClr val="C9CAE5"/>
                        </a:solidFill>
                        <a:ln w="9525">
                          <a:solidFill>
                            <a:schemeClr val="accent2">
                              <a:lumMod val="20000"/>
                              <a:lumOff val="80000"/>
                            </a:schemeClr>
                          </a:solidFill>
                          <a:miter lim="800000"/>
                          <a:headEnd/>
                          <a:tailEnd/>
                        </a:ln>
                      </wps:spPr>
                      <wps:txbx>
                        <w:txbxContent>
                          <w:p w14:paraId="28385F5E" w14:textId="55EABC33" w:rsidR="00995DD4" w:rsidRPr="00C30B32" w:rsidRDefault="00C30B32">
                            <w:pPr>
                              <w:rPr>
                                <w:rFonts w:ascii="Calibri" w:hAnsi="Calibri" w:cs="Calibri"/>
                                <w:b/>
                                <w:bCs/>
                                <w:color w:val="2C2D5B"/>
                                <w:sz w:val="20"/>
                                <w:szCs w:val="20"/>
                              </w:rPr>
                            </w:pPr>
                            <w:r>
                              <w:rPr>
                                <w:rFonts w:ascii="Calibri" w:hAnsi="Calibri" w:cs="Calibri"/>
                                <w:b/>
                                <w:bCs/>
                                <w:color w:val="2C2D5B"/>
                                <w:sz w:val="20"/>
                                <w:szCs w:val="20"/>
                              </w:rPr>
                              <w:t xml:space="preserve">      </w:t>
                            </w:r>
                            <w:r w:rsidR="00995DD4" w:rsidRPr="00C30B32">
                              <w:rPr>
                                <w:rFonts w:ascii="Calibri" w:hAnsi="Calibri" w:cs="Calibri"/>
                                <w:b/>
                                <w:bCs/>
                                <w:color w:val="2C2D5B"/>
                                <w:sz w:val="20"/>
                                <w:szCs w:val="20"/>
                              </w:rPr>
                              <w:t>Practical examples of Fundamental Rights violations</w:t>
                            </w:r>
                            <w:r w:rsidR="00EA04E2" w:rsidRPr="00C30B32">
                              <w:rPr>
                                <w:rFonts w:ascii="Calibri" w:hAnsi="Calibri" w:cs="Calibri"/>
                                <w:b/>
                                <w:bCs/>
                                <w:color w:val="2C2D5B"/>
                                <w:sz w:val="20"/>
                                <w:szCs w:val="20"/>
                              </w:rPr>
                              <w:t xml:space="preserve"> </w:t>
                            </w:r>
                            <w:r w:rsidR="00995DD4" w:rsidRPr="00C30B32">
                              <w:rPr>
                                <w:rFonts w:ascii="Calibri" w:hAnsi="Calibri" w:cs="Calibri"/>
                                <w:b/>
                                <w:bCs/>
                                <w:color w:val="2C2D5B"/>
                                <w:sz w:val="20"/>
                                <w:szCs w:val="20"/>
                              </w:rPr>
                              <w:t xml:space="preserve">: </w:t>
                            </w:r>
                          </w:p>
                          <w:p w14:paraId="6CE2FB08" w14:textId="77777777" w:rsidR="00995DD4" w:rsidRPr="00C30B32" w:rsidRDefault="00995DD4">
                            <w:pPr>
                              <w:rPr>
                                <w:rFonts w:ascii="Calibri" w:hAnsi="Calibri" w:cs="Calibri"/>
                                <w:b/>
                                <w:bCs/>
                                <w:color w:val="2C2D5B"/>
                                <w:sz w:val="20"/>
                                <w:szCs w:val="20"/>
                              </w:rPr>
                            </w:pPr>
                          </w:p>
                          <w:p w14:paraId="0675F225" w14:textId="77777777" w:rsidR="00C30B32" w:rsidRDefault="00C30B32" w:rsidP="00995DD4">
                            <w:pPr>
                              <w:jc w:val="both"/>
                              <w:rPr>
                                <w:rFonts w:ascii="Calibri" w:hAnsi="Calibri" w:cs="Calibri"/>
                                <w:color w:val="2C2D5B"/>
                                <w:sz w:val="20"/>
                                <w:szCs w:val="20"/>
                              </w:rPr>
                            </w:pPr>
                            <w:r>
                              <w:rPr>
                                <w:rFonts w:ascii="Calibri" w:hAnsi="Calibri" w:cs="Calibri"/>
                                <w:color w:val="2C2D5B"/>
                                <w:sz w:val="20"/>
                                <w:szCs w:val="20"/>
                              </w:rPr>
                              <w:t xml:space="preserve">      </w:t>
                            </w:r>
                            <w:r w:rsidR="00995DD4" w:rsidRPr="00C30B32">
                              <w:rPr>
                                <w:rFonts w:ascii="Calibri" w:hAnsi="Calibri" w:cs="Calibri"/>
                                <w:color w:val="2C2D5B"/>
                                <w:sz w:val="20"/>
                                <w:szCs w:val="20"/>
                              </w:rPr>
                              <w:t xml:space="preserve">Daily practice within the EU provides several examples of fundamental rights’ violations within the </w:t>
                            </w:r>
                            <w:r>
                              <w:rPr>
                                <w:rFonts w:ascii="Calibri" w:hAnsi="Calibri" w:cs="Calibri"/>
                                <w:color w:val="2C2D5B"/>
                                <w:sz w:val="20"/>
                                <w:szCs w:val="20"/>
                              </w:rPr>
                              <w:t xml:space="preserve">    </w:t>
                            </w:r>
                          </w:p>
                          <w:p w14:paraId="22112CF6" w14:textId="6646F024" w:rsidR="00995DD4" w:rsidRPr="00C30B32" w:rsidRDefault="00C30B32" w:rsidP="00995DD4">
                            <w:pPr>
                              <w:jc w:val="both"/>
                              <w:rPr>
                                <w:rFonts w:ascii="Calibri" w:hAnsi="Calibri" w:cs="Calibri"/>
                                <w:color w:val="2C2D5B"/>
                                <w:sz w:val="20"/>
                                <w:szCs w:val="20"/>
                              </w:rPr>
                            </w:pPr>
                            <w:r>
                              <w:rPr>
                                <w:rFonts w:ascii="Calibri" w:hAnsi="Calibri" w:cs="Calibri"/>
                                <w:color w:val="2C2D5B"/>
                                <w:sz w:val="20"/>
                                <w:szCs w:val="20"/>
                              </w:rPr>
                              <w:t xml:space="preserve">      </w:t>
                            </w:r>
                            <w:r w:rsidR="00995DD4" w:rsidRPr="00C30B32">
                              <w:rPr>
                                <w:rFonts w:ascii="Calibri" w:hAnsi="Calibri" w:cs="Calibri"/>
                                <w:color w:val="2C2D5B"/>
                                <w:sz w:val="20"/>
                                <w:szCs w:val="20"/>
                              </w:rPr>
                              <w:t xml:space="preserve">EU institutional framework. For instance: </w:t>
                            </w:r>
                          </w:p>
                          <w:p w14:paraId="63824D2F" w14:textId="787388E0" w:rsidR="00995DD4" w:rsidRPr="00C30B32" w:rsidRDefault="00995DD4" w:rsidP="00253E61">
                            <w:pPr>
                              <w:pStyle w:val="Odstavecseseznamem"/>
                              <w:numPr>
                                <w:ilvl w:val="0"/>
                                <w:numId w:val="21"/>
                              </w:numPr>
                              <w:jc w:val="both"/>
                              <w:rPr>
                                <w:rFonts w:ascii="Calibri" w:hAnsi="Calibri" w:cs="Calibri"/>
                                <w:color w:val="2C2D5B"/>
                                <w:sz w:val="20"/>
                                <w:szCs w:val="20"/>
                              </w:rPr>
                            </w:pPr>
                            <w:r w:rsidRPr="00C30B32">
                              <w:rPr>
                                <w:rFonts w:ascii="Calibri" w:hAnsi="Calibri" w:cs="Calibri"/>
                                <w:color w:val="2C2D5B"/>
                                <w:sz w:val="20"/>
                                <w:szCs w:val="20"/>
                              </w:rPr>
                              <w:t xml:space="preserve">The adoption of a legal Act, Directive or Regulation that does not provide adequate safeguards as to the treatment of personal data; </w:t>
                            </w:r>
                          </w:p>
                          <w:p w14:paraId="34064333" w14:textId="767F257F" w:rsidR="00995DD4" w:rsidRPr="00C30B32" w:rsidRDefault="00995DD4" w:rsidP="00253E61">
                            <w:pPr>
                              <w:pStyle w:val="Odstavecseseznamem"/>
                              <w:numPr>
                                <w:ilvl w:val="0"/>
                                <w:numId w:val="21"/>
                              </w:numPr>
                              <w:jc w:val="both"/>
                              <w:rPr>
                                <w:rFonts w:ascii="Calibri" w:hAnsi="Calibri" w:cs="Calibri"/>
                                <w:color w:val="2C2D5B"/>
                                <w:sz w:val="20"/>
                                <w:szCs w:val="20"/>
                              </w:rPr>
                            </w:pPr>
                            <w:r w:rsidRPr="00C30B32">
                              <w:rPr>
                                <w:rFonts w:ascii="Calibri" w:hAnsi="Calibri" w:cs="Calibri"/>
                                <w:color w:val="2C2D5B"/>
                                <w:sz w:val="20"/>
                                <w:szCs w:val="20"/>
                              </w:rPr>
                              <w:t xml:space="preserve">The refusal to grant access to certain documents in the workplace; </w:t>
                            </w:r>
                          </w:p>
                          <w:p w14:paraId="0FE4AAA9" w14:textId="2ABD8780" w:rsidR="00995DD4" w:rsidRPr="00C30B32" w:rsidRDefault="00995DD4" w:rsidP="00253E61">
                            <w:pPr>
                              <w:pStyle w:val="Odstavecseseznamem"/>
                              <w:numPr>
                                <w:ilvl w:val="0"/>
                                <w:numId w:val="21"/>
                              </w:numPr>
                              <w:jc w:val="both"/>
                              <w:rPr>
                                <w:rFonts w:ascii="Calibri" w:hAnsi="Calibri" w:cs="Calibri"/>
                                <w:color w:val="2C2D5B"/>
                                <w:sz w:val="20"/>
                                <w:szCs w:val="20"/>
                              </w:rPr>
                            </w:pPr>
                            <w:r w:rsidRPr="00C30B32">
                              <w:rPr>
                                <w:rFonts w:ascii="Calibri" w:hAnsi="Calibri" w:cs="Calibri"/>
                                <w:color w:val="2C2D5B"/>
                                <w:sz w:val="20"/>
                                <w:szCs w:val="20"/>
                              </w:rPr>
                              <w:t xml:space="preserve">An investigation by Commission officials infringing on the right to respect for private life while examining competition rules violations.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750FC4EF" id="_x0000_s1034" style="position:absolute;left:0;text-align:left;margin-left:20.7pt;margin-top:28.05pt;width:423.25pt;height:154.65pt;z-index:2517831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4qcrPgIAAGoEAAAOAAAAZHJzL2Uyb0RvYy54bWysVNtu2zAMfR+wfxD0vtjJ4qYx4hRZ2g4D&#10;ugvW7QNkSY6FyaInKbGzrx8lO2myvQ17EURSPiQPD7266xtNDtI6Baag00lKiTQchDK7gn7/9vjm&#10;lhLnmRFMg5EFPUpH79avX626NpczqEELaQmCGJd3bUFr79s8SRyvZcPcBFppMFiBbZhH0+4SYVmH&#10;6I1OZml6k3RgRWuBS+fQez8E6TriV5Xk/nNVOemJLijW5uNp41mGM1mvWL6zrK0VH8tg/1BFw5TB&#10;pGeoe+YZ2Vv1F1SjuAUHlZ9waBKoKsVl7AG7maZ/dPNcs1bGXpAc155pcv8Pln86PLdfLPH9O+hx&#10;gLEJ1z4B/+GIgW3NzE5urIWulkxg4mmgLOlal4+fBqpd7gJI2X0EgUNmew8RqK9sE1jBPgmi4wCO&#10;Z9Jl7wlHZ/Z2kc0WGSUcY9PlzTzNspiD5afPW+v8ewkNCZeCWtgb8RVHG3Oww5PzoSaWn96FlA60&#10;Eo9K62jYXbnVlhwYymC73G4eTimunmlDuoIus1k20HAFERQpzyCMc2n8LL7T+wb7HsBRk+moKnSj&#10;9gb37cmNVUZtB6RY81UBjfK4DVo1BY1fjEiB+gcjolY9U3q4I5Q24ywC/cMgfF/2RAkECCSG0ZQg&#10;jjgcC4P4cVnxUoP9RUmHwi+o+7lnVlKiPxgc8HI6n4dNicY8W8zQsJeR8jLCDEeognpKhuvWx+0K&#10;rBvYoBAqFafzUslYMgo6EjAuX9iYSzu+evlFrH8DAAD//wMAUEsDBBQABgAIAAAAIQD1nqKx3gAA&#10;AAkBAAAPAAAAZHJzL2Rvd25yZXYueG1sTI9BT4QwFITvJv6H5pl4cwsKiEjZbExMTDwYdv0Bb+EJ&#10;uO0roV1g/731pMfJTGa+Kber0WKmyQ2WFcSbCARxY9uBOwWfh9e7HITzyC1qy6TgQg621fVViUVr&#10;F65p3vtOhBJ2BSrovR8LKV3Tk0G3sSNx8L7sZNAHOXWynXAJ5UbL+yjKpMGBw0KPI7301Jz2Z6Ng&#10;3OmlO8zvRr9dlhOm33Nt6w+lbm/W3TMIT6v/C8MvfkCHKjAd7ZlbJ7SCJE5CUkGaxSCCn+ePTyCO&#10;Ch6yNAFZlfL/g+oHAAD//wMAUEsBAi0AFAAGAAgAAAAhALaDOJL+AAAA4QEAABMAAAAAAAAAAAAA&#10;AAAAAAAAAFtDb250ZW50X1R5cGVzXS54bWxQSwECLQAUAAYACAAAACEAOP0h/9YAAACUAQAACwAA&#10;AAAAAAAAAAAAAAAvAQAAX3JlbHMvLnJlbHNQSwECLQAUAAYACAAAACEAmeKnKz4CAABqBAAADgAA&#10;AAAAAAAAAAAAAAAuAgAAZHJzL2Uyb0RvYy54bWxQSwECLQAUAAYACAAAACEA9Z6isd4AAAAJAQAA&#10;DwAAAAAAAAAAAAAAAACYBAAAZHJzL2Rvd25yZXYueG1sUEsFBgAAAAAEAAQA8wAAAKMFAAAAAA==&#10;" fillcolor="#c9cae5" strokecolor="#fbe4d5 [661]">
                <v:stroke joinstyle="miter"/>
                <v:textbox>
                  <w:txbxContent>
                    <w:p w14:paraId="28385F5E" w14:textId="55EABC33" w:rsidR="00995DD4" w:rsidRPr="00C30B32" w:rsidRDefault="00C30B32">
                      <w:pPr>
                        <w:rPr>
                          <w:rFonts w:ascii="Calibri" w:hAnsi="Calibri" w:cs="Calibri"/>
                          <w:b/>
                          <w:bCs/>
                          <w:color w:val="2C2D5B"/>
                          <w:sz w:val="20"/>
                          <w:szCs w:val="20"/>
                        </w:rPr>
                      </w:pPr>
                      <w:r>
                        <w:rPr>
                          <w:rFonts w:ascii="Calibri" w:hAnsi="Calibri" w:cs="Calibri"/>
                          <w:b/>
                          <w:bCs/>
                          <w:color w:val="2C2D5B"/>
                          <w:sz w:val="20"/>
                          <w:szCs w:val="20"/>
                        </w:rPr>
                        <w:t xml:space="preserve">      </w:t>
                      </w:r>
                      <w:r w:rsidR="00995DD4" w:rsidRPr="00C30B32">
                        <w:rPr>
                          <w:rFonts w:ascii="Calibri" w:hAnsi="Calibri" w:cs="Calibri"/>
                          <w:b/>
                          <w:bCs/>
                          <w:color w:val="2C2D5B"/>
                          <w:sz w:val="20"/>
                          <w:szCs w:val="20"/>
                        </w:rPr>
                        <w:t>Practical examples of Fundamental Rights violations</w:t>
                      </w:r>
                      <w:r w:rsidR="00EA04E2" w:rsidRPr="00C30B32">
                        <w:rPr>
                          <w:rFonts w:ascii="Calibri" w:hAnsi="Calibri" w:cs="Calibri"/>
                          <w:b/>
                          <w:bCs/>
                          <w:color w:val="2C2D5B"/>
                          <w:sz w:val="20"/>
                          <w:szCs w:val="20"/>
                        </w:rPr>
                        <w:t xml:space="preserve"> </w:t>
                      </w:r>
                      <w:r w:rsidR="00995DD4" w:rsidRPr="00C30B32">
                        <w:rPr>
                          <w:rFonts w:ascii="Calibri" w:hAnsi="Calibri" w:cs="Calibri"/>
                          <w:b/>
                          <w:bCs/>
                          <w:color w:val="2C2D5B"/>
                          <w:sz w:val="20"/>
                          <w:szCs w:val="20"/>
                        </w:rPr>
                        <w:t xml:space="preserve">: </w:t>
                      </w:r>
                    </w:p>
                    <w:p w14:paraId="6CE2FB08" w14:textId="77777777" w:rsidR="00995DD4" w:rsidRPr="00C30B32" w:rsidRDefault="00995DD4">
                      <w:pPr>
                        <w:rPr>
                          <w:rFonts w:ascii="Calibri" w:hAnsi="Calibri" w:cs="Calibri"/>
                          <w:b/>
                          <w:bCs/>
                          <w:color w:val="2C2D5B"/>
                          <w:sz w:val="20"/>
                          <w:szCs w:val="20"/>
                        </w:rPr>
                      </w:pPr>
                    </w:p>
                    <w:p w14:paraId="0675F225" w14:textId="77777777" w:rsidR="00C30B32" w:rsidRDefault="00C30B32" w:rsidP="00995DD4">
                      <w:pPr>
                        <w:jc w:val="both"/>
                        <w:rPr>
                          <w:rFonts w:ascii="Calibri" w:hAnsi="Calibri" w:cs="Calibri"/>
                          <w:color w:val="2C2D5B"/>
                          <w:sz w:val="20"/>
                          <w:szCs w:val="20"/>
                        </w:rPr>
                      </w:pPr>
                      <w:r>
                        <w:rPr>
                          <w:rFonts w:ascii="Calibri" w:hAnsi="Calibri" w:cs="Calibri"/>
                          <w:color w:val="2C2D5B"/>
                          <w:sz w:val="20"/>
                          <w:szCs w:val="20"/>
                        </w:rPr>
                        <w:t xml:space="preserve">      </w:t>
                      </w:r>
                      <w:r w:rsidR="00995DD4" w:rsidRPr="00C30B32">
                        <w:rPr>
                          <w:rFonts w:ascii="Calibri" w:hAnsi="Calibri" w:cs="Calibri"/>
                          <w:color w:val="2C2D5B"/>
                          <w:sz w:val="20"/>
                          <w:szCs w:val="20"/>
                        </w:rPr>
                        <w:t xml:space="preserve">Daily practice within the EU provides several examples of fundamental rights’ violations within the </w:t>
                      </w:r>
                      <w:r>
                        <w:rPr>
                          <w:rFonts w:ascii="Calibri" w:hAnsi="Calibri" w:cs="Calibri"/>
                          <w:color w:val="2C2D5B"/>
                          <w:sz w:val="20"/>
                          <w:szCs w:val="20"/>
                        </w:rPr>
                        <w:t xml:space="preserve">    </w:t>
                      </w:r>
                    </w:p>
                    <w:p w14:paraId="22112CF6" w14:textId="6646F024" w:rsidR="00995DD4" w:rsidRPr="00C30B32" w:rsidRDefault="00C30B32" w:rsidP="00995DD4">
                      <w:pPr>
                        <w:jc w:val="both"/>
                        <w:rPr>
                          <w:rFonts w:ascii="Calibri" w:hAnsi="Calibri" w:cs="Calibri"/>
                          <w:color w:val="2C2D5B"/>
                          <w:sz w:val="20"/>
                          <w:szCs w:val="20"/>
                        </w:rPr>
                      </w:pPr>
                      <w:r>
                        <w:rPr>
                          <w:rFonts w:ascii="Calibri" w:hAnsi="Calibri" w:cs="Calibri"/>
                          <w:color w:val="2C2D5B"/>
                          <w:sz w:val="20"/>
                          <w:szCs w:val="20"/>
                        </w:rPr>
                        <w:t xml:space="preserve">      </w:t>
                      </w:r>
                      <w:r w:rsidR="00995DD4" w:rsidRPr="00C30B32">
                        <w:rPr>
                          <w:rFonts w:ascii="Calibri" w:hAnsi="Calibri" w:cs="Calibri"/>
                          <w:color w:val="2C2D5B"/>
                          <w:sz w:val="20"/>
                          <w:szCs w:val="20"/>
                        </w:rPr>
                        <w:t xml:space="preserve">EU institutional framework. For instance: </w:t>
                      </w:r>
                    </w:p>
                    <w:p w14:paraId="63824D2F" w14:textId="787388E0" w:rsidR="00995DD4" w:rsidRPr="00C30B32" w:rsidRDefault="00995DD4" w:rsidP="00253E61">
                      <w:pPr>
                        <w:pStyle w:val="Paragraphedeliste"/>
                        <w:numPr>
                          <w:ilvl w:val="0"/>
                          <w:numId w:val="21"/>
                        </w:numPr>
                        <w:jc w:val="both"/>
                        <w:rPr>
                          <w:rFonts w:ascii="Calibri" w:hAnsi="Calibri" w:cs="Calibri"/>
                          <w:color w:val="2C2D5B"/>
                          <w:sz w:val="20"/>
                          <w:szCs w:val="20"/>
                        </w:rPr>
                      </w:pPr>
                      <w:r w:rsidRPr="00C30B32">
                        <w:rPr>
                          <w:rFonts w:ascii="Calibri" w:hAnsi="Calibri" w:cs="Calibri"/>
                          <w:color w:val="2C2D5B"/>
                          <w:sz w:val="20"/>
                          <w:szCs w:val="20"/>
                        </w:rPr>
                        <w:t xml:space="preserve">The adoption of a legal Act, Directive or Regulation that does not provide adequate safeguards as to the treatment of personal data; </w:t>
                      </w:r>
                    </w:p>
                    <w:p w14:paraId="34064333" w14:textId="767F257F" w:rsidR="00995DD4" w:rsidRPr="00C30B32" w:rsidRDefault="00995DD4" w:rsidP="00253E61">
                      <w:pPr>
                        <w:pStyle w:val="Paragraphedeliste"/>
                        <w:numPr>
                          <w:ilvl w:val="0"/>
                          <w:numId w:val="21"/>
                        </w:numPr>
                        <w:jc w:val="both"/>
                        <w:rPr>
                          <w:rFonts w:ascii="Calibri" w:hAnsi="Calibri" w:cs="Calibri"/>
                          <w:color w:val="2C2D5B"/>
                          <w:sz w:val="20"/>
                          <w:szCs w:val="20"/>
                        </w:rPr>
                      </w:pPr>
                      <w:r w:rsidRPr="00C30B32">
                        <w:rPr>
                          <w:rFonts w:ascii="Calibri" w:hAnsi="Calibri" w:cs="Calibri"/>
                          <w:color w:val="2C2D5B"/>
                          <w:sz w:val="20"/>
                          <w:szCs w:val="20"/>
                        </w:rPr>
                        <w:t xml:space="preserve">The refusal to grant access to certain documents in the workplace; </w:t>
                      </w:r>
                    </w:p>
                    <w:p w14:paraId="0FE4AAA9" w14:textId="2ABD8780" w:rsidR="00995DD4" w:rsidRPr="00C30B32" w:rsidRDefault="00995DD4" w:rsidP="00253E61">
                      <w:pPr>
                        <w:pStyle w:val="Paragraphedeliste"/>
                        <w:numPr>
                          <w:ilvl w:val="0"/>
                          <w:numId w:val="21"/>
                        </w:numPr>
                        <w:jc w:val="both"/>
                        <w:rPr>
                          <w:rFonts w:ascii="Calibri" w:hAnsi="Calibri" w:cs="Calibri"/>
                          <w:color w:val="2C2D5B"/>
                          <w:sz w:val="20"/>
                          <w:szCs w:val="20"/>
                        </w:rPr>
                      </w:pPr>
                      <w:r w:rsidRPr="00C30B32">
                        <w:rPr>
                          <w:rFonts w:ascii="Calibri" w:hAnsi="Calibri" w:cs="Calibri"/>
                          <w:color w:val="2C2D5B"/>
                          <w:sz w:val="20"/>
                          <w:szCs w:val="20"/>
                        </w:rPr>
                        <w:t xml:space="preserve">An investigation by Commission officials infringing on the right to respect for private life while examining competition rules violations. </w:t>
                      </w:r>
                    </w:p>
                  </w:txbxContent>
                </v:textbox>
                <w10:wrap type="square" anchorx="margin"/>
              </v:roundrect>
            </w:pict>
          </mc:Fallback>
        </mc:AlternateContent>
      </w:r>
    </w:p>
    <w:p w14:paraId="24DA63A3" w14:textId="5E914B4F" w:rsidR="00447E92" w:rsidRDefault="00447E92" w:rsidP="00E16DBB">
      <w:pPr>
        <w:spacing w:after="120" w:line="276" w:lineRule="auto"/>
        <w:jc w:val="both"/>
        <w:rPr>
          <w:rFonts w:asciiTheme="majorHAnsi" w:hAnsiTheme="majorHAnsi" w:cstheme="majorHAnsi"/>
          <w:b/>
          <w:bCs/>
          <w:i/>
          <w:iCs/>
          <w:color w:val="2F5496" w:themeColor="accent1" w:themeShade="BF"/>
          <w:sz w:val="26"/>
          <w:szCs w:val="26"/>
        </w:rPr>
      </w:pPr>
    </w:p>
    <w:p w14:paraId="4AEFEF00" w14:textId="4B226B55" w:rsidR="00447E92" w:rsidRDefault="00C35ABC" w:rsidP="00E16DBB">
      <w:pPr>
        <w:spacing w:after="120" w:line="276" w:lineRule="auto"/>
        <w:jc w:val="both"/>
        <w:rPr>
          <w:rFonts w:asciiTheme="majorHAnsi" w:hAnsiTheme="majorHAnsi" w:cstheme="majorHAnsi"/>
          <w:b/>
          <w:bCs/>
          <w:i/>
          <w:iCs/>
          <w:color w:val="2F5496" w:themeColor="accent1" w:themeShade="BF"/>
          <w:sz w:val="26"/>
          <w:szCs w:val="26"/>
        </w:rPr>
      </w:pPr>
      <w:r w:rsidRPr="005361C5">
        <w:rPr>
          <w:rFonts w:asciiTheme="majorHAnsi" w:hAnsiTheme="majorHAnsi" w:cstheme="majorHAnsi"/>
          <w:b/>
          <w:bCs/>
          <w:i/>
          <w:iCs/>
          <w:color w:val="2F5496" w:themeColor="accent1" w:themeShade="BF"/>
          <w:sz w:val="26"/>
          <w:szCs w:val="26"/>
        </w:rPr>
        <w:t>Member States Obligations</w:t>
      </w:r>
      <w:r w:rsidR="00447E92">
        <w:rPr>
          <w:rFonts w:asciiTheme="majorHAnsi" w:hAnsiTheme="majorHAnsi" w:cstheme="majorHAnsi"/>
          <w:b/>
          <w:bCs/>
          <w:i/>
          <w:iCs/>
          <w:color w:val="2F5496" w:themeColor="accent1" w:themeShade="BF"/>
          <w:sz w:val="26"/>
          <w:szCs w:val="26"/>
        </w:rPr>
        <w:t xml:space="preserve"> </w:t>
      </w:r>
    </w:p>
    <w:p w14:paraId="6BF960DE" w14:textId="10B1156E" w:rsidR="00995DD4" w:rsidRPr="00EA04E2" w:rsidRDefault="00EC2273" w:rsidP="00E16DBB">
      <w:pPr>
        <w:spacing w:after="120" w:line="276" w:lineRule="auto"/>
        <w:jc w:val="both"/>
        <w:rPr>
          <w:rFonts w:asciiTheme="majorHAnsi" w:hAnsiTheme="majorHAnsi" w:cstheme="majorHAnsi"/>
          <w:b/>
          <w:bCs/>
          <w:color w:val="2C2D5B"/>
        </w:rPr>
      </w:pPr>
      <w:r w:rsidRPr="00EA04E2">
        <w:rPr>
          <w:rFonts w:asciiTheme="majorHAnsi" w:hAnsiTheme="majorHAnsi" w:cstheme="majorHAnsi"/>
          <w:color w:val="2C2D5B"/>
        </w:rPr>
        <w:t>Member States</w:t>
      </w:r>
      <w:r w:rsidR="0047150D" w:rsidRPr="00EA04E2">
        <w:rPr>
          <w:rFonts w:asciiTheme="majorHAnsi" w:hAnsiTheme="majorHAnsi" w:cstheme="majorHAnsi"/>
          <w:color w:val="2C2D5B"/>
        </w:rPr>
        <w:t xml:space="preserve"> are also </w:t>
      </w:r>
      <w:r w:rsidR="00C35ABC" w:rsidRPr="00EA04E2">
        <w:rPr>
          <w:rFonts w:asciiTheme="majorHAnsi" w:hAnsiTheme="majorHAnsi" w:cstheme="majorHAnsi"/>
          <w:color w:val="2C2D5B"/>
        </w:rPr>
        <w:t xml:space="preserve">bound </w:t>
      </w:r>
      <w:r w:rsidR="0047150D" w:rsidRPr="00EA04E2">
        <w:rPr>
          <w:rFonts w:asciiTheme="majorHAnsi" w:hAnsiTheme="majorHAnsi" w:cstheme="majorHAnsi"/>
          <w:color w:val="2C2D5B"/>
        </w:rPr>
        <w:t>by the EChFR</w:t>
      </w:r>
      <w:r w:rsidRPr="00EA04E2">
        <w:rPr>
          <w:rFonts w:asciiTheme="majorHAnsi" w:hAnsiTheme="majorHAnsi" w:cstheme="majorHAnsi"/>
          <w:color w:val="2C2D5B"/>
        </w:rPr>
        <w:t xml:space="preserve"> but only </w:t>
      </w:r>
      <w:r w:rsidR="00C35ABC" w:rsidRPr="00EA04E2">
        <w:rPr>
          <w:rFonts w:asciiTheme="majorHAnsi" w:hAnsiTheme="majorHAnsi" w:cstheme="majorHAnsi"/>
          <w:color w:val="2C2D5B"/>
        </w:rPr>
        <w:t>“</w:t>
      </w:r>
      <w:r w:rsidRPr="00EA04E2">
        <w:rPr>
          <w:rFonts w:asciiTheme="majorHAnsi" w:hAnsiTheme="majorHAnsi" w:cstheme="majorHAnsi"/>
          <w:color w:val="2C2D5B"/>
        </w:rPr>
        <w:t>when they are implementing EU law</w:t>
      </w:r>
      <w:r w:rsidR="00C35ABC" w:rsidRPr="00EA04E2">
        <w:rPr>
          <w:rFonts w:asciiTheme="majorHAnsi" w:hAnsiTheme="majorHAnsi" w:cstheme="majorHAnsi"/>
          <w:color w:val="2C2D5B"/>
        </w:rPr>
        <w:t>”</w:t>
      </w:r>
      <w:r w:rsidRPr="00EA04E2">
        <w:rPr>
          <w:rFonts w:asciiTheme="majorHAnsi" w:hAnsiTheme="majorHAnsi" w:cstheme="majorHAnsi"/>
          <w:color w:val="2C2D5B"/>
        </w:rPr>
        <w:t>.</w:t>
      </w:r>
      <w:r w:rsidR="0047150D" w:rsidRPr="00EA04E2">
        <w:rPr>
          <w:rFonts w:asciiTheme="majorHAnsi" w:hAnsiTheme="majorHAnsi" w:cstheme="majorHAnsi"/>
          <w:color w:val="2C2D5B"/>
        </w:rPr>
        <w:t xml:space="preserve"> As for the notion of "State", it should be considered in a broad sense. Therefore, central authorities, as well as regional or local bodies, and public bodies are included in the mandate. The Charter is also binding on </w:t>
      </w:r>
      <w:r w:rsidR="002B603D" w:rsidRPr="00EA04E2">
        <w:rPr>
          <w:rFonts w:asciiTheme="majorHAnsi" w:hAnsiTheme="majorHAnsi" w:cstheme="majorHAnsi"/>
          <w:color w:val="2C2D5B"/>
        </w:rPr>
        <w:t xml:space="preserve">Member </w:t>
      </w:r>
      <w:r w:rsidR="0047150D" w:rsidRPr="00EA04E2">
        <w:rPr>
          <w:rFonts w:asciiTheme="majorHAnsi" w:hAnsiTheme="majorHAnsi" w:cstheme="majorHAnsi"/>
          <w:color w:val="2C2D5B"/>
        </w:rPr>
        <w:t>States when they act as employers.</w:t>
      </w:r>
    </w:p>
    <w:p w14:paraId="16DB7410" w14:textId="0274CBBA" w:rsidR="00EC2273" w:rsidRPr="00EA04E2" w:rsidRDefault="002B603D" w:rsidP="00E16DBB">
      <w:pPr>
        <w:spacing w:after="120" w:line="276" w:lineRule="auto"/>
        <w:jc w:val="both"/>
        <w:rPr>
          <w:rFonts w:ascii="Calibri" w:hAnsi="Calibri" w:cs="Calibri"/>
          <w:color w:val="2C2D5B"/>
        </w:rPr>
      </w:pPr>
      <w:r w:rsidRPr="00EA04E2">
        <w:rPr>
          <w:rFonts w:asciiTheme="majorHAnsi" w:hAnsiTheme="majorHAnsi" w:cstheme="majorHAnsi"/>
          <w:color w:val="2C2D5B"/>
        </w:rPr>
        <w:t>Given this subjective scope, t</w:t>
      </w:r>
      <w:r w:rsidR="00EC2273" w:rsidRPr="00EA04E2">
        <w:rPr>
          <w:rFonts w:asciiTheme="majorHAnsi" w:hAnsiTheme="majorHAnsi" w:cstheme="majorHAnsi"/>
          <w:color w:val="2C2D5B"/>
        </w:rPr>
        <w:t xml:space="preserve">he Charter can be relied upon for recourse against any infringement of fundamental rights deriving from an </w:t>
      </w:r>
      <w:r w:rsidR="00145404" w:rsidRPr="00EA04E2">
        <w:rPr>
          <w:rFonts w:asciiTheme="majorHAnsi" w:hAnsiTheme="majorHAnsi" w:cstheme="majorHAnsi"/>
          <w:color w:val="2C2D5B"/>
        </w:rPr>
        <w:t>A</w:t>
      </w:r>
      <w:r w:rsidR="00EC2273" w:rsidRPr="00EA04E2">
        <w:rPr>
          <w:rFonts w:asciiTheme="majorHAnsi" w:hAnsiTheme="majorHAnsi" w:cstheme="majorHAnsi"/>
          <w:color w:val="2C2D5B"/>
        </w:rPr>
        <w:t>ct adopted by the EU institutions, bodies, offices and agencies.</w:t>
      </w:r>
      <w:r w:rsidRPr="00EA04E2">
        <w:rPr>
          <w:rFonts w:asciiTheme="majorHAnsi" w:hAnsiTheme="majorHAnsi" w:cstheme="majorHAnsi"/>
          <w:color w:val="2C2D5B"/>
        </w:rPr>
        <w:t xml:space="preserve"> </w:t>
      </w:r>
      <w:r w:rsidR="00C35ABC" w:rsidRPr="00EA04E2">
        <w:rPr>
          <w:rFonts w:asciiTheme="majorHAnsi" w:hAnsiTheme="majorHAnsi" w:cstheme="majorHAnsi"/>
          <w:color w:val="2C2D5B"/>
        </w:rPr>
        <w:t xml:space="preserve">Moreover, </w:t>
      </w:r>
      <w:r w:rsidRPr="00EA04E2">
        <w:rPr>
          <w:rFonts w:asciiTheme="majorHAnsi" w:hAnsiTheme="majorHAnsi" w:cstheme="majorHAnsi"/>
          <w:color w:val="2C2D5B"/>
        </w:rPr>
        <w:t>i</w:t>
      </w:r>
      <w:r w:rsidR="00EC2273" w:rsidRPr="00EA04E2">
        <w:rPr>
          <w:rFonts w:asciiTheme="majorHAnsi" w:hAnsiTheme="majorHAnsi" w:cstheme="majorHAnsi"/>
          <w:color w:val="2C2D5B"/>
        </w:rPr>
        <w:t>ndividuals may invoke the protection afforded by the Charter in response to an infringement derived from a national act implementing EU law.</w:t>
      </w:r>
      <w:r w:rsidR="00D45864" w:rsidRPr="00EA04E2">
        <w:rPr>
          <w:rFonts w:asciiTheme="majorHAnsi" w:hAnsiTheme="majorHAnsi" w:cstheme="majorHAnsi"/>
          <w:color w:val="2C2D5B"/>
        </w:rPr>
        <w:t xml:space="preserve"> </w:t>
      </w:r>
      <w:r w:rsidR="00EC2273" w:rsidRPr="00EA04E2">
        <w:rPr>
          <w:rFonts w:asciiTheme="majorHAnsi" w:hAnsiTheme="majorHAnsi" w:cstheme="majorHAnsi"/>
          <w:color w:val="2C2D5B"/>
        </w:rPr>
        <w:t xml:space="preserve">This means that the protection offered by the Charter cannot be </w:t>
      </w:r>
      <w:r w:rsidR="00D45864" w:rsidRPr="00EA04E2">
        <w:rPr>
          <w:rFonts w:asciiTheme="majorHAnsi" w:hAnsiTheme="majorHAnsi" w:cstheme="majorHAnsi"/>
          <w:color w:val="2C2D5B"/>
        </w:rPr>
        <w:t>triggered</w:t>
      </w:r>
      <w:r w:rsidR="00EC2273" w:rsidRPr="00EA04E2">
        <w:rPr>
          <w:rFonts w:asciiTheme="majorHAnsi" w:hAnsiTheme="majorHAnsi" w:cstheme="majorHAnsi"/>
          <w:color w:val="2C2D5B"/>
        </w:rPr>
        <w:t xml:space="preserve"> </w:t>
      </w:r>
      <w:r w:rsidR="00C35ABC" w:rsidRPr="00EA04E2">
        <w:rPr>
          <w:rFonts w:asciiTheme="majorHAnsi" w:hAnsiTheme="majorHAnsi" w:cstheme="majorHAnsi"/>
          <w:color w:val="2C2D5B"/>
        </w:rPr>
        <w:t xml:space="preserve">by simply </w:t>
      </w:r>
      <w:r w:rsidR="00EC2273" w:rsidRPr="00EA04E2">
        <w:rPr>
          <w:rFonts w:asciiTheme="majorHAnsi" w:hAnsiTheme="majorHAnsi" w:cstheme="majorHAnsi"/>
          <w:color w:val="2C2D5B"/>
        </w:rPr>
        <w:t>claiming that the case in question concerns the violation of a fundamental right</w:t>
      </w:r>
      <w:r w:rsidR="00EC2273" w:rsidRPr="00EA04E2">
        <w:rPr>
          <w:rFonts w:ascii="Calibri" w:hAnsi="Calibri" w:cs="Calibri"/>
          <w:color w:val="2C2D5B"/>
        </w:rPr>
        <w:t>.</w:t>
      </w:r>
    </w:p>
    <w:p w14:paraId="1012F5C6" w14:textId="51C39AF2" w:rsidR="00D52302" w:rsidRDefault="00D52302" w:rsidP="00EC1B7F">
      <w:pPr>
        <w:spacing w:after="120" w:line="276" w:lineRule="auto"/>
        <w:jc w:val="both"/>
        <w:rPr>
          <w:rFonts w:asciiTheme="majorHAnsi" w:hAnsiTheme="majorHAnsi" w:cstheme="majorHAnsi"/>
          <w:b/>
          <w:bCs/>
          <w:highlight w:val="yellow"/>
        </w:rPr>
      </w:pPr>
    </w:p>
    <w:p w14:paraId="4680DD3B" w14:textId="77777777" w:rsidR="00071D61" w:rsidRDefault="00071D61" w:rsidP="00EC1B7F">
      <w:pPr>
        <w:spacing w:after="120" w:line="276" w:lineRule="auto"/>
        <w:jc w:val="both"/>
        <w:rPr>
          <w:rFonts w:asciiTheme="majorHAnsi" w:hAnsiTheme="majorHAnsi" w:cstheme="majorHAnsi"/>
          <w:b/>
          <w:bCs/>
        </w:rPr>
      </w:pPr>
    </w:p>
    <w:p w14:paraId="09C935CC" w14:textId="77777777" w:rsidR="00071D61" w:rsidRDefault="00071D61" w:rsidP="00EC1B7F">
      <w:pPr>
        <w:spacing w:after="120" w:line="276" w:lineRule="auto"/>
        <w:jc w:val="both"/>
        <w:rPr>
          <w:rFonts w:asciiTheme="majorHAnsi" w:hAnsiTheme="majorHAnsi" w:cstheme="majorHAnsi"/>
          <w:b/>
          <w:bCs/>
        </w:rPr>
      </w:pPr>
    </w:p>
    <w:p w14:paraId="4FFC1361" w14:textId="77777777" w:rsidR="00E870E9" w:rsidRDefault="00E870E9" w:rsidP="00EC1B7F">
      <w:pPr>
        <w:spacing w:after="120" w:line="276" w:lineRule="auto"/>
        <w:jc w:val="both"/>
        <w:rPr>
          <w:rFonts w:asciiTheme="majorHAnsi" w:hAnsiTheme="majorHAnsi" w:cstheme="majorHAnsi"/>
          <w:b/>
          <w:bCs/>
        </w:rPr>
      </w:pPr>
    </w:p>
    <w:p w14:paraId="1981291D" w14:textId="77777777" w:rsidR="00E870E9" w:rsidRDefault="00E870E9" w:rsidP="00EC1B7F">
      <w:pPr>
        <w:spacing w:after="120" w:line="276" w:lineRule="auto"/>
        <w:jc w:val="both"/>
        <w:rPr>
          <w:rFonts w:asciiTheme="majorHAnsi" w:hAnsiTheme="majorHAnsi" w:cstheme="majorHAnsi"/>
          <w:b/>
          <w:bCs/>
        </w:rPr>
      </w:pPr>
    </w:p>
    <w:p w14:paraId="6FB21D66" w14:textId="77777777" w:rsidR="00E870E9" w:rsidRDefault="00E870E9" w:rsidP="00EC1B7F">
      <w:pPr>
        <w:spacing w:after="120" w:line="276" w:lineRule="auto"/>
        <w:jc w:val="both"/>
        <w:rPr>
          <w:rFonts w:asciiTheme="majorHAnsi" w:hAnsiTheme="majorHAnsi" w:cstheme="majorHAnsi"/>
          <w:b/>
          <w:bCs/>
        </w:rPr>
      </w:pPr>
    </w:p>
    <w:p w14:paraId="7A7B167B" w14:textId="77777777" w:rsidR="00E870E9" w:rsidRDefault="00E870E9" w:rsidP="00EC1B7F">
      <w:pPr>
        <w:spacing w:after="120" w:line="276" w:lineRule="auto"/>
        <w:jc w:val="both"/>
        <w:rPr>
          <w:rFonts w:asciiTheme="majorHAnsi" w:hAnsiTheme="majorHAnsi" w:cstheme="majorHAnsi"/>
          <w:b/>
          <w:bCs/>
        </w:rPr>
      </w:pPr>
    </w:p>
    <w:p w14:paraId="2D37AE87" w14:textId="77777777" w:rsidR="00071D61" w:rsidRDefault="00071D61" w:rsidP="00EC1B7F">
      <w:pPr>
        <w:spacing w:after="120" w:line="276" w:lineRule="auto"/>
        <w:jc w:val="both"/>
        <w:rPr>
          <w:rFonts w:asciiTheme="majorHAnsi" w:hAnsiTheme="majorHAnsi" w:cstheme="majorHAnsi"/>
          <w:b/>
          <w:bCs/>
        </w:rPr>
      </w:pPr>
    </w:p>
    <w:p w14:paraId="1E097BC2" w14:textId="77777777" w:rsidR="00447E92" w:rsidRDefault="00447E92" w:rsidP="00EC1B7F">
      <w:pPr>
        <w:spacing w:after="120" w:line="276" w:lineRule="auto"/>
        <w:jc w:val="both"/>
        <w:rPr>
          <w:rFonts w:asciiTheme="majorHAnsi" w:hAnsiTheme="majorHAnsi" w:cstheme="majorHAnsi"/>
          <w:b/>
          <w:bCs/>
        </w:rPr>
      </w:pPr>
    </w:p>
    <w:p w14:paraId="4FA4A80F" w14:textId="07A5B730" w:rsidR="00E870E9" w:rsidRPr="00C30B32" w:rsidRDefault="00052810" w:rsidP="00E870E9">
      <w:pPr>
        <w:spacing w:after="120" w:line="276" w:lineRule="auto"/>
        <w:jc w:val="both"/>
        <w:rPr>
          <w:rFonts w:asciiTheme="majorHAnsi" w:hAnsiTheme="majorHAnsi" w:cstheme="majorHAnsi"/>
          <w:b/>
          <w:bCs/>
        </w:rPr>
      </w:pPr>
      <w:r>
        <w:rPr>
          <w:rFonts w:asciiTheme="majorHAnsi" w:hAnsiTheme="majorHAnsi" w:cstheme="majorHAnsi"/>
          <w:noProof/>
          <w:color w:val="000000"/>
          <w14:ligatures w14:val="standardContextual"/>
        </w:rPr>
        <mc:AlternateContent>
          <mc:Choice Requires="wps">
            <w:drawing>
              <wp:anchor distT="0" distB="0" distL="114300" distR="114300" simplePos="0" relativeHeight="251909120" behindDoc="0" locked="0" layoutInCell="1" allowOverlap="1" wp14:anchorId="454E56E9" wp14:editId="58B5579E">
                <wp:simplePos x="0" y="0"/>
                <wp:positionH relativeFrom="column">
                  <wp:posOffset>5293995</wp:posOffset>
                </wp:positionH>
                <wp:positionV relativeFrom="paragraph">
                  <wp:posOffset>290195</wp:posOffset>
                </wp:positionV>
                <wp:extent cx="670560" cy="620395"/>
                <wp:effectExtent l="0" t="0" r="0" b="8255"/>
                <wp:wrapNone/>
                <wp:docPr id="214569723" name="Ellipse 68"/>
                <wp:cNvGraphicFramePr/>
                <a:graphic xmlns:a="http://schemas.openxmlformats.org/drawingml/2006/main">
                  <a:graphicData uri="http://schemas.microsoft.com/office/word/2010/wordprocessingShape">
                    <wps:wsp>
                      <wps:cNvSpPr/>
                      <wps:spPr>
                        <a:xfrm>
                          <a:off x="0" y="0"/>
                          <a:ext cx="670560" cy="620395"/>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46C3006B" id="Ellipse 68" o:spid="_x0000_s1026" style="position:absolute;margin-left:416.85pt;margin-top:22.85pt;width:52.8pt;height:48.85pt;z-index:251909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urfAIAAGAFAAAOAAAAZHJzL2Uyb0RvYy54bWysVFFv2yAQfp+0/4B4X21nSbpGcaooVadJ&#10;VVutnfpMMMRImGNA4mS/fgd2nHSt9jDtBQN3993d5++YX+8bTXbCeQWmpMVFTokwHCplNiX98Xz7&#10;6QslPjBTMQ1GlPQgPL1efPwwb+1MjKAGXQlHEMT4WWtLWodgZ1nmeS0a5i/ACoNGCa5hAY9uk1WO&#10;tYje6GyU59OsBVdZB1x4j7c3nZEuEr6UgocHKb0IRJcUawtpdWldxzVbzNls45itFe/LYP9QRcOU&#10;waQD1A0LjGydegPVKO7AgwwXHJoMpFRcpB6wmyL/o5unmlmRekFyvB1o8v8Plt/vnuyjQxpa62ce&#10;t7GLvXRN/GJ9ZJ/IOgxkiX0gHC+nl/lkipRyNE1H+eerSSQzOwVb58NXAQ2Jm5IKrZX1sR02Y7s7&#10;Hzrvo1e89qBVdau0TocoAbHSjuwY/rz1pujxX3lpE30NxKgOMN5kp2bSLhy0iH7afBeSqArLH6VC&#10;ks5OSRjnwoSiM9WsEl3uYpLnSSrY3RCRek2AEVli/gG7B3jdwBG7q7L3j6EiyXQIzv9WWBc8RKTM&#10;YMIQ3CgD7j0AjV31mTv/I0kdNZGlNVSHR0ccdEPiLb9V+OfumA+PzOFU4M/GSQ8PuEgNbUmh31FS&#10;g/v13n30R7GilZIWp6yk/ueWOUGJ/mZQxlfFeBzHMh3Gk8sRHty5ZX1uMdtmBaiFAt8Uy9M2+gd9&#10;3EoHzQs+CMuYFU3McMxdUh7c8bAK3fTjk8LFcpnccBQtC3fmyfIIHlmNsnzevzBne/kG1P09HCfy&#10;jYQ73xhpYLkNIFXS94nXnm8c4ySc/smJ78T5OXmdHsbFbwAAAP//AwBQSwMEFAAGAAgAAAAhAO2c&#10;BSfiAAAACgEAAA8AAABkcnMvZG93bnJldi54bWxMj8tOwzAQRfdI/IM1SOyoA05oG+JUiNemUERA&#10;Quzc2CRR43Fku0369wwrWI1Gc3Tn3GI12Z4djA+dQwmXswSYwdrpDhsJH++PFwtgISrUqndoJBxN&#10;gFV5elKoXLsR38yhig2jEAy5ktDGOOSch7o1VoWZGwzS7dt5qyKtvuHaq5HCbc+vkuSaW9UhfWjV&#10;YO5aU++qvZXw/LnZCZ893b++PKzHKhFZV62/pDw/m25vgEUzxT8YfvVJHUpy2ro96sB6CQsh5oRK&#10;SDOaBCzFUgDbEpmKFHhZ8P8Vyh8AAAD//wMAUEsBAi0AFAAGAAgAAAAhALaDOJL+AAAA4QEAABMA&#10;AAAAAAAAAAAAAAAAAAAAAFtDb250ZW50X1R5cGVzXS54bWxQSwECLQAUAAYACAAAACEAOP0h/9YA&#10;AACUAQAACwAAAAAAAAAAAAAAAAAvAQAAX3JlbHMvLnJlbHNQSwECLQAUAAYACAAAACEAP1Pbq3wC&#10;AABgBQAADgAAAAAAAAAAAAAAAAAuAgAAZHJzL2Uyb0RvYy54bWxQSwECLQAUAAYACAAAACEA7ZwF&#10;J+IAAAAKAQAADwAAAAAAAAAAAAAAAADWBAAAZHJzL2Rvd25yZXYueG1sUEsFBgAAAAAEAAQA8wAA&#10;AOUFAAAAAA==&#10;" fillcolor="white [3212]" stroked="f" strokeweight="1pt">
                <v:stroke joinstyle="miter"/>
              </v:oval>
            </w:pict>
          </mc:Fallback>
        </mc:AlternateContent>
      </w:r>
      <w:r w:rsidRPr="007A6459">
        <w:rPr>
          <w:rFonts w:asciiTheme="majorHAnsi" w:hAnsiTheme="majorHAnsi" w:cstheme="majorHAnsi"/>
          <w:noProof/>
          <w:color w:val="000000"/>
        </w:rPr>
        <w:drawing>
          <wp:anchor distT="0" distB="0" distL="114300" distR="114300" simplePos="0" relativeHeight="251910144" behindDoc="0" locked="0" layoutInCell="1" allowOverlap="1" wp14:anchorId="7BFBA771" wp14:editId="723790A7">
            <wp:simplePos x="0" y="0"/>
            <wp:positionH relativeFrom="column">
              <wp:posOffset>5373511</wp:posOffset>
            </wp:positionH>
            <wp:positionV relativeFrom="paragraph">
              <wp:posOffset>294005</wp:posOffset>
            </wp:positionV>
            <wp:extent cx="518795" cy="514350"/>
            <wp:effectExtent l="0" t="0" r="0" b="0"/>
            <wp:wrapNone/>
            <wp:docPr id="1941565109" name="Image 1" descr="Une image contenant dessin humoristique, Silhouette d’animal, clipart, coch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876948" name="Image 1" descr="Une image contenant dessin humoristique, Silhouette d’animal, clipart, cochon&#10;&#10;Description générée automatiquement"/>
                    <pic:cNvPicPr/>
                  </pic:nvPicPr>
                  <pic:blipFill>
                    <a:blip r:embed="rId21">
                      <a:extLst>
                        <a:ext uri="{28A0092B-C50C-407E-A947-70E740481C1C}">
                          <a14:useLocalDpi xmlns:a14="http://schemas.microsoft.com/office/drawing/2010/main" val="0"/>
                        </a:ext>
                      </a:extLst>
                    </a:blip>
                    <a:stretch>
                      <a:fillRect/>
                    </a:stretch>
                  </pic:blipFill>
                  <pic:spPr>
                    <a:xfrm>
                      <a:off x="0" y="0"/>
                      <a:ext cx="518795" cy="514350"/>
                    </a:xfrm>
                    <a:prstGeom prst="rect">
                      <a:avLst/>
                    </a:prstGeom>
                  </pic:spPr>
                </pic:pic>
              </a:graphicData>
            </a:graphic>
            <wp14:sizeRelH relativeFrom="page">
              <wp14:pctWidth>0</wp14:pctWidth>
            </wp14:sizeRelH>
            <wp14:sizeRelV relativeFrom="page">
              <wp14:pctHeight>0</wp14:pctHeight>
            </wp14:sizeRelV>
          </wp:anchor>
        </w:drawing>
      </w:r>
      <w:r w:rsidR="00EC2273" w:rsidRPr="00E870E9">
        <w:rPr>
          <w:rFonts w:asciiTheme="majorHAnsi" w:hAnsiTheme="majorHAnsi" w:cstheme="majorHAnsi"/>
          <w:b/>
          <w:bCs/>
          <w:color w:val="2C2D5B"/>
        </w:rPr>
        <w:t>The C</w:t>
      </w:r>
      <w:r w:rsidR="002B603D" w:rsidRPr="00E870E9">
        <w:rPr>
          <w:rFonts w:asciiTheme="majorHAnsi" w:hAnsiTheme="majorHAnsi" w:cstheme="majorHAnsi"/>
          <w:b/>
          <w:bCs/>
          <w:color w:val="2C2D5B"/>
        </w:rPr>
        <w:t xml:space="preserve">harter can be invoked </w:t>
      </w:r>
      <w:r w:rsidR="00EC2273" w:rsidRPr="00E870E9">
        <w:rPr>
          <w:rFonts w:asciiTheme="majorHAnsi" w:hAnsiTheme="majorHAnsi" w:cstheme="majorHAnsi"/>
          <w:b/>
          <w:bCs/>
          <w:color w:val="2C2D5B"/>
        </w:rPr>
        <w:t xml:space="preserve">only when a provision </w:t>
      </w:r>
    </w:p>
    <w:p w14:paraId="7C004035" w14:textId="42EDE1E7" w:rsidR="00EC2273" w:rsidRPr="00E870E9" w:rsidRDefault="00E870E9" w:rsidP="00E870E9">
      <w:pPr>
        <w:spacing w:after="120" w:line="276" w:lineRule="auto"/>
        <w:jc w:val="both"/>
        <w:rPr>
          <w:rFonts w:asciiTheme="majorHAnsi" w:hAnsiTheme="majorHAnsi" w:cstheme="majorHAnsi"/>
          <w:b/>
          <w:bCs/>
          <w:color w:val="2C2D5B"/>
        </w:rPr>
      </w:pPr>
      <w:r w:rsidRPr="00E870E9">
        <w:rPr>
          <w:rFonts w:asciiTheme="majorHAnsi" w:hAnsiTheme="majorHAnsi" w:cstheme="majorHAnsi"/>
          <w:b/>
          <w:bCs/>
          <w:noProof/>
          <w:color w:val="2C2D5B"/>
          <w:lang w:eastAsia="ca-ES"/>
        </w:rPr>
        <mc:AlternateContent>
          <mc:Choice Requires="wps">
            <w:drawing>
              <wp:anchor distT="0" distB="0" distL="457200" distR="118745" simplePos="0" relativeHeight="251660288" behindDoc="0" locked="0" layoutInCell="0" allowOverlap="1" wp14:anchorId="2BD6BE7F" wp14:editId="202702A5">
                <wp:simplePos x="0" y="0"/>
                <wp:positionH relativeFrom="margin">
                  <wp:posOffset>3457575</wp:posOffset>
                </wp:positionH>
                <wp:positionV relativeFrom="paragraph">
                  <wp:posOffset>87630</wp:posOffset>
                </wp:positionV>
                <wp:extent cx="2188845" cy="1207770"/>
                <wp:effectExtent l="0" t="0" r="20955" b="11430"/>
                <wp:wrapSquare wrapText="bothSides"/>
                <wp:docPr id="4" name="Forma automàtica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88845" cy="1207770"/>
                        </a:xfrm>
                        <a:prstGeom prst="roundRect">
                          <a:avLst/>
                        </a:prstGeom>
                        <a:solidFill>
                          <a:schemeClr val="accent4">
                            <a:lumMod val="20000"/>
                            <a:lumOff val="80000"/>
                          </a:schemeClr>
                        </a:solidFill>
                        <a:ln w="15875">
                          <a:solidFill>
                            <a:schemeClr val="accent2">
                              <a:lumMod val="20000"/>
                              <a:lumOff val="80000"/>
                            </a:schemeClr>
                          </a:solidFill>
                        </a:ln>
                      </wps:spPr>
                      <wps:style>
                        <a:lnRef idx="0">
                          <a:scrgbClr r="0" g="0" b="0"/>
                        </a:lnRef>
                        <a:fillRef idx="1003">
                          <a:schemeClr val="lt1"/>
                        </a:fillRef>
                        <a:effectRef idx="0">
                          <a:scrgbClr r="0" g="0" b="0"/>
                        </a:effectRef>
                        <a:fontRef idx="major"/>
                      </wps:style>
                      <wps:txbx>
                        <w:txbxContent>
                          <w:p w14:paraId="7515943B" w14:textId="0021565C" w:rsidR="00321E09" w:rsidRPr="00C30B32" w:rsidRDefault="00C35ABC" w:rsidP="00E870E9">
                            <w:pPr>
                              <w:pBdr>
                                <w:left w:val="single" w:sz="4" w:space="9" w:color="4472C4" w:themeColor="accent1"/>
                              </w:pBdr>
                              <w:jc w:val="center"/>
                              <w:rPr>
                                <w:rFonts w:asciiTheme="minorHAnsi" w:eastAsiaTheme="majorEastAsia" w:hAnsiTheme="minorHAnsi" w:cstheme="minorHAnsi"/>
                                <w:color w:val="2C2D5B"/>
                                <w:sz w:val="20"/>
                                <w:szCs w:val="20"/>
                              </w:rPr>
                            </w:pPr>
                            <w:r w:rsidRPr="00C30B32">
                              <w:rPr>
                                <w:rFonts w:asciiTheme="minorHAnsi" w:eastAsiaTheme="majorEastAsia" w:hAnsiTheme="minorHAnsi" w:cstheme="minorHAnsi"/>
                                <w:b/>
                                <w:bCs/>
                                <w:color w:val="2C2D5B"/>
                                <w:sz w:val="20"/>
                                <w:szCs w:val="20"/>
                              </w:rPr>
                              <w:t>The “Trigger rule”</w:t>
                            </w:r>
                          </w:p>
                          <w:p w14:paraId="68EA319E" w14:textId="0087C896" w:rsidR="00321E09" w:rsidRPr="00C30B32" w:rsidRDefault="00321E09" w:rsidP="00B53A2F">
                            <w:pPr>
                              <w:pBdr>
                                <w:left w:val="single" w:sz="4" w:space="9" w:color="4472C4" w:themeColor="accent1"/>
                              </w:pBdr>
                              <w:jc w:val="both"/>
                              <w:rPr>
                                <w:rFonts w:asciiTheme="minorHAnsi" w:hAnsiTheme="minorHAnsi" w:cstheme="minorHAnsi"/>
                                <w:b/>
                                <w:bCs/>
                                <w:color w:val="2C2D5B"/>
                                <w:sz w:val="20"/>
                                <w:szCs w:val="20"/>
                              </w:rPr>
                            </w:pPr>
                            <w:r w:rsidRPr="00C30B32">
                              <w:rPr>
                                <w:rFonts w:asciiTheme="minorHAnsi" w:hAnsiTheme="minorHAnsi" w:cstheme="minorHAnsi"/>
                                <w:color w:val="2C2D5B"/>
                                <w:sz w:val="20"/>
                                <w:szCs w:val="20"/>
                              </w:rPr>
                              <w:t xml:space="preserve">The invocation of the Charter depends on the non-compliance situation being governed by EU law. </w:t>
                            </w:r>
                            <w:r w:rsidRPr="00C30B32">
                              <w:rPr>
                                <w:rFonts w:asciiTheme="minorHAnsi" w:hAnsiTheme="minorHAnsi" w:cstheme="minorHAnsi"/>
                                <w:b/>
                                <w:bCs/>
                                <w:color w:val="2C2D5B"/>
                                <w:sz w:val="20"/>
                                <w:szCs w:val="20"/>
                              </w:rPr>
                              <w:t>At least one specific rule of EU law must necessarily be identifiable.</w:t>
                            </w:r>
                          </w:p>
                        </w:txbxContent>
                      </wps:txbx>
                      <wps:bodyPr rot="0" vert="horz" wrap="square" lIns="91440" tIns="91440" rIns="91440" bIns="9144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BD6BE7F" id="Forma automàtica 14" o:spid="_x0000_s1035" style="position:absolute;left:0;text-align:left;margin-left:272.25pt;margin-top:6.9pt;width:172.35pt;height:95.1pt;z-index:251660288;visibility:visible;mso-wrap-style:square;mso-width-percent:0;mso-height-percent:0;mso-wrap-distance-left:36pt;mso-wrap-distance-top:0;mso-wrap-distance-right:9.35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6RQvbgIAAGEFAAAOAAAAZHJzL2Uyb0RvYy54bWysVNtu2zAMfR+wfxD0vtjOkiU14hRFig4D&#10;ugva7QMUWY69yaJGKXGyrx8lO266AXsY+mKYlA7JQx5qdX1sNTsodA2YgmeTlDNlJJSN2RX829e7&#10;N0vOnBemFBqMKvhJOX69fv1q1dlcTaEGXSpkFMS4vLMFr723eZI4WatWuAlYZeiwAmyFJxN3SYmi&#10;o+itTqZp+i7pAEuLIJVz5L3tD/k6xq8qJf3nqnLKM11wqs3HL8bvNnyT9UrkOxS2buRQhviPKlrR&#10;GEo6hroVXrA9Nn+FahuJ4KDyEwltAlXVSBU5EJss/YPNYy2silyoOc6ObXIvF1Z+OjzaLxhKd/Ye&#10;5A/HDGxqYXbqBhG6WomS0mWhUUlnXT4CguEIyrbdRyhptGLvIfbgWGEbAhI7doytPo2tVkfPJDmn&#10;2XK5nM05k3SWTdPFYhGHkYj8DLfo/HsFLQs/BUfYm/KBBhpziMO986EmkZ/vRQ6gm/Ku0ToaQURq&#10;o5EdBI1fSKmMn0W43rdUdO8nGaWDEMhNcundy7ObUkQ5hkgxobtMog3riMF8uZjHyM8OR9xlBdMX&#10;rYCq02aYTRhHUD4Nxp+0Cj3Q5kFVrCnjHPqm4G4betIvAW0prcV5FWIwAoSLFXVxxGZp+ran97yn&#10;2vfKGK8HpIp7N2LTAfjvvCMo5gbjR3wrvgOO+huYBZL+uD0StYJfhdPg2UJ5IkUi9HtO7xL91IC/&#10;OOtoxwvufu4FKs70B0Oqvspms/AoXBp4aWwvDWEkhSq456z/3fi+h3uLza6mTFlkauCGNqFqojyf&#10;qhpmRHscRTS8OeGhuLTjraeXcf0bAAD//wMAUEsDBBQABgAIAAAAIQA5eqxI3gAAAAoBAAAPAAAA&#10;ZHJzL2Rvd25yZXYueG1sTI/LTsMwEEX3SPyDNUjsqE1IUUjjVIDULRJpkVhOYzeJ8COynTTl6xlW&#10;sBzdozvnVtvFGjbrEAfvJNyvBDDtWq8G10k47Hd3BbCY0Ck03mkJFx1hW19fVVgqf3bvem5Sx6jE&#10;xRIl9CmNJeex7bXFuPKjdpSdfLCY6AwdVwHPVG4Nz4R45BYHRx96HPVrr9uvZrISxpfdpXnDw8f3&#10;IDKBn7MJ42SkvL1ZnjfAkl7SHwy/+qQONTkd/eRUZEbCOs/XhFLwQBMIKIqnDNhRQiZyAbyu+P8J&#10;9Q8AAAD//wMAUEsBAi0AFAAGAAgAAAAhALaDOJL+AAAA4QEAABMAAAAAAAAAAAAAAAAAAAAAAFtD&#10;b250ZW50X1R5cGVzXS54bWxQSwECLQAUAAYACAAAACEAOP0h/9YAAACUAQAACwAAAAAAAAAAAAAA&#10;AAAvAQAAX3JlbHMvLnJlbHNQSwECLQAUAAYACAAAACEAr+kUL24CAABhBQAADgAAAAAAAAAAAAAA&#10;AAAuAgAAZHJzL2Uyb0RvYy54bWxQSwECLQAUAAYACAAAACEAOXqsSN4AAAAKAQAADwAAAAAAAAAA&#10;AAAAAADIBAAAZHJzL2Rvd25yZXYueG1sUEsFBgAAAAAEAAQA8wAAANMFAAAAAA==&#10;" o:allowincell="f" fillcolor="#fff2cc [663]" strokecolor="#fbe4d5 [661]" strokeweight="1.25pt">
                <v:textbox inset=",7.2pt,,7.2pt">
                  <w:txbxContent>
                    <w:p w14:paraId="7515943B" w14:textId="0021565C" w:rsidR="00321E09" w:rsidRPr="00C30B32" w:rsidRDefault="00C35ABC" w:rsidP="00E870E9">
                      <w:pPr>
                        <w:pBdr>
                          <w:left w:val="single" w:sz="4" w:space="9" w:color="4472C4" w:themeColor="accent1"/>
                        </w:pBdr>
                        <w:jc w:val="center"/>
                        <w:rPr>
                          <w:rFonts w:asciiTheme="minorHAnsi" w:eastAsiaTheme="majorEastAsia" w:hAnsiTheme="minorHAnsi" w:cstheme="minorHAnsi"/>
                          <w:color w:val="2C2D5B"/>
                          <w:sz w:val="20"/>
                          <w:szCs w:val="20"/>
                        </w:rPr>
                      </w:pPr>
                      <w:r w:rsidRPr="00C30B32">
                        <w:rPr>
                          <w:rFonts w:asciiTheme="minorHAnsi" w:eastAsiaTheme="majorEastAsia" w:hAnsiTheme="minorHAnsi" w:cstheme="minorHAnsi"/>
                          <w:b/>
                          <w:bCs/>
                          <w:color w:val="2C2D5B"/>
                          <w:sz w:val="20"/>
                          <w:szCs w:val="20"/>
                        </w:rPr>
                        <w:t>The “Trigger rule”</w:t>
                      </w:r>
                    </w:p>
                    <w:p w14:paraId="68EA319E" w14:textId="0087C896" w:rsidR="00321E09" w:rsidRPr="00C30B32" w:rsidRDefault="00321E09" w:rsidP="00B53A2F">
                      <w:pPr>
                        <w:pBdr>
                          <w:left w:val="single" w:sz="4" w:space="9" w:color="4472C4" w:themeColor="accent1"/>
                        </w:pBdr>
                        <w:jc w:val="both"/>
                        <w:rPr>
                          <w:rFonts w:asciiTheme="minorHAnsi" w:hAnsiTheme="minorHAnsi" w:cstheme="minorHAnsi"/>
                          <w:b/>
                          <w:bCs/>
                          <w:color w:val="2C2D5B"/>
                          <w:sz w:val="20"/>
                          <w:szCs w:val="20"/>
                        </w:rPr>
                      </w:pPr>
                      <w:r w:rsidRPr="00C30B32">
                        <w:rPr>
                          <w:rFonts w:asciiTheme="minorHAnsi" w:hAnsiTheme="minorHAnsi" w:cstheme="minorHAnsi"/>
                          <w:color w:val="2C2D5B"/>
                          <w:sz w:val="20"/>
                          <w:szCs w:val="20"/>
                        </w:rPr>
                        <w:t xml:space="preserve">The invocation of the Charter depends on the non-compliance situation being governed by EU law. </w:t>
                      </w:r>
                      <w:r w:rsidRPr="00C30B32">
                        <w:rPr>
                          <w:rFonts w:asciiTheme="minorHAnsi" w:hAnsiTheme="minorHAnsi" w:cstheme="minorHAnsi"/>
                          <w:b/>
                          <w:bCs/>
                          <w:color w:val="2C2D5B"/>
                          <w:sz w:val="20"/>
                          <w:szCs w:val="20"/>
                        </w:rPr>
                        <w:t>At least one specific rule of EU law must necessarily be identifiable.</w:t>
                      </w:r>
                    </w:p>
                  </w:txbxContent>
                </v:textbox>
                <w10:wrap type="square" anchorx="margin"/>
              </v:roundrect>
            </w:pict>
          </mc:Fallback>
        </mc:AlternateContent>
      </w:r>
      <w:r w:rsidR="00EC2273" w:rsidRPr="00E870E9">
        <w:rPr>
          <w:rFonts w:asciiTheme="majorHAnsi" w:hAnsiTheme="majorHAnsi" w:cstheme="majorHAnsi"/>
          <w:b/>
          <w:bCs/>
          <w:color w:val="2C2D5B"/>
        </w:rPr>
        <w:t>of EU primary or secondary law, other than the provisions of the Charter itself, is applicable to the case.</w:t>
      </w:r>
      <w:r w:rsidR="00EC2273" w:rsidRPr="00E870E9">
        <w:rPr>
          <w:rFonts w:asciiTheme="majorHAnsi" w:hAnsiTheme="majorHAnsi" w:cstheme="majorHAnsi"/>
          <w:color w:val="2C2D5B"/>
        </w:rPr>
        <w:t xml:space="preserve"> In other words, there must</w:t>
      </w:r>
      <w:r w:rsidR="00CB6313" w:rsidRPr="00E870E9">
        <w:rPr>
          <w:rFonts w:asciiTheme="majorHAnsi" w:hAnsiTheme="majorHAnsi" w:cstheme="majorHAnsi"/>
          <w:color w:val="2C2D5B"/>
        </w:rPr>
        <w:t xml:space="preserve"> be </w:t>
      </w:r>
      <w:r w:rsidR="00995DD4" w:rsidRPr="00E870E9">
        <w:rPr>
          <w:rFonts w:asciiTheme="majorHAnsi" w:hAnsiTheme="majorHAnsi" w:cstheme="majorHAnsi"/>
          <w:color w:val="2C2D5B"/>
        </w:rPr>
        <w:t xml:space="preserve">a sufficient link </w:t>
      </w:r>
      <w:r w:rsidR="00EC2273" w:rsidRPr="00E870E9">
        <w:rPr>
          <w:rFonts w:asciiTheme="majorHAnsi" w:hAnsiTheme="majorHAnsi" w:cstheme="majorHAnsi"/>
          <w:color w:val="2C2D5B"/>
        </w:rPr>
        <w:t xml:space="preserve">between </w:t>
      </w:r>
      <w:r w:rsidR="00F0435D" w:rsidRPr="00E870E9">
        <w:rPr>
          <w:rFonts w:asciiTheme="majorHAnsi" w:hAnsiTheme="majorHAnsi" w:cstheme="majorHAnsi"/>
          <w:color w:val="2C2D5B"/>
        </w:rPr>
        <w:t xml:space="preserve">the </w:t>
      </w:r>
      <w:r w:rsidR="0071339D" w:rsidRPr="00E870E9">
        <w:rPr>
          <w:rFonts w:asciiTheme="majorHAnsi" w:hAnsiTheme="majorHAnsi" w:cstheme="majorHAnsi"/>
          <w:color w:val="2C2D5B"/>
        </w:rPr>
        <w:t xml:space="preserve">EU Law </w:t>
      </w:r>
      <w:r w:rsidR="00C35ABC" w:rsidRPr="00E870E9">
        <w:rPr>
          <w:rFonts w:asciiTheme="majorHAnsi" w:hAnsiTheme="majorHAnsi" w:cstheme="majorHAnsi"/>
          <w:color w:val="2C2D5B"/>
        </w:rPr>
        <w:t xml:space="preserve">provision applicable to the case </w:t>
      </w:r>
      <w:r w:rsidR="00EC2273" w:rsidRPr="00E870E9">
        <w:rPr>
          <w:rFonts w:asciiTheme="majorHAnsi" w:hAnsiTheme="majorHAnsi" w:cstheme="majorHAnsi"/>
          <w:color w:val="2C2D5B"/>
        </w:rPr>
        <w:t>and the national acts or provisions allegedly violating the Charter.</w:t>
      </w:r>
      <w:r w:rsidR="00052810" w:rsidRPr="00052810">
        <w:rPr>
          <w:rFonts w:asciiTheme="majorHAnsi" w:hAnsiTheme="majorHAnsi" w:cstheme="majorHAnsi"/>
          <w:noProof/>
          <w:color w:val="000000"/>
          <w14:ligatures w14:val="standardContextual"/>
        </w:rPr>
        <w:t xml:space="preserve"> </w:t>
      </w:r>
    </w:p>
    <w:p w14:paraId="4D17D8B6" w14:textId="71DB9C6E" w:rsidR="00995DD4" w:rsidRPr="00E870E9" w:rsidRDefault="00EC2273" w:rsidP="00DA0751">
      <w:pPr>
        <w:spacing w:after="120" w:line="276" w:lineRule="auto"/>
        <w:jc w:val="both"/>
        <w:rPr>
          <w:rFonts w:ascii="Calibri" w:hAnsi="Calibri" w:cs="Calibri"/>
          <w:color w:val="2C2D5B"/>
        </w:rPr>
      </w:pPr>
      <w:r w:rsidRPr="00E870E9">
        <w:rPr>
          <w:rFonts w:asciiTheme="majorHAnsi" w:hAnsiTheme="majorHAnsi" w:cstheme="majorHAnsi"/>
          <w:color w:val="2C2D5B"/>
        </w:rPr>
        <w:t xml:space="preserve">The Charter applies to national measures adopted </w:t>
      </w:r>
      <w:r w:rsidR="00D442DA" w:rsidRPr="00E870E9">
        <w:rPr>
          <w:rFonts w:asciiTheme="majorHAnsi" w:hAnsiTheme="majorHAnsi" w:cstheme="majorHAnsi"/>
          <w:color w:val="2C2D5B"/>
        </w:rPr>
        <w:t xml:space="preserve">to fulfil </w:t>
      </w:r>
      <w:r w:rsidRPr="00E870E9">
        <w:rPr>
          <w:rFonts w:asciiTheme="majorHAnsi" w:hAnsiTheme="majorHAnsi" w:cstheme="majorHAnsi"/>
          <w:color w:val="2C2D5B"/>
        </w:rPr>
        <w:t xml:space="preserve">obligations deriving from EU law, such as EU directives or regulations. </w:t>
      </w:r>
      <w:r w:rsidR="00D442DA" w:rsidRPr="00E870E9">
        <w:rPr>
          <w:rFonts w:asciiTheme="majorHAnsi" w:hAnsiTheme="majorHAnsi" w:cstheme="majorHAnsi"/>
          <w:color w:val="2C2D5B"/>
        </w:rPr>
        <w:t>Even n</w:t>
      </w:r>
      <w:r w:rsidRPr="00E870E9">
        <w:rPr>
          <w:rFonts w:asciiTheme="majorHAnsi" w:hAnsiTheme="majorHAnsi" w:cstheme="majorHAnsi"/>
          <w:color w:val="2C2D5B"/>
        </w:rPr>
        <w:t xml:space="preserve">ational measures </w:t>
      </w:r>
      <w:r w:rsidR="00D442DA" w:rsidRPr="00E870E9">
        <w:rPr>
          <w:rFonts w:asciiTheme="majorHAnsi" w:hAnsiTheme="majorHAnsi" w:cstheme="majorHAnsi"/>
          <w:color w:val="2C2D5B"/>
        </w:rPr>
        <w:t xml:space="preserve">enacted </w:t>
      </w:r>
      <w:r w:rsidRPr="00E870E9">
        <w:rPr>
          <w:rFonts w:asciiTheme="majorHAnsi" w:hAnsiTheme="majorHAnsi" w:cstheme="majorHAnsi"/>
          <w:color w:val="2C2D5B"/>
        </w:rPr>
        <w:t xml:space="preserve">before </w:t>
      </w:r>
      <w:r w:rsidR="00D442DA" w:rsidRPr="00E870E9">
        <w:rPr>
          <w:rFonts w:asciiTheme="majorHAnsi" w:hAnsiTheme="majorHAnsi" w:cstheme="majorHAnsi"/>
          <w:color w:val="2C2D5B"/>
        </w:rPr>
        <w:t xml:space="preserve">the EU </w:t>
      </w:r>
      <w:r w:rsidRPr="00E870E9">
        <w:rPr>
          <w:rFonts w:asciiTheme="majorHAnsi" w:hAnsiTheme="majorHAnsi" w:cstheme="majorHAnsi"/>
          <w:color w:val="2C2D5B"/>
        </w:rPr>
        <w:t xml:space="preserve">law obligation came into </w:t>
      </w:r>
      <w:r w:rsidR="00D442DA" w:rsidRPr="00E870E9">
        <w:rPr>
          <w:rFonts w:asciiTheme="majorHAnsi" w:hAnsiTheme="majorHAnsi" w:cstheme="majorHAnsi"/>
          <w:color w:val="2C2D5B"/>
        </w:rPr>
        <w:t>force may</w:t>
      </w:r>
      <w:r w:rsidRPr="00E870E9">
        <w:rPr>
          <w:rFonts w:asciiTheme="majorHAnsi" w:hAnsiTheme="majorHAnsi" w:cstheme="majorHAnsi"/>
          <w:color w:val="2C2D5B"/>
        </w:rPr>
        <w:t xml:space="preserve"> fall </w:t>
      </w:r>
      <w:r w:rsidR="00D442DA" w:rsidRPr="00E870E9">
        <w:rPr>
          <w:rFonts w:asciiTheme="majorHAnsi" w:hAnsiTheme="majorHAnsi" w:cstheme="majorHAnsi"/>
          <w:color w:val="2C2D5B"/>
        </w:rPr>
        <w:t>under the Charter’s</w:t>
      </w:r>
      <w:r w:rsidR="00D45864" w:rsidRPr="00E870E9">
        <w:rPr>
          <w:rFonts w:asciiTheme="majorHAnsi" w:hAnsiTheme="majorHAnsi" w:cstheme="majorHAnsi"/>
          <w:color w:val="2C2D5B"/>
        </w:rPr>
        <w:t xml:space="preserve"> scope</w:t>
      </w:r>
      <w:r w:rsidR="00D442DA" w:rsidRPr="00E870E9">
        <w:rPr>
          <w:rFonts w:ascii="Calibri" w:hAnsi="Calibri" w:cs="Calibri"/>
          <w:color w:val="2C2D5B"/>
        </w:rPr>
        <w:t xml:space="preserve">. </w:t>
      </w:r>
    </w:p>
    <w:p w14:paraId="6EB155D2" w14:textId="1B18FE7D" w:rsidR="00EC2273" w:rsidRPr="00E870E9" w:rsidRDefault="00D442DA" w:rsidP="00E16DBB">
      <w:pPr>
        <w:spacing w:after="120" w:line="276" w:lineRule="auto"/>
        <w:jc w:val="both"/>
        <w:rPr>
          <w:rFonts w:asciiTheme="majorHAnsi" w:hAnsiTheme="majorHAnsi" w:cstheme="majorHAnsi"/>
          <w:color w:val="2C2D5B"/>
        </w:rPr>
      </w:pPr>
      <w:r w:rsidRPr="00E870E9">
        <w:rPr>
          <w:rFonts w:asciiTheme="majorHAnsi" w:hAnsiTheme="majorHAnsi" w:cstheme="majorHAnsi"/>
          <w:color w:val="2C2D5B"/>
        </w:rPr>
        <w:t xml:space="preserve">As stated in </w:t>
      </w:r>
      <w:r w:rsidR="00D45864" w:rsidRPr="00E870E9">
        <w:rPr>
          <w:rFonts w:asciiTheme="majorHAnsi" w:hAnsiTheme="majorHAnsi" w:cstheme="majorHAnsi"/>
          <w:b/>
          <w:bCs/>
          <w:color w:val="2C2D5B"/>
        </w:rPr>
        <w:t xml:space="preserve">Article </w:t>
      </w:r>
      <w:r w:rsidR="00EC2273" w:rsidRPr="00E870E9">
        <w:rPr>
          <w:rFonts w:asciiTheme="majorHAnsi" w:hAnsiTheme="majorHAnsi" w:cstheme="majorHAnsi"/>
          <w:b/>
          <w:bCs/>
          <w:color w:val="2C2D5B"/>
        </w:rPr>
        <w:t>51(2)</w:t>
      </w:r>
      <w:r w:rsidR="00EC2273" w:rsidRPr="00E870E9">
        <w:rPr>
          <w:rFonts w:asciiTheme="majorHAnsi" w:hAnsiTheme="majorHAnsi" w:cstheme="majorHAnsi"/>
          <w:color w:val="2C2D5B"/>
        </w:rPr>
        <w:t xml:space="preserve"> , the Charter</w:t>
      </w:r>
      <w:r w:rsidR="00F0435D" w:rsidRPr="00E870E9">
        <w:rPr>
          <w:rFonts w:asciiTheme="majorHAnsi" w:hAnsiTheme="majorHAnsi" w:cstheme="majorHAnsi"/>
          <w:color w:val="2C2D5B"/>
        </w:rPr>
        <w:t xml:space="preserve"> does </w:t>
      </w:r>
      <w:r w:rsidR="00CB6313" w:rsidRPr="00E870E9">
        <w:rPr>
          <w:rFonts w:asciiTheme="majorHAnsi" w:hAnsiTheme="majorHAnsi" w:cstheme="majorHAnsi"/>
          <w:color w:val="2C2D5B"/>
        </w:rPr>
        <w:t>neither</w:t>
      </w:r>
      <w:r w:rsidR="00F0435D" w:rsidRPr="00E870E9">
        <w:rPr>
          <w:rFonts w:asciiTheme="majorHAnsi" w:hAnsiTheme="majorHAnsi" w:cstheme="majorHAnsi"/>
          <w:color w:val="2C2D5B"/>
        </w:rPr>
        <w:t xml:space="preserve"> establish any new power or task for the Community or the Union </w:t>
      </w:r>
      <w:r w:rsidRPr="00E870E9">
        <w:rPr>
          <w:rFonts w:asciiTheme="majorHAnsi" w:hAnsiTheme="majorHAnsi" w:cstheme="majorHAnsi"/>
          <w:color w:val="2C2D5B"/>
          <w:lang w:val="en-US"/>
        </w:rPr>
        <w:t>n</w:t>
      </w:r>
      <w:r w:rsidR="00EC2273" w:rsidRPr="00E870E9">
        <w:rPr>
          <w:rFonts w:asciiTheme="majorHAnsi" w:hAnsiTheme="majorHAnsi" w:cstheme="majorHAnsi"/>
          <w:color w:val="2C2D5B"/>
          <w:lang w:val="en-US"/>
        </w:rPr>
        <w:t xml:space="preserve">or </w:t>
      </w:r>
      <w:r w:rsidRPr="00E870E9">
        <w:rPr>
          <w:rFonts w:asciiTheme="majorHAnsi" w:hAnsiTheme="majorHAnsi" w:cstheme="majorHAnsi"/>
          <w:color w:val="2C2D5B"/>
          <w:lang w:val="en-US"/>
        </w:rPr>
        <w:t xml:space="preserve">does it </w:t>
      </w:r>
      <w:r w:rsidR="00EC2273" w:rsidRPr="00E870E9">
        <w:rPr>
          <w:rFonts w:asciiTheme="majorHAnsi" w:hAnsiTheme="majorHAnsi" w:cstheme="majorHAnsi"/>
          <w:color w:val="2C2D5B"/>
          <w:lang w:val="en-US"/>
        </w:rPr>
        <w:t xml:space="preserve">modify </w:t>
      </w:r>
      <w:r w:rsidR="00F55CC3" w:rsidRPr="00E870E9">
        <w:rPr>
          <w:rFonts w:asciiTheme="majorHAnsi" w:hAnsiTheme="majorHAnsi" w:cstheme="majorHAnsi"/>
          <w:color w:val="2C2D5B"/>
        </w:rPr>
        <w:t xml:space="preserve">those </w:t>
      </w:r>
      <w:r w:rsidR="00EC2273" w:rsidRPr="00E870E9">
        <w:rPr>
          <w:rFonts w:asciiTheme="majorHAnsi" w:hAnsiTheme="majorHAnsi" w:cstheme="majorHAnsi"/>
          <w:color w:val="2C2D5B"/>
        </w:rPr>
        <w:t>powers and tasks as defined in the Treaties.</w:t>
      </w:r>
    </w:p>
    <w:p w14:paraId="16773654" w14:textId="392C7CD5" w:rsidR="002E3100" w:rsidRPr="00E870E9" w:rsidRDefault="00EC2273" w:rsidP="00EC1B7F">
      <w:pPr>
        <w:spacing w:after="120" w:line="276" w:lineRule="auto"/>
        <w:jc w:val="both"/>
        <w:rPr>
          <w:rFonts w:asciiTheme="majorHAnsi" w:hAnsiTheme="majorHAnsi" w:cstheme="majorHAnsi"/>
          <w:color w:val="2C2D5B"/>
        </w:rPr>
      </w:pPr>
      <w:r w:rsidRPr="00E870E9">
        <w:rPr>
          <w:rFonts w:asciiTheme="majorHAnsi" w:hAnsiTheme="majorHAnsi" w:cstheme="majorHAnsi"/>
          <w:color w:val="2C2D5B"/>
        </w:rPr>
        <w:t>The fundamental rights guaranteed in the legal order of the European Union are applicable in all situations governed by EU law. Where provisions of EU law</w:t>
      </w:r>
      <w:r w:rsidR="00F55CC3" w:rsidRPr="00E870E9">
        <w:rPr>
          <w:rFonts w:asciiTheme="majorHAnsi" w:hAnsiTheme="majorHAnsi" w:cstheme="majorHAnsi"/>
          <w:color w:val="2C2D5B"/>
        </w:rPr>
        <w:t xml:space="preserve"> do not regulate</w:t>
      </w:r>
      <w:r w:rsidRPr="00E870E9">
        <w:rPr>
          <w:rFonts w:asciiTheme="majorHAnsi" w:hAnsiTheme="majorHAnsi" w:cstheme="majorHAnsi"/>
          <w:color w:val="2C2D5B"/>
        </w:rPr>
        <w:t xml:space="preserve"> </w:t>
      </w:r>
      <w:r w:rsidR="00F55CC3" w:rsidRPr="00E870E9">
        <w:rPr>
          <w:rFonts w:asciiTheme="majorHAnsi" w:hAnsiTheme="majorHAnsi" w:cstheme="majorHAnsi"/>
          <w:color w:val="2C2D5B"/>
        </w:rPr>
        <w:t xml:space="preserve">a specific </w:t>
      </w:r>
      <w:r w:rsidRPr="00E870E9">
        <w:rPr>
          <w:rFonts w:asciiTheme="majorHAnsi" w:hAnsiTheme="majorHAnsi" w:cstheme="majorHAnsi"/>
          <w:color w:val="2C2D5B"/>
        </w:rPr>
        <w:t xml:space="preserve">aspect of a given situation and impose </w:t>
      </w:r>
      <w:r w:rsidR="00F55CC3" w:rsidRPr="00E870E9">
        <w:rPr>
          <w:rFonts w:asciiTheme="majorHAnsi" w:hAnsiTheme="majorHAnsi" w:cstheme="majorHAnsi"/>
          <w:color w:val="2C2D5B"/>
        </w:rPr>
        <w:t xml:space="preserve">no </w:t>
      </w:r>
      <w:r w:rsidR="00F0473E" w:rsidRPr="00E870E9">
        <w:rPr>
          <w:rFonts w:asciiTheme="majorHAnsi" w:hAnsiTheme="majorHAnsi" w:cstheme="majorHAnsi"/>
          <w:color w:val="2C2D5B"/>
        </w:rPr>
        <w:t>specific</w:t>
      </w:r>
      <w:r w:rsidRPr="00E870E9">
        <w:rPr>
          <w:rFonts w:asciiTheme="majorHAnsi" w:hAnsiTheme="majorHAnsi" w:cstheme="majorHAnsi"/>
          <w:color w:val="2C2D5B"/>
        </w:rPr>
        <w:t xml:space="preserve"> obligation on  Member States</w:t>
      </w:r>
      <w:r w:rsidR="00F55CC3" w:rsidRPr="00E870E9">
        <w:rPr>
          <w:rFonts w:asciiTheme="majorHAnsi" w:hAnsiTheme="majorHAnsi" w:cstheme="majorHAnsi"/>
          <w:color w:val="2C2D5B"/>
        </w:rPr>
        <w:t xml:space="preserve"> in that respect</w:t>
      </w:r>
      <w:r w:rsidRPr="00E870E9">
        <w:rPr>
          <w:rFonts w:asciiTheme="majorHAnsi" w:hAnsiTheme="majorHAnsi" w:cstheme="majorHAnsi"/>
          <w:color w:val="2C2D5B"/>
        </w:rPr>
        <w:t xml:space="preserve">, the national </w:t>
      </w:r>
      <w:r w:rsidR="00F55CC3" w:rsidRPr="00E870E9">
        <w:rPr>
          <w:rFonts w:asciiTheme="majorHAnsi" w:hAnsiTheme="majorHAnsi" w:cstheme="majorHAnsi"/>
          <w:color w:val="2C2D5B"/>
        </w:rPr>
        <w:t>legislation</w:t>
      </w:r>
      <w:r w:rsidRPr="00E870E9">
        <w:rPr>
          <w:rFonts w:asciiTheme="majorHAnsi" w:hAnsiTheme="majorHAnsi" w:cstheme="majorHAnsi"/>
          <w:color w:val="2C2D5B"/>
        </w:rPr>
        <w:t xml:space="preserve"> enacted by a Member State  regard</w:t>
      </w:r>
      <w:r w:rsidR="00F55CC3" w:rsidRPr="00E870E9">
        <w:rPr>
          <w:rFonts w:asciiTheme="majorHAnsi" w:hAnsiTheme="majorHAnsi" w:cstheme="majorHAnsi"/>
          <w:color w:val="2C2D5B"/>
        </w:rPr>
        <w:t>ing</w:t>
      </w:r>
      <w:r w:rsidRPr="00E870E9">
        <w:rPr>
          <w:rFonts w:asciiTheme="majorHAnsi" w:hAnsiTheme="majorHAnsi" w:cstheme="majorHAnsi"/>
          <w:color w:val="2C2D5B"/>
        </w:rPr>
        <w:t xml:space="preserve"> that aspect falls outside the scope of the Charter</w:t>
      </w:r>
      <w:r w:rsidR="005361C5" w:rsidRPr="00E870E9">
        <w:rPr>
          <w:rFonts w:asciiTheme="majorHAnsi" w:hAnsiTheme="majorHAnsi" w:cstheme="majorHAnsi"/>
          <w:color w:val="2C2D5B"/>
        </w:rPr>
        <w:t xml:space="preserve">. To that end, this </w:t>
      </w:r>
      <w:r w:rsidRPr="00E870E9">
        <w:rPr>
          <w:rFonts w:asciiTheme="majorHAnsi" w:hAnsiTheme="majorHAnsi" w:cstheme="majorHAnsi"/>
          <w:color w:val="2C2D5B"/>
        </w:rPr>
        <w:t xml:space="preserve">situation  cannot be assessed </w:t>
      </w:r>
      <w:r w:rsidR="00F55CC3" w:rsidRPr="00E870E9">
        <w:rPr>
          <w:rFonts w:asciiTheme="majorHAnsi" w:hAnsiTheme="majorHAnsi" w:cstheme="majorHAnsi"/>
          <w:color w:val="2C2D5B"/>
        </w:rPr>
        <w:t xml:space="preserve">under </w:t>
      </w:r>
      <w:r w:rsidR="00537D03" w:rsidRPr="00E870E9">
        <w:rPr>
          <w:rFonts w:asciiTheme="majorHAnsi" w:hAnsiTheme="majorHAnsi" w:cstheme="majorHAnsi"/>
          <w:color w:val="2C2D5B"/>
        </w:rPr>
        <w:t>the</w:t>
      </w:r>
      <w:r w:rsidR="00D50B8C" w:rsidRPr="00E870E9">
        <w:rPr>
          <w:rFonts w:asciiTheme="majorHAnsi" w:hAnsiTheme="majorHAnsi" w:cstheme="majorHAnsi"/>
          <w:color w:val="2C2D5B"/>
        </w:rPr>
        <w:t xml:space="preserve"> Charter’s</w:t>
      </w:r>
      <w:r w:rsidR="00537D03" w:rsidRPr="00E870E9">
        <w:rPr>
          <w:rFonts w:asciiTheme="majorHAnsi" w:hAnsiTheme="majorHAnsi" w:cstheme="majorHAnsi"/>
          <w:color w:val="2C2D5B"/>
        </w:rPr>
        <w:t xml:space="preserve"> provisions</w:t>
      </w:r>
      <w:r w:rsidR="00D50B8C" w:rsidRPr="00E870E9">
        <w:rPr>
          <w:rFonts w:asciiTheme="majorHAnsi" w:hAnsiTheme="majorHAnsi" w:cstheme="majorHAnsi"/>
          <w:color w:val="2C2D5B"/>
        </w:rPr>
        <w:t>.</w:t>
      </w:r>
      <w:r w:rsidR="002E3100" w:rsidRPr="00E870E9">
        <w:rPr>
          <w:rFonts w:asciiTheme="majorHAnsi" w:hAnsiTheme="majorHAnsi" w:cstheme="majorHAnsi"/>
          <w:color w:val="2C2D5B"/>
        </w:rPr>
        <w:t xml:space="preserve"> </w:t>
      </w:r>
    </w:p>
    <w:p w14:paraId="24365765" w14:textId="4F89248D" w:rsidR="00EC2273" w:rsidRPr="00E870E9" w:rsidRDefault="00C30B32" w:rsidP="00EC1B7F">
      <w:pPr>
        <w:spacing w:after="120" w:line="276" w:lineRule="auto"/>
        <w:jc w:val="both"/>
        <w:rPr>
          <w:rFonts w:asciiTheme="majorHAnsi" w:hAnsiTheme="majorHAnsi" w:cstheme="majorHAnsi"/>
          <w:color w:val="2C2D5B"/>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12192" behindDoc="0" locked="0" layoutInCell="1" allowOverlap="1" wp14:anchorId="6F6E7680" wp14:editId="48325F91">
            <wp:simplePos x="0" y="0"/>
            <wp:positionH relativeFrom="column">
              <wp:posOffset>5231271</wp:posOffset>
            </wp:positionH>
            <wp:positionV relativeFrom="paragraph">
              <wp:posOffset>701675</wp:posOffset>
            </wp:positionV>
            <wp:extent cx="713105" cy="575310"/>
            <wp:effectExtent l="0" t="0" r="0" b="0"/>
            <wp:wrapNone/>
            <wp:docPr id="468787353"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00447E92" w:rsidRPr="00E870E9">
        <w:rPr>
          <w:rFonts w:asciiTheme="majorHAnsi" w:hAnsiTheme="majorHAnsi" w:cstheme="majorHAnsi"/>
          <w:noProof/>
          <w:color w:val="2C2D5B"/>
        </w:rPr>
        <mc:AlternateContent>
          <mc:Choice Requires="wps">
            <w:drawing>
              <wp:anchor distT="45720" distB="45720" distL="114300" distR="114300" simplePos="0" relativeHeight="251721728" behindDoc="0" locked="0" layoutInCell="1" allowOverlap="1" wp14:anchorId="1A0FEC24" wp14:editId="5B4C1E1F">
                <wp:simplePos x="0" y="0"/>
                <wp:positionH relativeFrom="margin">
                  <wp:posOffset>262890</wp:posOffset>
                </wp:positionH>
                <wp:positionV relativeFrom="paragraph">
                  <wp:posOffset>864235</wp:posOffset>
                </wp:positionV>
                <wp:extent cx="5382895" cy="2753995"/>
                <wp:effectExtent l="0" t="0" r="27305" b="27305"/>
                <wp:wrapSquare wrapText="bothSides"/>
                <wp:docPr id="173039489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2895" cy="2753995"/>
                        </a:xfrm>
                        <a:prstGeom prst="roundRect">
                          <a:avLst/>
                        </a:prstGeom>
                        <a:solidFill>
                          <a:schemeClr val="bg1"/>
                        </a:solidFill>
                        <a:ln w="19050">
                          <a:solidFill>
                            <a:srgbClr val="B6A04C"/>
                          </a:solidFill>
                          <a:miter lim="800000"/>
                          <a:headEnd/>
                          <a:tailEnd/>
                        </a:ln>
                      </wps:spPr>
                      <wps:txbx>
                        <w:txbxContent>
                          <w:p w14:paraId="045D72E5" w14:textId="19FAA8D8" w:rsidR="00050939" w:rsidRPr="00E870E9" w:rsidRDefault="00050939" w:rsidP="00E870E9">
                            <w:pPr>
                              <w:spacing w:line="276" w:lineRule="auto"/>
                              <w:jc w:val="center"/>
                              <w:rPr>
                                <w:rFonts w:asciiTheme="minorHAnsi" w:hAnsiTheme="minorHAnsi" w:cstheme="minorHAnsi"/>
                                <w:b/>
                                <w:bCs/>
                                <w:color w:val="B6A04C"/>
                                <w:sz w:val="20"/>
                                <w:szCs w:val="20"/>
                              </w:rPr>
                            </w:pPr>
                            <w:hyperlink r:id="rId22" w:history="1">
                              <w:r w:rsidRPr="00E870E9">
                                <w:rPr>
                                  <w:rStyle w:val="Hypertextovodkaz"/>
                                  <w:rFonts w:asciiTheme="minorHAnsi" w:hAnsiTheme="minorHAnsi" w:cstheme="minorHAnsi"/>
                                  <w:b/>
                                  <w:bCs/>
                                  <w:color w:val="B6A04C"/>
                                  <w:sz w:val="20"/>
                                  <w:szCs w:val="20"/>
                                </w:rPr>
                                <w:t>CJEU Judgment, 7 may 2013, Åklagaren v Hans Åkerberg Fransson, C-617/10, ECLI:EU:C:2013:280</w:t>
                              </w:r>
                            </w:hyperlink>
                          </w:p>
                          <w:p w14:paraId="100D6C93" w14:textId="77777777" w:rsidR="00050939" w:rsidRPr="007C3FEA" w:rsidRDefault="00050939" w:rsidP="00050939">
                            <w:pPr>
                              <w:pStyle w:val="FormtovanvHTML"/>
                              <w:jc w:val="both"/>
                              <w:rPr>
                                <w:rFonts w:asciiTheme="minorHAnsi" w:hAnsiTheme="minorHAnsi" w:cstheme="minorHAnsi"/>
                                <w:b/>
                                <w:bCs/>
                                <w:color w:val="000000" w:themeColor="text1"/>
                                <w:lang w:eastAsia="ca-ES"/>
                              </w:rPr>
                            </w:pPr>
                          </w:p>
                          <w:p w14:paraId="6E0AEB69" w14:textId="402C1A65" w:rsidR="00050939" w:rsidRPr="00E870E9" w:rsidRDefault="00212D87" w:rsidP="00050939">
                            <w:pPr>
                              <w:pStyle w:val="FormtovanvHTML"/>
                              <w:jc w:val="both"/>
                              <w:rPr>
                                <w:rFonts w:asciiTheme="minorHAnsi" w:hAnsiTheme="minorHAnsi" w:cstheme="minorHAnsi"/>
                                <w:color w:val="2C2D5B"/>
                                <w:lang w:eastAsia="ca-ES"/>
                              </w:rPr>
                            </w:pPr>
                            <w:r w:rsidRPr="00E870E9">
                              <w:rPr>
                                <w:rFonts w:asciiTheme="minorHAnsi" w:hAnsiTheme="minorHAnsi" w:cstheme="minorHAnsi"/>
                                <w:b/>
                                <w:bCs/>
                                <w:color w:val="2C2D5B"/>
                                <w:lang w:eastAsia="ca-ES"/>
                              </w:rPr>
                              <w:t>Facts</w:t>
                            </w:r>
                            <w:r w:rsidR="00E870E9">
                              <w:rPr>
                                <w:rFonts w:asciiTheme="minorHAnsi" w:hAnsiTheme="minorHAnsi" w:cstheme="minorHAnsi"/>
                                <w:b/>
                                <w:bCs/>
                                <w:color w:val="2C2D5B"/>
                                <w:lang w:eastAsia="ca-ES"/>
                              </w:rPr>
                              <w:t xml:space="preserve"> </w:t>
                            </w:r>
                            <w:r w:rsidRPr="00E870E9">
                              <w:rPr>
                                <w:rFonts w:asciiTheme="minorHAnsi" w:hAnsiTheme="minorHAnsi" w:cstheme="minorHAnsi"/>
                                <w:b/>
                                <w:bCs/>
                                <w:color w:val="2C2D5B"/>
                                <w:lang w:eastAsia="ca-ES"/>
                              </w:rPr>
                              <w:t xml:space="preserve">: </w:t>
                            </w:r>
                            <w:r w:rsidR="00050939" w:rsidRPr="00E870E9">
                              <w:rPr>
                                <w:rFonts w:asciiTheme="minorHAnsi" w:hAnsiTheme="minorHAnsi" w:cstheme="minorHAnsi"/>
                                <w:color w:val="2C2D5B"/>
                                <w:lang w:eastAsia="ca-ES"/>
                              </w:rPr>
                              <w:t xml:space="preserve">Mr Fransson allegedly provided false information about his income and value added taxes. After the initial tax fines, criminal proceedings for serious tax offences were initiated. Mr. Fransson's defense argued that the criminal proceedings violated the </w:t>
                            </w:r>
                            <w:r w:rsidR="00050939" w:rsidRPr="00E870E9">
                              <w:rPr>
                                <w:rFonts w:asciiTheme="minorHAnsi" w:hAnsiTheme="minorHAnsi" w:cstheme="minorHAnsi"/>
                                <w:i/>
                                <w:color w:val="2C2D5B"/>
                                <w:lang w:eastAsia="ca-ES"/>
                              </w:rPr>
                              <w:t>ne bis in idem</w:t>
                            </w:r>
                            <w:r w:rsidR="00050939" w:rsidRPr="00E870E9">
                              <w:rPr>
                                <w:rFonts w:asciiTheme="minorHAnsi" w:hAnsiTheme="minorHAnsi" w:cstheme="minorHAnsi"/>
                                <w:color w:val="2C2D5B"/>
                                <w:lang w:eastAsia="ca-ES"/>
                              </w:rPr>
                              <w:t xml:space="preserve"> principle established in art. 50 of the Charter. The case was referred to the CJEU raising the issue of jurisdiction over whether the case fell within the scope of EU law.</w:t>
                            </w:r>
                          </w:p>
                          <w:p w14:paraId="0CDF1EBB" w14:textId="77777777" w:rsidR="006474B2" w:rsidRPr="00E870E9" w:rsidRDefault="006474B2" w:rsidP="00050939">
                            <w:pPr>
                              <w:pStyle w:val="FormtovanvHTML"/>
                              <w:jc w:val="both"/>
                              <w:rPr>
                                <w:rFonts w:asciiTheme="minorHAnsi" w:hAnsiTheme="minorHAnsi" w:cstheme="minorHAnsi"/>
                                <w:color w:val="2C2D5B"/>
                                <w:lang w:eastAsia="ca-ES"/>
                              </w:rPr>
                            </w:pPr>
                          </w:p>
                          <w:p w14:paraId="33F61B33" w14:textId="3F6E8A56" w:rsidR="00050939" w:rsidRPr="00E870E9" w:rsidRDefault="006474B2" w:rsidP="000509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heme="minorHAnsi" w:hAnsiTheme="minorHAnsi" w:cstheme="minorHAnsi"/>
                                <w:b/>
                                <w:bCs/>
                                <w:color w:val="2C2D5B"/>
                                <w:sz w:val="20"/>
                                <w:szCs w:val="20"/>
                              </w:rPr>
                            </w:pPr>
                            <w:r w:rsidRPr="00E870E9">
                              <w:rPr>
                                <w:rFonts w:asciiTheme="minorHAnsi" w:hAnsiTheme="minorHAnsi" w:cstheme="minorHAnsi"/>
                                <w:b/>
                                <w:bCs/>
                                <w:color w:val="2C2D5B"/>
                                <w:sz w:val="20"/>
                                <w:szCs w:val="20"/>
                              </w:rPr>
                              <w:t>Ruling</w:t>
                            </w:r>
                            <w:r w:rsidR="00E870E9">
                              <w:rPr>
                                <w:rFonts w:asciiTheme="minorHAnsi" w:hAnsiTheme="minorHAnsi" w:cstheme="minorHAnsi"/>
                                <w:b/>
                                <w:bCs/>
                                <w:color w:val="2C2D5B"/>
                                <w:sz w:val="20"/>
                                <w:szCs w:val="20"/>
                              </w:rPr>
                              <w:t xml:space="preserve"> :</w:t>
                            </w:r>
                          </w:p>
                          <w:p w14:paraId="44BDA78D" w14:textId="63BF016D" w:rsidR="00050939" w:rsidRPr="00E870E9" w:rsidRDefault="00050939" w:rsidP="00050939">
                            <w:pPr>
                              <w:rPr>
                                <w:color w:val="2C2D5B"/>
                              </w:rPr>
                            </w:pPr>
                            <w:r w:rsidRPr="00E870E9">
                              <w:rPr>
                                <w:rFonts w:asciiTheme="minorHAnsi" w:hAnsiTheme="minorHAnsi" w:cstheme="minorHAnsi"/>
                                <w:color w:val="2C2D5B"/>
                                <w:sz w:val="20"/>
                                <w:szCs w:val="20"/>
                              </w:rPr>
                              <w:t xml:space="preserve">“19. </w:t>
                            </w:r>
                            <w:r w:rsidRPr="00E870E9">
                              <w:rPr>
                                <w:rFonts w:asciiTheme="minorHAnsi" w:hAnsiTheme="minorHAnsi" w:cstheme="minorHAnsi"/>
                                <w:i/>
                                <w:iCs/>
                                <w:color w:val="2C2D5B"/>
                                <w:sz w:val="20"/>
                                <w:szCs w:val="20"/>
                              </w:rPr>
                              <w:t>The Court’s settled case-law indeed states, in essence, that the fundamental rights guaranteed in the legal order of the European Union are applicable in all situations governed by European Union law, but not outside such situations. In this respect the Court has already observed that it has no power to examine the compatibility with the Charter of national legislation lying outside the scope of European Union law”</w:t>
                            </w:r>
                            <w:r w:rsidR="00C30B32">
                              <w:rPr>
                                <w:rFonts w:asciiTheme="minorHAnsi" w:hAnsiTheme="minorHAnsi" w:cstheme="minorHAnsi"/>
                                <w:i/>
                                <w:iCs/>
                                <w:color w:val="2C2D5B"/>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1A0FEC24" id="_x0000_s1036" style="position:absolute;left:0;text-align:left;margin-left:20.7pt;margin-top:68.05pt;width:423.85pt;height:216.85pt;z-index:2517217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T3IgIAAC0EAAAOAAAAZHJzL2Uyb0RvYy54bWysU11v2yAUfZ+0/4B4X+ykSZtYcao0XadJ&#10;3YfW7QdgwDEa5jIgsbtfvwt207R7m+YHxPWFc+8597C+7ltNjtJ5Baak00lOiTQchDL7kv74fvdu&#10;SYkPzAimwciSPkpPrzdv36w7W8gZNKCFdARBjC86W9ImBFtkmeeNbJmfgJUGkzW4lgUM3T4TjnWI&#10;3upslueXWQdOWAdceo9/b4ck3ST8upY8fKlrLwPRJcXeQlpdWqu4Zps1K/aO2UbxsQ32D120TBks&#10;eoK6ZYGRg1N/QbWKO/BQhwmHNoO6VlwmDshmmr9i89AwKxMXFMfbk0z+/8Hyz8cH+9WR0N9AjwNM&#10;JLy9B/7TEwO7hpm93DoHXSOZwMLTKFnWWV+MV6PUvvARpOo+gcAhs0OABNTXro2qIE+C6DiAx5Po&#10;sg+E48/FxXK2XC0o4ZibXS0uVhjEGqx4um6dDx8ktCRuSurgYMQ3HG2qwY73Pgznn87Fkh60EndK&#10;6xREO8mdduTI0AjVfmDx6pQ2pEOCq3yRDzK8gHD76gRwc7nN57uxyxeVWhXQz1q1JV3m8RscFsV7&#10;b0RyW2BKD3ukqM2oZhRwkDL0VU+UwE7S5ahuBeIR9XUw+BffG24acL8p6dC7JfW/DsxJSvRHgzNa&#10;TefzaPYUzBdXMwzceaY6zzDDEaqkgZJhuwvpgUThDGxxlrVKAj93MvaMnkxzGt9PNP15nE49v/LN&#10;HwAAAP//AwBQSwMEFAAGAAgAAAAhAOE7LKXeAAAACgEAAA8AAABkcnMvZG93bnJldi54bWxMjz1v&#10;gzAQhvdK/Q/WVerWGFqCDMVEKFKXbqHJ0M3gK9BiG2GHkH+f69Ru9/HoveeK3WpGtuDsB2clxJsI&#10;GNrW6cF2Eo4fb08CmA/KajU6ixKu6GFX3t8VKtfuYg+41KFjFGJ9riT0IUw5577t0Si/cRNa2n25&#10;2ahA7dxxPasLhZuRP0dRyo0aLF3o1YT7Htuf+mwkLMfDthL7z6TuT/w7e69EI4yQ8vFhrV6BBVzD&#10;Hwy/+qQOJTk17my1Z6OEJE6IpPlLGgMjQIiMikbCNs0E8LLg/18obwAAAP//AwBQSwECLQAUAAYA&#10;CAAAACEAtoM4kv4AAADhAQAAEwAAAAAAAAAAAAAAAAAAAAAAW0NvbnRlbnRfVHlwZXNdLnhtbFBL&#10;AQItABQABgAIAAAAIQA4/SH/1gAAAJQBAAALAAAAAAAAAAAAAAAAAC8BAABfcmVscy8ucmVsc1BL&#10;AQItABQABgAIAAAAIQD+aQT3IgIAAC0EAAAOAAAAAAAAAAAAAAAAAC4CAABkcnMvZTJvRG9jLnht&#10;bFBLAQItABQABgAIAAAAIQDhOyyl3gAAAAoBAAAPAAAAAAAAAAAAAAAAAHwEAABkcnMvZG93bnJl&#10;di54bWxQSwUGAAAAAAQABADzAAAAhwUAAAAA&#10;" fillcolor="white [3212]" strokecolor="#b6a04c" strokeweight="1.5pt">
                <v:stroke joinstyle="miter"/>
                <v:textbox>
                  <w:txbxContent>
                    <w:p w14:paraId="045D72E5" w14:textId="19FAA8D8" w:rsidR="00050939" w:rsidRPr="00E870E9" w:rsidRDefault="00050939" w:rsidP="00E870E9">
                      <w:pPr>
                        <w:spacing w:line="276" w:lineRule="auto"/>
                        <w:jc w:val="center"/>
                        <w:rPr>
                          <w:rFonts w:asciiTheme="minorHAnsi" w:hAnsiTheme="minorHAnsi" w:cstheme="minorHAnsi"/>
                          <w:b/>
                          <w:bCs/>
                          <w:color w:val="B6A04C"/>
                          <w:sz w:val="20"/>
                          <w:szCs w:val="20"/>
                        </w:rPr>
                      </w:pPr>
                      <w:hyperlink r:id="rId23" w:history="1">
                        <w:r w:rsidRPr="00E870E9">
                          <w:rPr>
                            <w:rStyle w:val="Lienhypertexte"/>
                            <w:rFonts w:asciiTheme="minorHAnsi" w:hAnsiTheme="minorHAnsi" w:cstheme="minorHAnsi"/>
                            <w:b/>
                            <w:bCs/>
                            <w:color w:val="B6A04C"/>
                            <w:sz w:val="20"/>
                            <w:szCs w:val="20"/>
                          </w:rPr>
                          <w:t xml:space="preserve">CJEU Judgment, 7 may 2013, </w:t>
                        </w:r>
                        <w:proofErr w:type="spellStart"/>
                        <w:r w:rsidRPr="00E870E9">
                          <w:rPr>
                            <w:rStyle w:val="Lienhypertexte"/>
                            <w:rFonts w:asciiTheme="minorHAnsi" w:hAnsiTheme="minorHAnsi" w:cstheme="minorHAnsi"/>
                            <w:b/>
                            <w:bCs/>
                            <w:color w:val="B6A04C"/>
                            <w:sz w:val="20"/>
                            <w:szCs w:val="20"/>
                          </w:rPr>
                          <w:t>Åklagaren</w:t>
                        </w:r>
                        <w:proofErr w:type="spellEnd"/>
                        <w:r w:rsidRPr="00E870E9">
                          <w:rPr>
                            <w:rStyle w:val="Lienhypertexte"/>
                            <w:rFonts w:asciiTheme="minorHAnsi" w:hAnsiTheme="minorHAnsi" w:cstheme="minorHAnsi"/>
                            <w:b/>
                            <w:bCs/>
                            <w:color w:val="B6A04C"/>
                            <w:sz w:val="20"/>
                            <w:szCs w:val="20"/>
                          </w:rPr>
                          <w:t xml:space="preserve"> v Hans Åkerberg Fransson, C-617/10, ECLI:EU:C:2013:280</w:t>
                        </w:r>
                      </w:hyperlink>
                    </w:p>
                    <w:p w14:paraId="100D6C93" w14:textId="77777777" w:rsidR="00050939" w:rsidRPr="007C3FEA" w:rsidRDefault="00050939" w:rsidP="00050939">
                      <w:pPr>
                        <w:pStyle w:val="PrformatHTML"/>
                        <w:jc w:val="both"/>
                        <w:rPr>
                          <w:rFonts w:asciiTheme="minorHAnsi" w:hAnsiTheme="minorHAnsi" w:cstheme="minorHAnsi"/>
                          <w:b/>
                          <w:bCs/>
                          <w:color w:val="000000" w:themeColor="text1"/>
                          <w:lang w:eastAsia="ca-ES"/>
                        </w:rPr>
                      </w:pPr>
                    </w:p>
                    <w:p w14:paraId="6E0AEB69" w14:textId="402C1A65" w:rsidR="00050939" w:rsidRPr="00E870E9" w:rsidRDefault="00212D87" w:rsidP="00050939">
                      <w:pPr>
                        <w:pStyle w:val="PrformatHTML"/>
                        <w:jc w:val="both"/>
                        <w:rPr>
                          <w:rFonts w:asciiTheme="minorHAnsi" w:hAnsiTheme="minorHAnsi" w:cstheme="minorHAnsi"/>
                          <w:color w:val="2C2D5B"/>
                          <w:lang w:eastAsia="ca-ES"/>
                        </w:rPr>
                      </w:pPr>
                      <w:r w:rsidRPr="00E870E9">
                        <w:rPr>
                          <w:rFonts w:asciiTheme="minorHAnsi" w:hAnsiTheme="minorHAnsi" w:cstheme="minorHAnsi"/>
                          <w:b/>
                          <w:bCs/>
                          <w:color w:val="2C2D5B"/>
                          <w:lang w:eastAsia="ca-ES"/>
                        </w:rPr>
                        <w:t>Facts</w:t>
                      </w:r>
                      <w:r w:rsidR="00E870E9">
                        <w:rPr>
                          <w:rFonts w:asciiTheme="minorHAnsi" w:hAnsiTheme="minorHAnsi" w:cstheme="minorHAnsi"/>
                          <w:b/>
                          <w:bCs/>
                          <w:color w:val="2C2D5B"/>
                          <w:lang w:eastAsia="ca-ES"/>
                        </w:rPr>
                        <w:t xml:space="preserve"> </w:t>
                      </w:r>
                      <w:r w:rsidRPr="00E870E9">
                        <w:rPr>
                          <w:rFonts w:asciiTheme="minorHAnsi" w:hAnsiTheme="minorHAnsi" w:cstheme="minorHAnsi"/>
                          <w:b/>
                          <w:bCs/>
                          <w:color w:val="2C2D5B"/>
                          <w:lang w:eastAsia="ca-ES"/>
                        </w:rPr>
                        <w:t xml:space="preserve">: </w:t>
                      </w:r>
                      <w:r w:rsidR="00050939" w:rsidRPr="00E870E9">
                        <w:rPr>
                          <w:rFonts w:asciiTheme="minorHAnsi" w:hAnsiTheme="minorHAnsi" w:cstheme="minorHAnsi"/>
                          <w:color w:val="2C2D5B"/>
                          <w:lang w:eastAsia="ca-ES"/>
                        </w:rPr>
                        <w:t xml:space="preserve">Mr Fransson allegedly provided false information about his income and value added taxes. After the initial tax fines, criminal proceedings for serious tax offences were initiated. Mr. Fransson's </w:t>
                      </w:r>
                      <w:proofErr w:type="spellStart"/>
                      <w:r w:rsidR="00050939" w:rsidRPr="00E870E9">
                        <w:rPr>
                          <w:rFonts w:asciiTheme="minorHAnsi" w:hAnsiTheme="minorHAnsi" w:cstheme="minorHAnsi"/>
                          <w:color w:val="2C2D5B"/>
                          <w:lang w:eastAsia="ca-ES"/>
                        </w:rPr>
                        <w:t>defense</w:t>
                      </w:r>
                      <w:proofErr w:type="spellEnd"/>
                      <w:r w:rsidR="00050939" w:rsidRPr="00E870E9">
                        <w:rPr>
                          <w:rFonts w:asciiTheme="minorHAnsi" w:hAnsiTheme="minorHAnsi" w:cstheme="minorHAnsi"/>
                          <w:color w:val="2C2D5B"/>
                          <w:lang w:eastAsia="ca-ES"/>
                        </w:rPr>
                        <w:t xml:space="preserve"> argued that the criminal proceedings violated the </w:t>
                      </w:r>
                      <w:r w:rsidR="00050939" w:rsidRPr="00E870E9">
                        <w:rPr>
                          <w:rFonts w:asciiTheme="minorHAnsi" w:hAnsiTheme="minorHAnsi" w:cstheme="minorHAnsi"/>
                          <w:i/>
                          <w:color w:val="2C2D5B"/>
                          <w:lang w:eastAsia="ca-ES"/>
                        </w:rPr>
                        <w:t>ne bis in idem</w:t>
                      </w:r>
                      <w:r w:rsidR="00050939" w:rsidRPr="00E870E9">
                        <w:rPr>
                          <w:rFonts w:asciiTheme="minorHAnsi" w:hAnsiTheme="minorHAnsi" w:cstheme="minorHAnsi"/>
                          <w:color w:val="2C2D5B"/>
                          <w:lang w:eastAsia="ca-ES"/>
                        </w:rPr>
                        <w:t xml:space="preserve"> principle established in art. 50 of the Charter. The case was referred to the CJEU raising the issue of jurisdiction over whether the case fell within the scope of EU law.</w:t>
                      </w:r>
                    </w:p>
                    <w:p w14:paraId="0CDF1EBB" w14:textId="77777777" w:rsidR="006474B2" w:rsidRPr="00E870E9" w:rsidRDefault="006474B2" w:rsidP="00050939">
                      <w:pPr>
                        <w:pStyle w:val="PrformatHTML"/>
                        <w:jc w:val="both"/>
                        <w:rPr>
                          <w:rFonts w:asciiTheme="minorHAnsi" w:hAnsiTheme="minorHAnsi" w:cstheme="minorHAnsi"/>
                          <w:color w:val="2C2D5B"/>
                          <w:lang w:eastAsia="ca-ES"/>
                        </w:rPr>
                      </w:pPr>
                    </w:p>
                    <w:p w14:paraId="33F61B33" w14:textId="3F6E8A56" w:rsidR="00050939" w:rsidRPr="00E870E9" w:rsidRDefault="006474B2" w:rsidP="000509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heme="minorHAnsi" w:hAnsiTheme="minorHAnsi" w:cstheme="minorHAnsi"/>
                          <w:b/>
                          <w:bCs/>
                          <w:color w:val="2C2D5B"/>
                          <w:sz w:val="20"/>
                          <w:szCs w:val="20"/>
                        </w:rPr>
                      </w:pPr>
                      <w:r w:rsidRPr="00E870E9">
                        <w:rPr>
                          <w:rFonts w:asciiTheme="minorHAnsi" w:hAnsiTheme="minorHAnsi" w:cstheme="minorHAnsi"/>
                          <w:b/>
                          <w:bCs/>
                          <w:color w:val="2C2D5B"/>
                          <w:sz w:val="20"/>
                          <w:szCs w:val="20"/>
                        </w:rPr>
                        <w:t>Ruling</w:t>
                      </w:r>
                      <w:r w:rsidR="00E870E9">
                        <w:rPr>
                          <w:rFonts w:asciiTheme="minorHAnsi" w:hAnsiTheme="minorHAnsi" w:cstheme="minorHAnsi"/>
                          <w:b/>
                          <w:bCs/>
                          <w:color w:val="2C2D5B"/>
                          <w:sz w:val="20"/>
                          <w:szCs w:val="20"/>
                        </w:rPr>
                        <w:t xml:space="preserve"> :</w:t>
                      </w:r>
                    </w:p>
                    <w:p w14:paraId="44BDA78D" w14:textId="63BF016D" w:rsidR="00050939" w:rsidRPr="00E870E9" w:rsidRDefault="00050939" w:rsidP="00050939">
                      <w:pPr>
                        <w:rPr>
                          <w:color w:val="2C2D5B"/>
                        </w:rPr>
                      </w:pPr>
                      <w:r w:rsidRPr="00E870E9">
                        <w:rPr>
                          <w:rFonts w:asciiTheme="minorHAnsi" w:hAnsiTheme="minorHAnsi" w:cstheme="minorHAnsi"/>
                          <w:color w:val="2C2D5B"/>
                          <w:sz w:val="20"/>
                          <w:szCs w:val="20"/>
                        </w:rPr>
                        <w:t xml:space="preserve">“19. </w:t>
                      </w:r>
                      <w:r w:rsidRPr="00E870E9">
                        <w:rPr>
                          <w:rFonts w:asciiTheme="minorHAnsi" w:hAnsiTheme="minorHAnsi" w:cstheme="minorHAnsi"/>
                          <w:i/>
                          <w:iCs/>
                          <w:color w:val="2C2D5B"/>
                          <w:sz w:val="20"/>
                          <w:szCs w:val="20"/>
                        </w:rPr>
                        <w:t>The Court’s settled case-law indeed states, in essence, that the fundamental rights guaranteed in the legal order of the European Union are applicable in all situations governed by European Union law, but not outside such situations. In this respect the Court has already observed that it has no power to examine the compatibility with the Charter of national legislation lying outside the scope of European Union law”</w:t>
                      </w:r>
                      <w:r w:rsidR="00C30B32">
                        <w:rPr>
                          <w:rFonts w:asciiTheme="minorHAnsi" w:hAnsiTheme="minorHAnsi" w:cstheme="minorHAnsi"/>
                          <w:i/>
                          <w:iCs/>
                          <w:color w:val="2C2D5B"/>
                          <w:sz w:val="20"/>
                          <w:szCs w:val="20"/>
                        </w:rPr>
                        <w:t>.</w:t>
                      </w:r>
                    </w:p>
                  </w:txbxContent>
                </v:textbox>
                <w10:wrap type="square" anchorx="margin"/>
              </v:roundrect>
            </w:pict>
          </mc:Fallback>
        </mc:AlternateContent>
      </w:r>
      <w:r w:rsidR="002E3100" w:rsidRPr="00E870E9">
        <w:rPr>
          <w:rFonts w:asciiTheme="majorHAnsi" w:hAnsiTheme="majorHAnsi" w:cstheme="majorHAnsi"/>
          <w:color w:val="2C2D5B"/>
        </w:rPr>
        <w:t xml:space="preserve">The concept of “situations governed by Union law” is interpreted quite broadly by the Court. However, there must be a clear link between the case and at least one rule of Union law other than the Charter itself. </w:t>
      </w:r>
    </w:p>
    <w:p w14:paraId="33C21644" w14:textId="45D05FE1" w:rsidR="00537D03" w:rsidRDefault="00537D03" w:rsidP="00EC1B7F">
      <w:pPr>
        <w:spacing w:after="120" w:line="276" w:lineRule="auto"/>
        <w:jc w:val="both"/>
        <w:rPr>
          <w:rFonts w:asciiTheme="majorHAnsi" w:hAnsiTheme="majorHAnsi" w:cstheme="majorHAnsi"/>
        </w:rPr>
      </w:pPr>
    </w:p>
    <w:p w14:paraId="1D1AB6BC" w14:textId="77777777" w:rsidR="00E870E9" w:rsidRDefault="00E870E9" w:rsidP="00EC1B7F">
      <w:pPr>
        <w:spacing w:after="120" w:line="276" w:lineRule="auto"/>
        <w:jc w:val="both"/>
        <w:rPr>
          <w:rFonts w:asciiTheme="majorHAnsi" w:hAnsiTheme="majorHAnsi" w:cstheme="majorHAnsi"/>
        </w:rPr>
      </w:pPr>
    </w:p>
    <w:p w14:paraId="65E4AD11" w14:textId="77777777" w:rsidR="00E870E9" w:rsidRPr="00E00845" w:rsidRDefault="00E870E9" w:rsidP="00EC1B7F">
      <w:pPr>
        <w:spacing w:after="120" w:line="276" w:lineRule="auto"/>
        <w:jc w:val="both"/>
        <w:rPr>
          <w:rFonts w:asciiTheme="majorHAnsi" w:hAnsiTheme="majorHAnsi" w:cstheme="majorHAnsi"/>
        </w:rPr>
      </w:pPr>
    </w:p>
    <w:p w14:paraId="18054F22" w14:textId="46C3BC49" w:rsidR="002E3100" w:rsidRPr="002E3100" w:rsidRDefault="002E3100" w:rsidP="00771B5D">
      <w:pPr>
        <w:spacing w:line="276" w:lineRule="auto"/>
        <w:jc w:val="both"/>
        <w:rPr>
          <w:rFonts w:ascii="Calibri" w:hAnsi="Calibri" w:cs="Calibri"/>
        </w:rPr>
      </w:pPr>
    </w:p>
    <w:p w14:paraId="29CDE45F" w14:textId="77777777" w:rsidR="00D52302" w:rsidRDefault="00D52302" w:rsidP="00771B5D">
      <w:pPr>
        <w:spacing w:line="276" w:lineRule="auto"/>
        <w:jc w:val="both"/>
        <w:rPr>
          <w:rFonts w:asciiTheme="majorHAnsi" w:hAnsiTheme="majorHAnsi" w:cstheme="majorHAnsi"/>
        </w:rPr>
      </w:pPr>
    </w:p>
    <w:p w14:paraId="12757776" w14:textId="77777777" w:rsidR="00DA0751" w:rsidRPr="00E870E9" w:rsidRDefault="00DA0751" w:rsidP="00771B5D">
      <w:pPr>
        <w:spacing w:line="276" w:lineRule="auto"/>
        <w:jc w:val="both"/>
        <w:rPr>
          <w:rFonts w:asciiTheme="majorHAnsi" w:hAnsiTheme="majorHAnsi" w:cstheme="majorHAnsi"/>
          <w:color w:val="2C2D5B"/>
        </w:rPr>
      </w:pPr>
    </w:p>
    <w:p w14:paraId="464C597E" w14:textId="15BE9B87" w:rsidR="00771B5D" w:rsidRPr="00E870E9" w:rsidRDefault="001D2657" w:rsidP="00771B5D">
      <w:pPr>
        <w:spacing w:line="276" w:lineRule="auto"/>
        <w:jc w:val="both"/>
        <w:rPr>
          <w:rFonts w:asciiTheme="majorHAnsi" w:hAnsiTheme="majorHAnsi" w:cstheme="majorHAnsi"/>
          <w:b/>
          <w:bCs/>
          <w:color w:val="2C2D5B"/>
        </w:rPr>
      </w:pPr>
      <w:r w:rsidRPr="00E870E9">
        <w:rPr>
          <w:rFonts w:asciiTheme="majorHAnsi" w:hAnsiTheme="majorHAnsi" w:cstheme="majorHAnsi"/>
          <w:color w:val="2C2D5B"/>
        </w:rPr>
        <w:t xml:space="preserve">The existence of a EU rule cannot be replaced by the mere </w:t>
      </w:r>
      <w:r w:rsidR="00F2072F" w:rsidRPr="00E870E9">
        <w:rPr>
          <w:rFonts w:asciiTheme="majorHAnsi" w:hAnsiTheme="majorHAnsi" w:cstheme="majorHAnsi"/>
          <w:color w:val="2C2D5B"/>
        </w:rPr>
        <w:t xml:space="preserve">attribution </w:t>
      </w:r>
      <w:r w:rsidRPr="00E870E9">
        <w:rPr>
          <w:rFonts w:asciiTheme="majorHAnsi" w:hAnsiTheme="majorHAnsi" w:cstheme="majorHAnsi"/>
          <w:color w:val="2C2D5B"/>
        </w:rPr>
        <w:t xml:space="preserve">of a competence of the EU. </w:t>
      </w:r>
      <w:r w:rsidRPr="00E870E9">
        <w:rPr>
          <w:rFonts w:asciiTheme="majorHAnsi" w:hAnsiTheme="majorHAnsi" w:cstheme="majorHAnsi"/>
          <w:b/>
          <w:bCs/>
          <w:color w:val="2C2D5B"/>
        </w:rPr>
        <w:t>It is necessary that the exercise</w:t>
      </w:r>
      <w:r w:rsidR="00F2072F" w:rsidRPr="00E870E9">
        <w:rPr>
          <w:rFonts w:asciiTheme="majorHAnsi" w:hAnsiTheme="majorHAnsi" w:cstheme="majorHAnsi"/>
          <w:b/>
          <w:bCs/>
          <w:color w:val="2C2D5B"/>
        </w:rPr>
        <w:t xml:space="preserve"> of the competence</w:t>
      </w:r>
      <w:r w:rsidRPr="00E870E9">
        <w:rPr>
          <w:rFonts w:asciiTheme="majorHAnsi" w:hAnsiTheme="majorHAnsi" w:cstheme="majorHAnsi"/>
          <w:b/>
          <w:bCs/>
          <w:color w:val="2C2D5B"/>
        </w:rPr>
        <w:t xml:space="preserve"> has become effective and that the</w:t>
      </w:r>
      <w:r w:rsidR="00E00845" w:rsidRPr="00E870E9">
        <w:rPr>
          <w:rFonts w:asciiTheme="majorHAnsi" w:hAnsiTheme="majorHAnsi" w:cstheme="majorHAnsi"/>
          <w:b/>
          <w:bCs/>
          <w:color w:val="2C2D5B"/>
        </w:rPr>
        <w:t xml:space="preserve"> </w:t>
      </w:r>
      <w:r w:rsidRPr="00E870E9">
        <w:rPr>
          <w:rFonts w:asciiTheme="majorHAnsi" w:hAnsiTheme="majorHAnsi" w:cstheme="majorHAnsi"/>
          <w:b/>
          <w:bCs/>
          <w:color w:val="2C2D5B"/>
        </w:rPr>
        <w:t>rule resulting from th</w:t>
      </w:r>
      <w:r w:rsidR="00F2072F" w:rsidRPr="00E870E9">
        <w:rPr>
          <w:rFonts w:asciiTheme="majorHAnsi" w:hAnsiTheme="majorHAnsi" w:cstheme="majorHAnsi"/>
          <w:b/>
          <w:bCs/>
          <w:color w:val="2C2D5B"/>
        </w:rPr>
        <w:t>is</w:t>
      </w:r>
      <w:r w:rsidRPr="00E870E9">
        <w:rPr>
          <w:rFonts w:asciiTheme="majorHAnsi" w:hAnsiTheme="majorHAnsi" w:cstheme="majorHAnsi"/>
          <w:b/>
          <w:bCs/>
          <w:color w:val="2C2D5B"/>
        </w:rPr>
        <w:t xml:space="preserve"> exercise </w:t>
      </w:r>
      <w:r w:rsidR="00F2072F" w:rsidRPr="00E870E9">
        <w:rPr>
          <w:rFonts w:asciiTheme="majorHAnsi" w:hAnsiTheme="majorHAnsi" w:cstheme="majorHAnsi"/>
          <w:b/>
          <w:bCs/>
          <w:color w:val="2C2D5B"/>
        </w:rPr>
        <w:t xml:space="preserve">of competence </w:t>
      </w:r>
      <w:r w:rsidRPr="00E870E9">
        <w:rPr>
          <w:rFonts w:asciiTheme="majorHAnsi" w:hAnsiTheme="majorHAnsi" w:cstheme="majorHAnsi"/>
          <w:b/>
          <w:bCs/>
          <w:color w:val="2C2D5B"/>
        </w:rPr>
        <w:t>governs the specific case.</w:t>
      </w:r>
      <w:r w:rsidR="00771B5D" w:rsidRPr="00E870E9">
        <w:rPr>
          <w:rFonts w:asciiTheme="majorHAnsi" w:hAnsiTheme="majorHAnsi" w:cstheme="majorHAnsi"/>
          <w:b/>
          <w:bCs/>
          <w:color w:val="2C2D5B"/>
        </w:rPr>
        <w:t xml:space="preserve"> </w:t>
      </w:r>
      <w:r w:rsidR="004A3B2F" w:rsidRPr="00E870E9">
        <w:rPr>
          <w:rFonts w:asciiTheme="majorHAnsi" w:hAnsiTheme="majorHAnsi" w:cstheme="majorHAnsi"/>
          <w:b/>
          <w:bCs/>
          <w:color w:val="2C2D5B"/>
        </w:rPr>
        <w:t xml:space="preserve"> </w:t>
      </w:r>
    </w:p>
    <w:p w14:paraId="2C45AEAA" w14:textId="77777777" w:rsidR="00E00845" w:rsidRPr="00E870E9" w:rsidRDefault="00E00845" w:rsidP="00771B5D">
      <w:pPr>
        <w:spacing w:line="276" w:lineRule="auto"/>
        <w:jc w:val="both"/>
        <w:rPr>
          <w:rFonts w:ascii="Calibri" w:hAnsi="Calibri" w:cs="Calibri"/>
          <w:color w:val="2C2D5B"/>
        </w:rPr>
      </w:pPr>
    </w:p>
    <w:p w14:paraId="1538F5AE" w14:textId="3EB7D008" w:rsidR="00771B5D" w:rsidRPr="00E870E9" w:rsidRDefault="00771B5D" w:rsidP="00734A07">
      <w:pPr>
        <w:spacing w:line="276" w:lineRule="auto"/>
        <w:jc w:val="both"/>
        <w:rPr>
          <w:rFonts w:asciiTheme="majorHAnsi" w:hAnsiTheme="majorHAnsi" w:cstheme="majorHAnsi"/>
          <w:color w:val="2C2D5B"/>
          <w:sz w:val="20"/>
          <w:szCs w:val="20"/>
        </w:rPr>
      </w:pPr>
      <w:r w:rsidRPr="00E870E9">
        <w:rPr>
          <w:rFonts w:asciiTheme="majorHAnsi" w:hAnsiTheme="majorHAnsi" w:cstheme="majorHAnsi"/>
          <w:color w:val="2C2D5B"/>
        </w:rPr>
        <w:t xml:space="preserve">For example, </w:t>
      </w:r>
      <w:r w:rsidR="00F55CC3" w:rsidRPr="00E870E9">
        <w:rPr>
          <w:rFonts w:asciiTheme="majorHAnsi" w:hAnsiTheme="majorHAnsi" w:cstheme="majorHAnsi"/>
          <w:color w:val="2C2D5B"/>
        </w:rPr>
        <w:t xml:space="preserve">while </w:t>
      </w:r>
      <w:r w:rsidRPr="00E870E9">
        <w:rPr>
          <w:rFonts w:asciiTheme="majorHAnsi" w:hAnsiTheme="majorHAnsi" w:cstheme="majorHAnsi"/>
          <w:color w:val="2C2D5B"/>
        </w:rPr>
        <w:t xml:space="preserve">Article 30 </w:t>
      </w:r>
      <w:r w:rsidR="00F55CC3" w:rsidRPr="00E870E9">
        <w:rPr>
          <w:rFonts w:asciiTheme="majorHAnsi" w:hAnsiTheme="majorHAnsi" w:cstheme="majorHAnsi"/>
          <w:color w:val="2C2D5B"/>
        </w:rPr>
        <w:t xml:space="preserve">of the Charter </w:t>
      </w:r>
      <w:r w:rsidRPr="00E870E9">
        <w:rPr>
          <w:rFonts w:asciiTheme="majorHAnsi" w:hAnsiTheme="majorHAnsi" w:cstheme="majorHAnsi"/>
          <w:color w:val="2C2D5B"/>
        </w:rPr>
        <w:t>provides protection against unjust dismissal</w:t>
      </w:r>
      <w:r w:rsidR="00E010A2" w:rsidRPr="00E870E9">
        <w:rPr>
          <w:rFonts w:asciiTheme="majorHAnsi" w:hAnsiTheme="majorHAnsi" w:cstheme="majorHAnsi"/>
          <w:color w:val="2C2D5B"/>
        </w:rPr>
        <w:t xml:space="preserve">, the EU’s competence to regulate dismissals has not been exercised. </w:t>
      </w:r>
      <w:r w:rsidRPr="00E870E9">
        <w:rPr>
          <w:rFonts w:asciiTheme="majorHAnsi" w:hAnsiTheme="majorHAnsi" w:cstheme="majorHAnsi"/>
          <w:color w:val="2C2D5B"/>
        </w:rPr>
        <w:t>Th</w:t>
      </w:r>
      <w:r w:rsidR="00E010A2" w:rsidRPr="00E870E9">
        <w:rPr>
          <w:rFonts w:asciiTheme="majorHAnsi" w:hAnsiTheme="majorHAnsi" w:cstheme="majorHAnsi"/>
          <w:color w:val="2C2D5B"/>
        </w:rPr>
        <w:t>us</w:t>
      </w:r>
      <w:r w:rsidRPr="00E870E9">
        <w:rPr>
          <w:rFonts w:asciiTheme="majorHAnsi" w:hAnsiTheme="majorHAnsi" w:cstheme="majorHAnsi"/>
          <w:color w:val="2C2D5B"/>
        </w:rPr>
        <w:t xml:space="preserve">, </w:t>
      </w:r>
      <w:r w:rsidR="00E010A2" w:rsidRPr="00E870E9">
        <w:rPr>
          <w:rFonts w:asciiTheme="majorHAnsi" w:hAnsiTheme="majorHAnsi" w:cstheme="majorHAnsi"/>
          <w:color w:val="2C2D5B"/>
        </w:rPr>
        <w:t>in the absence of an</w:t>
      </w:r>
      <w:r w:rsidR="00B65396" w:rsidRPr="00E870E9">
        <w:rPr>
          <w:rFonts w:asciiTheme="majorHAnsi" w:hAnsiTheme="majorHAnsi" w:cstheme="majorHAnsi"/>
          <w:color w:val="2C2D5B"/>
        </w:rPr>
        <w:t>y connection to EU law</w:t>
      </w:r>
      <w:r w:rsidR="00E010A2" w:rsidRPr="00E870E9">
        <w:rPr>
          <w:rFonts w:asciiTheme="majorHAnsi" w:hAnsiTheme="majorHAnsi" w:cstheme="majorHAnsi"/>
          <w:color w:val="2C2D5B"/>
        </w:rPr>
        <w:t xml:space="preserve">, a </w:t>
      </w:r>
      <w:r w:rsidRPr="00E870E9">
        <w:rPr>
          <w:rFonts w:asciiTheme="majorHAnsi" w:hAnsiTheme="majorHAnsi" w:cstheme="majorHAnsi"/>
          <w:color w:val="2C2D5B"/>
        </w:rPr>
        <w:t>decision to dismiss an employee cannot be challenged under Article 30 of the Charter</w:t>
      </w:r>
      <w:r w:rsidR="00E010A2" w:rsidRPr="00E870E9">
        <w:rPr>
          <w:rFonts w:asciiTheme="majorHAnsi" w:hAnsiTheme="majorHAnsi" w:cstheme="majorHAnsi"/>
          <w:color w:val="2C2D5B"/>
        </w:rPr>
        <w:t xml:space="preserve">. </w:t>
      </w:r>
    </w:p>
    <w:p w14:paraId="09FC37CF" w14:textId="00C250BB" w:rsidR="00FA3DFD" w:rsidRPr="005A6959" w:rsidRDefault="008B3805" w:rsidP="00EC1B7F">
      <w:pPr>
        <w:spacing w:after="120" w:line="276" w:lineRule="auto"/>
        <w:jc w:val="both"/>
        <w:rPr>
          <w:rFonts w:ascii="Calibri" w:hAnsi="Calibri" w:cs="Calibri"/>
          <w:b/>
          <w:bCs/>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16288" behindDoc="0" locked="0" layoutInCell="1" allowOverlap="1" wp14:anchorId="399FB46E" wp14:editId="5A1FD0FC">
            <wp:simplePos x="0" y="0"/>
            <wp:positionH relativeFrom="column">
              <wp:posOffset>5010926</wp:posOffset>
            </wp:positionH>
            <wp:positionV relativeFrom="paragraph">
              <wp:posOffset>166370</wp:posOffset>
            </wp:positionV>
            <wp:extent cx="713105" cy="575310"/>
            <wp:effectExtent l="0" t="0" r="0" b="0"/>
            <wp:wrapNone/>
            <wp:docPr id="91277183"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00734A07" w:rsidRPr="00E00845">
        <w:rPr>
          <w:rFonts w:asciiTheme="majorHAnsi" w:hAnsiTheme="majorHAnsi" w:cstheme="majorHAnsi"/>
          <w:noProof/>
        </w:rPr>
        <mc:AlternateContent>
          <mc:Choice Requires="wps">
            <w:drawing>
              <wp:anchor distT="45720" distB="45720" distL="114300" distR="114300" simplePos="0" relativeHeight="251723776" behindDoc="0" locked="0" layoutInCell="1" allowOverlap="1" wp14:anchorId="61B22FAE" wp14:editId="5498DEB0">
                <wp:simplePos x="0" y="0"/>
                <wp:positionH relativeFrom="margin">
                  <wp:posOffset>0</wp:posOffset>
                </wp:positionH>
                <wp:positionV relativeFrom="paragraph">
                  <wp:posOffset>474486</wp:posOffset>
                </wp:positionV>
                <wp:extent cx="5438775" cy="3114675"/>
                <wp:effectExtent l="0" t="0" r="28575" b="28575"/>
                <wp:wrapSquare wrapText="bothSides"/>
                <wp:docPr id="96801239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38775" cy="3114675"/>
                        </a:xfrm>
                        <a:prstGeom prst="roundRect">
                          <a:avLst/>
                        </a:prstGeom>
                        <a:solidFill>
                          <a:schemeClr val="bg1"/>
                        </a:solidFill>
                        <a:ln w="19050">
                          <a:solidFill>
                            <a:srgbClr val="B6A04C"/>
                          </a:solidFill>
                          <a:miter lim="800000"/>
                          <a:headEnd/>
                          <a:tailEnd/>
                        </a:ln>
                      </wps:spPr>
                      <wps:txbx>
                        <w:txbxContent>
                          <w:p w14:paraId="716ED306" w14:textId="71D71DF7" w:rsidR="00FA3DFD" w:rsidRPr="00E870E9" w:rsidRDefault="00FA3DFD" w:rsidP="00E870E9">
                            <w:pPr>
                              <w:spacing w:line="276" w:lineRule="auto"/>
                              <w:jc w:val="center"/>
                              <w:rPr>
                                <w:rFonts w:asciiTheme="minorHAnsi" w:hAnsiTheme="minorHAnsi" w:cstheme="minorHAnsi"/>
                                <w:b/>
                                <w:bCs/>
                                <w:color w:val="B6A04C"/>
                                <w:sz w:val="20"/>
                                <w:szCs w:val="20"/>
                              </w:rPr>
                            </w:pPr>
                            <w:hyperlink r:id="rId24" w:history="1">
                              <w:r w:rsidRPr="00E870E9">
                                <w:rPr>
                                  <w:rStyle w:val="Hypertextovodkaz"/>
                                  <w:rFonts w:asciiTheme="minorHAnsi" w:hAnsiTheme="minorHAnsi" w:cstheme="minorHAnsi"/>
                                  <w:b/>
                                  <w:bCs/>
                                  <w:color w:val="B6A04C"/>
                                  <w:sz w:val="20"/>
                                  <w:szCs w:val="20"/>
                                </w:rPr>
                                <w:t>CJEU, Grd. Ch., 5 February 2015, C-117/14, Grima Janet Nisttahuz Pclava v Jose Maria Ariza Toledano, ECLI:EU:C:2015:60</w:t>
                              </w:r>
                            </w:hyperlink>
                          </w:p>
                          <w:p w14:paraId="4E89B52D" w14:textId="77777777" w:rsidR="00FA3DFD" w:rsidRPr="007C3FEA" w:rsidRDefault="00FA3DFD" w:rsidP="00771B5D">
                            <w:pPr>
                              <w:spacing w:line="276" w:lineRule="auto"/>
                              <w:jc w:val="both"/>
                              <w:rPr>
                                <w:rFonts w:asciiTheme="minorHAnsi" w:hAnsiTheme="minorHAnsi" w:cstheme="minorHAnsi"/>
                                <w:b/>
                                <w:bCs/>
                                <w:sz w:val="20"/>
                                <w:szCs w:val="20"/>
                              </w:rPr>
                            </w:pPr>
                          </w:p>
                          <w:p w14:paraId="2365C827" w14:textId="744A3029" w:rsidR="00E010A2" w:rsidRPr="00C30B32" w:rsidRDefault="00212D87" w:rsidP="00771B5D">
                            <w:pPr>
                              <w:jc w:val="both"/>
                              <w:rPr>
                                <w:rFonts w:asciiTheme="minorHAnsi" w:hAnsiTheme="minorHAnsi" w:cstheme="minorHAnsi"/>
                                <w:b/>
                                <w:bCs/>
                                <w:color w:val="2C2D5B"/>
                                <w:sz w:val="20"/>
                                <w:szCs w:val="20"/>
                              </w:rPr>
                            </w:pPr>
                            <w:r w:rsidRPr="00C30B32">
                              <w:rPr>
                                <w:rFonts w:asciiTheme="minorHAnsi" w:hAnsiTheme="minorHAnsi" w:cstheme="minorHAnsi"/>
                                <w:b/>
                                <w:bCs/>
                                <w:color w:val="2C2D5B"/>
                                <w:sz w:val="20"/>
                                <w:szCs w:val="20"/>
                              </w:rPr>
                              <w:t>Facts</w:t>
                            </w:r>
                            <w:r w:rsidR="00E870E9" w:rsidRPr="00C30B32">
                              <w:rPr>
                                <w:rFonts w:asciiTheme="minorHAnsi" w:hAnsiTheme="minorHAnsi" w:cstheme="minorHAnsi"/>
                                <w:b/>
                                <w:bCs/>
                                <w:color w:val="2C2D5B"/>
                                <w:sz w:val="20"/>
                                <w:szCs w:val="20"/>
                              </w:rPr>
                              <w:t xml:space="preserve"> </w:t>
                            </w:r>
                            <w:r w:rsidRPr="00C30B32">
                              <w:rPr>
                                <w:rFonts w:asciiTheme="minorHAnsi" w:hAnsiTheme="minorHAnsi" w:cstheme="minorHAnsi"/>
                                <w:b/>
                                <w:bCs/>
                                <w:color w:val="2C2D5B"/>
                                <w:sz w:val="20"/>
                                <w:szCs w:val="20"/>
                              </w:rPr>
                              <w:t xml:space="preserve">: </w:t>
                            </w:r>
                          </w:p>
                          <w:p w14:paraId="13F85452" w14:textId="4D7BD9F7" w:rsidR="00FA3DFD" w:rsidRPr="00C30B32" w:rsidRDefault="00FA3DFD" w:rsidP="00771B5D">
                            <w:pPr>
                              <w:jc w:val="both"/>
                              <w:rPr>
                                <w:rFonts w:asciiTheme="minorHAnsi" w:hAnsiTheme="minorHAnsi" w:cstheme="minorHAnsi"/>
                                <w:color w:val="2C2D5B"/>
                                <w:sz w:val="20"/>
                                <w:szCs w:val="20"/>
                              </w:rPr>
                            </w:pPr>
                            <w:r w:rsidRPr="00C30B32">
                              <w:rPr>
                                <w:rFonts w:asciiTheme="minorHAnsi" w:hAnsiTheme="minorHAnsi" w:cstheme="minorHAnsi"/>
                                <w:color w:val="2C2D5B"/>
                                <w:sz w:val="20"/>
                                <w:szCs w:val="20"/>
                              </w:rPr>
                              <w:t>Ms. Nisttahuz Poclava worked as a cook for the Taberna del Marqués hotel company</w:t>
                            </w:r>
                            <w:r w:rsidR="00771B5D" w:rsidRPr="00C30B32">
                              <w:rPr>
                                <w:rFonts w:asciiTheme="minorHAnsi" w:hAnsiTheme="minorHAnsi" w:cstheme="minorHAnsi"/>
                                <w:color w:val="2C2D5B"/>
                                <w:sz w:val="20"/>
                                <w:szCs w:val="20"/>
                              </w:rPr>
                              <w:t xml:space="preserve"> under a </w:t>
                            </w:r>
                            <w:r w:rsidRPr="00C30B32">
                              <w:rPr>
                                <w:rFonts w:asciiTheme="minorHAnsi" w:hAnsiTheme="minorHAnsi" w:cstheme="minorHAnsi"/>
                                <w:color w:val="2C2D5B"/>
                                <w:sz w:val="20"/>
                                <w:szCs w:val="20"/>
                              </w:rPr>
                              <w:t xml:space="preserve">full-time </w:t>
                            </w:r>
                            <w:r w:rsidR="00771B5D" w:rsidRPr="00C30B32">
                              <w:rPr>
                                <w:rFonts w:asciiTheme="minorHAnsi" w:hAnsiTheme="minorHAnsi" w:cstheme="minorHAnsi"/>
                                <w:color w:val="2C2D5B"/>
                                <w:sz w:val="20"/>
                                <w:szCs w:val="20"/>
                              </w:rPr>
                              <w:t xml:space="preserve">indefinite </w:t>
                            </w:r>
                            <w:r w:rsidRPr="00C30B32">
                              <w:rPr>
                                <w:rFonts w:asciiTheme="minorHAnsi" w:hAnsiTheme="minorHAnsi" w:cstheme="minorHAnsi"/>
                                <w:color w:val="2C2D5B"/>
                                <w:sz w:val="20"/>
                                <w:szCs w:val="20"/>
                              </w:rPr>
                              <w:t>employment contract</w:t>
                            </w:r>
                            <w:r w:rsidR="00771B5D" w:rsidRPr="00C30B32">
                              <w:rPr>
                                <w:rFonts w:asciiTheme="minorHAnsi" w:hAnsiTheme="minorHAnsi" w:cstheme="minorHAnsi"/>
                                <w:color w:val="2C2D5B"/>
                                <w:sz w:val="20"/>
                                <w:szCs w:val="20"/>
                              </w:rPr>
                              <w:t xml:space="preserve"> </w:t>
                            </w:r>
                            <w:r w:rsidRPr="00C30B32">
                              <w:rPr>
                                <w:rFonts w:asciiTheme="minorHAnsi" w:hAnsiTheme="minorHAnsi" w:cstheme="minorHAnsi"/>
                                <w:color w:val="2C2D5B"/>
                                <w:sz w:val="20"/>
                                <w:szCs w:val="20"/>
                              </w:rPr>
                              <w:t>signed in 2013.The contract provided for a one-year trial period. Ms. Nisttahuz Poclava was informed by letter dated May 31, 2013 that she was no longer with the company as of that date, as she had not successfully completed her trial period. The employee contested the length of the trial period, invoking article 30 of the Charter.</w:t>
                            </w:r>
                          </w:p>
                          <w:p w14:paraId="38C78084" w14:textId="77777777" w:rsidR="00FA3DFD" w:rsidRPr="00C30B32" w:rsidRDefault="00FA3DFD" w:rsidP="00771B5D">
                            <w:pPr>
                              <w:jc w:val="both"/>
                              <w:rPr>
                                <w:rFonts w:asciiTheme="minorHAnsi" w:hAnsiTheme="minorHAnsi" w:cstheme="minorHAnsi"/>
                                <w:color w:val="2C2D5B"/>
                                <w:sz w:val="20"/>
                                <w:szCs w:val="20"/>
                              </w:rPr>
                            </w:pPr>
                          </w:p>
                          <w:p w14:paraId="6F9446DC" w14:textId="5D269C10" w:rsidR="00B1680F" w:rsidRPr="00C30B32" w:rsidRDefault="00D97D5D" w:rsidP="00771B5D">
                            <w:pPr>
                              <w:jc w:val="both"/>
                              <w:rPr>
                                <w:rFonts w:asciiTheme="minorHAnsi" w:hAnsiTheme="minorHAnsi" w:cstheme="minorHAnsi"/>
                                <w:b/>
                                <w:bCs/>
                                <w:color w:val="2C2D5B"/>
                                <w:sz w:val="20"/>
                                <w:szCs w:val="20"/>
                              </w:rPr>
                            </w:pPr>
                            <w:r w:rsidRPr="00C30B32">
                              <w:rPr>
                                <w:rFonts w:asciiTheme="minorHAnsi" w:hAnsiTheme="minorHAnsi" w:cstheme="minorHAnsi"/>
                                <w:b/>
                                <w:bCs/>
                                <w:color w:val="2C2D5B"/>
                                <w:sz w:val="20"/>
                                <w:szCs w:val="20"/>
                              </w:rPr>
                              <w:t>Ruling</w:t>
                            </w:r>
                            <w:r w:rsidR="00E870E9" w:rsidRPr="00C30B32">
                              <w:rPr>
                                <w:rFonts w:asciiTheme="minorHAnsi" w:hAnsiTheme="minorHAnsi" w:cstheme="minorHAnsi"/>
                                <w:b/>
                                <w:bCs/>
                                <w:color w:val="2C2D5B"/>
                                <w:sz w:val="20"/>
                                <w:szCs w:val="20"/>
                              </w:rPr>
                              <w:t xml:space="preserve"> </w:t>
                            </w:r>
                            <w:r w:rsidR="00B1680F" w:rsidRPr="00C30B32">
                              <w:rPr>
                                <w:rFonts w:asciiTheme="minorHAnsi" w:hAnsiTheme="minorHAnsi" w:cstheme="minorHAnsi"/>
                                <w:b/>
                                <w:bCs/>
                                <w:color w:val="2C2D5B"/>
                                <w:sz w:val="20"/>
                                <w:szCs w:val="20"/>
                              </w:rPr>
                              <w:t xml:space="preserve">: </w:t>
                            </w:r>
                          </w:p>
                          <w:p w14:paraId="4F641869" w14:textId="315FA8D2" w:rsidR="00FA3DFD" w:rsidRPr="00C30B32" w:rsidRDefault="00FA3DFD" w:rsidP="00327D5A">
                            <w:pPr>
                              <w:jc w:val="both"/>
                              <w:rPr>
                                <w:color w:val="2C2D5B"/>
                              </w:rPr>
                            </w:pPr>
                            <w:r w:rsidRPr="00C30B32">
                              <w:rPr>
                                <w:rFonts w:asciiTheme="minorHAnsi" w:hAnsiTheme="minorHAnsi" w:cstheme="minorHAnsi"/>
                                <w:color w:val="2C2D5B"/>
                                <w:sz w:val="20"/>
                                <w:szCs w:val="20"/>
                              </w:rPr>
                              <w:t xml:space="preserve"> It should be recalled that, so far as actions of the Member States are concerned, the scope of the Charter is defined in Article 51(1) thereof, </w:t>
                            </w:r>
                            <w:r w:rsidR="00771B5D" w:rsidRPr="00C30B32">
                              <w:rPr>
                                <w:rFonts w:asciiTheme="minorHAnsi" w:hAnsiTheme="minorHAnsi" w:cstheme="minorHAnsi"/>
                                <w:color w:val="2C2D5B"/>
                                <w:sz w:val="20"/>
                                <w:szCs w:val="20"/>
                              </w:rPr>
                              <w:t>which states that</w:t>
                            </w:r>
                            <w:r w:rsidRPr="00C30B32">
                              <w:rPr>
                                <w:rFonts w:asciiTheme="minorHAnsi" w:hAnsiTheme="minorHAnsi" w:cstheme="minorHAnsi"/>
                                <w:b/>
                                <w:bCs/>
                                <w:color w:val="2C2D5B"/>
                                <w:sz w:val="20"/>
                                <w:szCs w:val="20"/>
                              </w:rPr>
                              <w:t xml:space="preserve"> the provisions of the Charter are addressed to the Member States only when they are implementing EU </w:t>
                            </w:r>
                            <w:r w:rsidR="00B1680F" w:rsidRPr="00C30B32">
                              <w:rPr>
                                <w:rFonts w:asciiTheme="minorHAnsi" w:hAnsiTheme="minorHAnsi" w:cstheme="minorHAnsi"/>
                                <w:b/>
                                <w:bCs/>
                                <w:color w:val="2C2D5B"/>
                                <w:sz w:val="20"/>
                                <w:szCs w:val="20"/>
                              </w:rPr>
                              <w:t>law</w:t>
                            </w:r>
                            <w:r w:rsidR="00B1680F" w:rsidRPr="00C30B32">
                              <w:rPr>
                                <w:rFonts w:asciiTheme="minorHAnsi" w:hAnsiTheme="minorHAnsi" w:cstheme="minorHAnsi"/>
                                <w:color w:val="2C2D5B"/>
                                <w:sz w:val="20"/>
                                <w:szCs w:val="20"/>
                              </w:rPr>
                              <w:t>. Therefore</w:t>
                            </w:r>
                            <w:r w:rsidR="00771B5D" w:rsidRPr="00C30B32">
                              <w:rPr>
                                <w:rFonts w:asciiTheme="minorHAnsi" w:hAnsiTheme="minorHAnsi" w:cstheme="minorHAnsi"/>
                                <w:color w:val="2C2D5B"/>
                                <w:sz w:val="20"/>
                                <w:szCs w:val="20"/>
                              </w:rPr>
                              <w:t>,</w:t>
                            </w:r>
                            <w:r w:rsidRPr="00C30B32">
                              <w:rPr>
                                <w:rFonts w:asciiTheme="minorHAnsi" w:hAnsiTheme="minorHAnsi" w:cstheme="minorHAnsi"/>
                                <w:color w:val="2C2D5B"/>
                                <w:sz w:val="20"/>
                                <w:szCs w:val="20"/>
                              </w:rPr>
                              <w:t xml:space="preserve"> a contract such as the </w:t>
                            </w:r>
                            <w:r w:rsidR="00B1680F" w:rsidRPr="00C30B32">
                              <w:rPr>
                                <w:rFonts w:asciiTheme="minorHAnsi" w:hAnsiTheme="minorHAnsi" w:cstheme="minorHAnsi"/>
                                <w:color w:val="2C2D5B"/>
                                <w:sz w:val="20"/>
                                <w:szCs w:val="20"/>
                              </w:rPr>
                              <w:t>“</w:t>
                            </w:r>
                            <w:r w:rsidRPr="00C30B32">
                              <w:rPr>
                                <w:rFonts w:asciiTheme="minorHAnsi" w:hAnsiTheme="minorHAnsi" w:cstheme="minorHAnsi"/>
                                <w:color w:val="2C2D5B"/>
                                <w:sz w:val="20"/>
                                <w:szCs w:val="20"/>
                              </w:rPr>
                              <w:t>employment contract of indefinite duration to support entrepreneurs</w:t>
                            </w:r>
                            <w:r w:rsidR="00B1680F" w:rsidRPr="00C30B32">
                              <w:rPr>
                                <w:rFonts w:asciiTheme="minorHAnsi" w:hAnsiTheme="minorHAnsi" w:cstheme="minorHAnsi"/>
                                <w:color w:val="2C2D5B"/>
                                <w:sz w:val="20"/>
                                <w:szCs w:val="20"/>
                              </w:rPr>
                              <w:t>”</w:t>
                            </w:r>
                            <w:r w:rsidRPr="00C30B32">
                              <w:rPr>
                                <w:rFonts w:asciiTheme="minorHAnsi" w:hAnsiTheme="minorHAnsi" w:cstheme="minorHAnsi"/>
                                <w:color w:val="2C2D5B"/>
                                <w:sz w:val="20"/>
                                <w:szCs w:val="20"/>
                              </w:rPr>
                              <w:t>, provided for under Spanish law, is not a fixed-term contract that falls within the scope of Directive 1999/70. It follows that the situation at issue in the main proceedings does not fall within the scope of EU law. article 30 cannot therefore be invoked.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61B22FAE" id="_x0000_s1037" style="position:absolute;left:0;text-align:left;margin-left:0;margin-top:37.35pt;width:428.25pt;height:245.25pt;z-index:251723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XhtIgIAAC0EAAAOAAAAZHJzL2Uyb0RvYy54bWysU8tu2zAQvBfoPxC815Ic+RHBcuA4TVEg&#10;faBpP4CiKIkoxVVJ2pL79V1SiuOkt6I6EFwtObszO9zcDK0iR2GsBJ3TZBZTIjSHUuo6pz++379b&#10;U2Id0yVToEVOT8LSm+3bN5u+y8QcGlClMARBtM36LqeNc10WRZY3omV2Bp3QmKzAtMxhaOqoNKxH&#10;9FZF8zheRj2YsjPAhbX4925M0m3AryrB3ZeqssIRlVPszYXVhLXwa7TdsKw2rGskn9pg/9BFy6TG&#10;omeoO+YYORj5F1QruQELlZtxaCOoKslF4IBskvgVm8eGdSJwQXFsd5bJ/j9Y/vn42H01xA23MOAA&#10;AwnbPQD/aYmGfcN0LXbGQN8IVmLhxEsW9Z3NpqteaptZD1L0n6DEIbODgwA0VKb1qiBPgug4gNNZ&#10;dDE4wvHnIr1ar1YLSjjmrpIkXWLga7Ds6XpnrPsgoCV+k1MDB11+w9GGGuz4YN14/umcL2lByfJe&#10;KhUCbyexV4YcGRqhqEcWr04pTXokeB0v4lGGFxCmLs4At8tdnO6nLl9UaqVDPyvZ5nQd+290mBfv&#10;vS6D2xyTatwjRaUnNb2Ao5RuKAYiS+wkdOnVLaA8ob4GRv/ie8NNA+Y3JT16N6f214EZQYn6qHFG&#10;10maerOHIF2s5hiYy0xxmWGaI1ROHSXjdu/CA/HCadjhLCsZBH7uZOoZPRnmNL0fb/rLOJx6fuXb&#10;PwAAAP//AwBQSwMEFAAGAAgAAAAhALytTE7cAAAABwEAAA8AAABkcnMvZG93bnJldi54bWxMj8FO&#10;wzAQRO9I/IO1SNyoQ9W0JmRTRZW4cGtoD9yc2CSBeB3Fbhr+nuUEp9VoRjNv8/3iBjHbKfSeEB5X&#10;CQhLjTc9tQint5cHBSJETUYPnizCtw2wL25vcp0Zf6WjnavYCi6hkGmELsYxkzI0nXU6rPxoib0P&#10;PzkdWU6tNJO+crkb5DpJttLpnnih06M9dLb5qi4OYT4d01Id3jdVd5afT6+lqpVTiPd3S/kMItol&#10;/oXhF5/RoWCm2l/IBDEg8CMRYbfZgWBXpdsURI3Adw2yyOV//uIHAAD//wMAUEsBAi0AFAAGAAgA&#10;AAAhALaDOJL+AAAA4QEAABMAAAAAAAAAAAAAAAAAAAAAAFtDb250ZW50X1R5cGVzXS54bWxQSwEC&#10;LQAUAAYACAAAACEAOP0h/9YAAACUAQAACwAAAAAAAAAAAAAAAAAvAQAAX3JlbHMvLnJlbHNQSwEC&#10;LQAUAAYACAAAACEA4WF4bSICAAAtBAAADgAAAAAAAAAAAAAAAAAuAgAAZHJzL2Uyb0RvYy54bWxQ&#10;SwECLQAUAAYACAAAACEAvK1MTtwAAAAHAQAADwAAAAAAAAAAAAAAAAB8BAAAZHJzL2Rvd25yZXYu&#10;eG1sUEsFBgAAAAAEAAQA8wAAAIUFAAAAAA==&#10;" fillcolor="white [3212]" strokecolor="#b6a04c" strokeweight="1.5pt">
                <v:stroke joinstyle="miter"/>
                <v:textbox>
                  <w:txbxContent>
                    <w:p w14:paraId="716ED306" w14:textId="71D71DF7" w:rsidR="00FA3DFD" w:rsidRPr="00E870E9" w:rsidRDefault="00FA3DFD" w:rsidP="00E870E9">
                      <w:pPr>
                        <w:spacing w:line="276" w:lineRule="auto"/>
                        <w:jc w:val="center"/>
                        <w:rPr>
                          <w:rFonts w:asciiTheme="minorHAnsi" w:hAnsiTheme="minorHAnsi" w:cstheme="minorHAnsi"/>
                          <w:b/>
                          <w:bCs/>
                          <w:color w:val="B6A04C"/>
                          <w:sz w:val="20"/>
                          <w:szCs w:val="20"/>
                        </w:rPr>
                      </w:pPr>
                      <w:hyperlink r:id="rId25" w:history="1">
                        <w:r w:rsidRPr="00E870E9">
                          <w:rPr>
                            <w:rStyle w:val="Lienhypertexte"/>
                            <w:rFonts w:asciiTheme="minorHAnsi" w:hAnsiTheme="minorHAnsi" w:cstheme="minorHAnsi"/>
                            <w:b/>
                            <w:bCs/>
                            <w:color w:val="B6A04C"/>
                            <w:sz w:val="20"/>
                            <w:szCs w:val="20"/>
                          </w:rPr>
                          <w:t xml:space="preserve">CJEU, </w:t>
                        </w:r>
                        <w:proofErr w:type="spellStart"/>
                        <w:r w:rsidRPr="00E870E9">
                          <w:rPr>
                            <w:rStyle w:val="Lienhypertexte"/>
                            <w:rFonts w:asciiTheme="minorHAnsi" w:hAnsiTheme="minorHAnsi" w:cstheme="minorHAnsi"/>
                            <w:b/>
                            <w:bCs/>
                            <w:color w:val="B6A04C"/>
                            <w:sz w:val="20"/>
                            <w:szCs w:val="20"/>
                          </w:rPr>
                          <w:t>Grd</w:t>
                        </w:r>
                        <w:proofErr w:type="spellEnd"/>
                        <w:r w:rsidRPr="00E870E9">
                          <w:rPr>
                            <w:rStyle w:val="Lienhypertexte"/>
                            <w:rFonts w:asciiTheme="minorHAnsi" w:hAnsiTheme="minorHAnsi" w:cstheme="minorHAnsi"/>
                            <w:b/>
                            <w:bCs/>
                            <w:color w:val="B6A04C"/>
                            <w:sz w:val="20"/>
                            <w:szCs w:val="20"/>
                          </w:rPr>
                          <w:t xml:space="preserve">. Ch., 5 February 2015, C-117/14, Grima Janet </w:t>
                        </w:r>
                        <w:proofErr w:type="spellStart"/>
                        <w:r w:rsidRPr="00E870E9">
                          <w:rPr>
                            <w:rStyle w:val="Lienhypertexte"/>
                            <w:rFonts w:asciiTheme="minorHAnsi" w:hAnsiTheme="minorHAnsi" w:cstheme="minorHAnsi"/>
                            <w:b/>
                            <w:bCs/>
                            <w:color w:val="B6A04C"/>
                            <w:sz w:val="20"/>
                            <w:szCs w:val="20"/>
                          </w:rPr>
                          <w:t>Nisttahuz</w:t>
                        </w:r>
                        <w:proofErr w:type="spellEnd"/>
                        <w:r w:rsidRPr="00E870E9">
                          <w:rPr>
                            <w:rStyle w:val="Lienhypertexte"/>
                            <w:rFonts w:asciiTheme="minorHAnsi" w:hAnsiTheme="minorHAnsi" w:cstheme="minorHAnsi"/>
                            <w:b/>
                            <w:bCs/>
                            <w:color w:val="B6A04C"/>
                            <w:sz w:val="20"/>
                            <w:szCs w:val="20"/>
                          </w:rPr>
                          <w:t xml:space="preserve"> </w:t>
                        </w:r>
                        <w:proofErr w:type="spellStart"/>
                        <w:r w:rsidRPr="00E870E9">
                          <w:rPr>
                            <w:rStyle w:val="Lienhypertexte"/>
                            <w:rFonts w:asciiTheme="minorHAnsi" w:hAnsiTheme="minorHAnsi" w:cstheme="minorHAnsi"/>
                            <w:b/>
                            <w:bCs/>
                            <w:color w:val="B6A04C"/>
                            <w:sz w:val="20"/>
                            <w:szCs w:val="20"/>
                          </w:rPr>
                          <w:t>Pclava</w:t>
                        </w:r>
                        <w:proofErr w:type="spellEnd"/>
                        <w:r w:rsidRPr="00E870E9">
                          <w:rPr>
                            <w:rStyle w:val="Lienhypertexte"/>
                            <w:rFonts w:asciiTheme="minorHAnsi" w:hAnsiTheme="minorHAnsi" w:cstheme="minorHAnsi"/>
                            <w:b/>
                            <w:bCs/>
                            <w:color w:val="B6A04C"/>
                            <w:sz w:val="20"/>
                            <w:szCs w:val="20"/>
                          </w:rPr>
                          <w:t xml:space="preserve"> v Jose Maria Ariza Toledano, ECLI:EU:C:2015:60</w:t>
                        </w:r>
                      </w:hyperlink>
                    </w:p>
                    <w:p w14:paraId="4E89B52D" w14:textId="77777777" w:rsidR="00FA3DFD" w:rsidRPr="007C3FEA" w:rsidRDefault="00FA3DFD" w:rsidP="00771B5D">
                      <w:pPr>
                        <w:spacing w:line="276" w:lineRule="auto"/>
                        <w:jc w:val="both"/>
                        <w:rPr>
                          <w:rFonts w:asciiTheme="minorHAnsi" w:hAnsiTheme="minorHAnsi" w:cstheme="minorHAnsi"/>
                          <w:b/>
                          <w:bCs/>
                          <w:sz w:val="20"/>
                          <w:szCs w:val="20"/>
                        </w:rPr>
                      </w:pPr>
                    </w:p>
                    <w:p w14:paraId="2365C827" w14:textId="744A3029" w:rsidR="00E010A2" w:rsidRPr="00C30B32" w:rsidRDefault="00212D87" w:rsidP="00771B5D">
                      <w:pPr>
                        <w:jc w:val="both"/>
                        <w:rPr>
                          <w:rFonts w:asciiTheme="minorHAnsi" w:hAnsiTheme="minorHAnsi" w:cstheme="minorHAnsi"/>
                          <w:b/>
                          <w:bCs/>
                          <w:color w:val="2C2D5B"/>
                          <w:sz w:val="20"/>
                          <w:szCs w:val="20"/>
                        </w:rPr>
                      </w:pPr>
                      <w:r w:rsidRPr="00C30B32">
                        <w:rPr>
                          <w:rFonts w:asciiTheme="minorHAnsi" w:hAnsiTheme="minorHAnsi" w:cstheme="minorHAnsi"/>
                          <w:b/>
                          <w:bCs/>
                          <w:color w:val="2C2D5B"/>
                          <w:sz w:val="20"/>
                          <w:szCs w:val="20"/>
                        </w:rPr>
                        <w:t>Facts</w:t>
                      </w:r>
                      <w:r w:rsidR="00E870E9" w:rsidRPr="00C30B32">
                        <w:rPr>
                          <w:rFonts w:asciiTheme="minorHAnsi" w:hAnsiTheme="minorHAnsi" w:cstheme="minorHAnsi"/>
                          <w:b/>
                          <w:bCs/>
                          <w:color w:val="2C2D5B"/>
                          <w:sz w:val="20"/>
                          <w:szCs w:val="20"/>
                        </w:rPr>
                        <w:t xml:space="preserve"> </w:t>
                      </w:r>
                      <w:r w:rsidRPr="00C30B32">
                        <w:rPr>
                          <w:rFonts w:asciiTheme="minorHAnsi" w:hAnsiTheme="minorHAnsi" w:cstheme="minorHAnsi"/>
                          <w:b/>
                          <w:bCs/>
                          <w:color w:val="2C2D5B"/>
                          <w:sz w:val="20"/>
                          <w:szCs w:val="20"/>
                        </w:rPr>
                        <w:t xml:space="preserve">: </w:t>
                      </w:r>
                    </w:p>
                    <w:p w14:paraId="13F85452" w14:textId="4D7BD9F7" w:rsidR="00FA3DFD" w:rsidRPr="00C30B32" w:rsidRDefault="00FA3DFD" w:rsidP="00771B5D">
                      <w:pPr>
                        <w:jc w:val="both"/>
                        <w:rPr>
                          <w:rFonts w:asciiTheme="minorHAnsi" w:hAnsiTheme="minorHAnsi" w:cstheme="minorHAnsi"/>
                          <w:color w:val="2C2D5B"/>
                          <w:sz w:val="20"/>
                          <w:szCs w:val="20"/>
                        </w:rPr>
                      </w:pPr>
                      <w:r w:rsidRPr="00C30B32">
                        <w:rPr>
                          <w:rFonts w:asciiTheme="minorHAnsi" w:hAnsiTheme="minorHAnsi" w:cstheme="minorHAnsi"/>
                          <w:color w:val="2C2D5B"/>
                          <w:sz w:val="20"/>
                          <w:szCs w:val="20"/>
                        </w:rPr>
                        <w:t xml:space="preserve">Ms. </w:t>
                      </w:r>
                      <w:proofErr w:type="spellStart"/>
                      <w:r w:rsidRPr="00C30B32">
                        <w:rPr>
                          <w:rFonts w:asciiTheme="minorHAnsi" w:hAnsiTheme="minorHAnsi" w:cstheme="minorHAnsi"/>
                          <w:color w:val="2C2D5B"/>
                          <w:sz w:val="20"/>
                          <w:szCs w:val="20"/>
                        </w:rPr>
                        <w:t>Nisttahuz</w:t>
                      </w:r>
                      <w:proofErr w:type="spellEnd"/>
                      <w:r w:rsidRPr="00C30B32">
                        <w:rPr>
                          <w:rFonts w:asciiTheme="minorHAnsi" w:hAnsiTheme="minorHAnsi" w:cstheme="minorHAnsi"/>
                          <w:color w:val="2C2D5B"/>
                          <w:sz w:val="20"/>
                          <w:szCs w:val="20"/>
                        </w:rPr>
                        <w:t xml:space="preserve"> </w:t>
                      </w:r>
                      <w:proofErr w:type="spellStart"/>
                      <w:r w:rsidRPr="00C30B32">
                        <w:rPr>
                          <w:rFonts w:asciiTheme="minorHAnsi" w:hAnsiTheme="minorHAnsi" w:cstheme="minorHAnsi"/>
                          <w:color w:val="2C2D5B"/>
                          <w:sz w:val="20"/>
                          <w:szCs w:val="20"/>
                        </w:rPr>
                        <w:t>Poclava</w:t>
                      </w:r>
                      <w:proofErr w:type="spellEnd"/>
                      <w:r w:rsidRPr="00C30B32">
                        <w:rPr>
                          <w:rFonts w:asciiTheme="minorHAnsi" w:hAnsiTheme="minorHAnsi" w:cstheme="minorHAnsi"/>
                          <w:color w:val="2C2D5B"/>
                          <w:sz w:val="20"/>
                          <w:szCs w:val="20"/>
                        </w:rPr>
                        <w:t xml:space="preserve"> worked as a cook for the Taberna del Marqués hotel company</w:t>
                      </w:r>
                      <w:r w:rsidR="00771B5D" w:rsidRPr="00C30B32">
                        <w:rPr>
                          <w:rFonts w:asciiTheme="minorHAnsi" w:hAnsiTheme="minorHAnsi" w:cstheme="minorHAnsi"/>
                          <w:color w:val="2C2D5B"/>
                          <w:sz w:val="20"/>
                          <w:szCs w:val="20"/>
                        </w:rPr>
                        <w:t xml:space="preserve"> under a </w:t>
                      </w:r>
                      <w:r w:rsidRPr="00C30B32">
                        <w:rPr>
                          <w:rFonts w:asciiTheme="minorHAnsi" w:hAnsiTheme="minorHAnsi" w:cstheme="minorHAnsi"/>
                          <w:color w:val="2C2D5B"/>
                          <w:sz w:val="20"/>
                          <w:szCs w:val="20"/>
                        </w:rPr>
                        <w:t xml:space="preserve">full-time </w:t>
                      </w:r>
                      <w:r w:rsidR="00771B5D" w:rsidRPr="00C30B32">
                        <w:rPr>
                          <w:rFonts w:asciiTheme="minorHAnsi" w:hAnsiTheme="minorHAnsi" w:cstheme="minorHAnsi"/>
                          <w:color w:val="2C2D5B"/>
                          <w:sz w:val="20"/>
                          <w:szCs w:val="20"/>
                        </w:rPr>
                        <w:t xml:space="preserve">indefinite </w:t>
                      </w:r>
                      <w:r w:rsidRPr="00C30B32">
                        <w:rPr>
                          <w:rFonts w:asciiTheme="minorHAnsi" w:hAnsiTheme="minorHAnsi" w:cstheme="minorHAnsi"/>
                          <w:color w:val="2C2D5B"/>
                          <w:sz w:val="20"/>
                          <w:szCs w:val="20"/>
                        </w:rPr>
                        <w:t>employment contract</w:t>
                      </w:r>
                      <w:r w:rsidR="00771B5D" w:rsidRPr="00C30B32">
                        <w:rPr>
                          <w:rFonts w:asciiTheme="minorHAnsi" w:hAnsiTheme="minorHAnsi" w:cstheme="minorHAnsi"/>
                          <w:color w:val="2C2D5B"/>
                          <w:sz w:val="20"/>
                          <w:szCs w:val="20"/>
                        </w:rPr>
                        <w:t xml:space="preserve"> </w:t>
                      </w:r>
                      <w:r w:rsidRPr="00C30B32">
                        <w:rPr>
                          <w:rFonts w:asciiTheme="minorHAnsi" w:hAnsiTheme="minorHAnsi" w:cstheme="minorHAnsi"/>
                          <w:color w:val="2C2D5B"/>
                          <w:sz w:val="20"/>
                          <w:szCs w:val="20"/>
                        </w:rPr>
                        <w:t xml:space="preserve">signed in 2013.The contract provided for a one-year trial period. Ms. </w:t>
                      </w:r>
                      <w:proofErr w:type="spellStart"/>
                      <w:r w:rsidRPr="00C30B32">
                        <w:rPr>
                          <w:rFonts w:asciiTheme="minorHAnsi" w:hAnsiTheme="minorHAnsi" w:cstheme="minorHAnsi"/>
                          <w:color w:val="2C2D5B"/>
                          <w:sz w:val="20"/>
                          <w:szCs w:val="20"/>
                        </w:rPr>
                        <w:t>Nisttahuz</w:t>
                      </w:r>
                      <w:proofErr w:type="spellEnd"/>
                      <w:r w:rsidRPr="00C30B32">
                        <w:rPr>
                          <w:rFonts w:asciiTheme="minorHAnsi" w:hAnsiTheme="minorHAnsi" w:cstheme="minorHAnsi"/>
                          <w:color w:val="2C2D5B"/>
                          <w:sz w:val="20"/>
                          <w:szCs w:val="20"/>
                        </w:rPr>
                        <w:t xml:space="preserve"> </w:t>
                      </w:r>
                      <w:proofErr w:type="spellStart"/>
                      <w:r w:rsidRPr="00C30B32">
                        <w:rPr>
                          <w:rFonts w:asciiTheme="minorHAnsi" w:hAnsiTheme="minorHAnsi" w:cstheme="minorHAnsi"/>
                          <w:color w:val="2C2D5B"/>
                          <w:sz w:val="20"/>
                          <w:szCs w:val="20"/>
                        </w:rPr>
                        <w:t>Poclava</w:t>
                      </w:r>
                      <w:proofErr w:type="spellEnd"/>
                      <w:r w:rsidRPr="00C30B32">
                        <w:rPr>
                          <w:rFonts w:asciiTheme="minorHAnsi" w:hAnsiTheme="minorHAnsi" w:cstheme="minorHAnsi"/>
                          <w:color w:val="2C2D5B"/>
                          <w:sz w:val="20"/>
                          <w:szCs w:val="20"/>
                        </w:rPr>
                        <w:t xml:space="preserve"> was informed by letter dated May 31, 2013 that she was no longer with the company as of that date, as she had not successfully completed her trial period. The employee contested the length of the trial period, invoking article 30 of the Charter.</w:t>
                      </w:r>
                    </w:p>
                    <w:p w14:paraId="38C78084" w14:textId="77777777" w:rsidR="00FA3DFD" w:rsidRPr="00C30B32" w:rsidRDefault="00FA3DFD" w:rsidP="00771B5D">
                      <w:pPr>
                        <w:jc w:val="both"/>
                        <w:rPr>
                          <w:rFonts w:asciiTheme="minorHAnsi" w:hAnsiTheme="minorHAnsi" w:cstheme="minorHAnsi"/>
                          <w:color w:val="2C2D5B"/>
                          <w:sz w:val="20"/>
                          <w:szCs w:val="20"/>
                        </w:rPr>
                      </w:pPr>
                    </w:p>
                    <w:p w14:paraId="6F9446DC" w14:textId="5D269C10" w:rsidR="00B1680F" w:rsidRPr="00C30B32" w:rsidRDefault="00D97D5D" w:rsidP="00771B5D">
                      <w:pPr>
                        <w:jc w:val="both"/>
                        <w:rPr>
                          <w:rFonts w:asciiTheme="minorHAnsi" w:hAnsiTheme="minorHAnsi" w:cstheme="minorHAnsi"/>
                          <w:b/>
                          <w:bCs/>
                          <w:color w:val="2C2D5B"/>
                          <w:sz w:val="20"/>
                          <w:szCs w:val="20"/>
                        </w:rPr>
                      </w:pPr>
                      <w:r w:rsidRPr="00C30B32">
                        <w:rPr>
                          <w:rFonts w:asciiTheme="minorHAnsi" w:hAnsiTheme="minorHAnsi" w:cstheme="minorHAnsi"/>
                          <w:b/>
                          <w:bCs/>
                          <w:color w:val="2C2D5B"/>
                          <w:sz w:val="20"/>
                          <w:szCs w:val="20"/>
                        </w:rPr>
                        <w:t>Ruling</w:t>
                      </w:r>
                      <w:r w:rsidR="00E870E9" w:rsidRPr="00C30B32">
                        <w:rPr>
                          <w:rFonts w:asciiTheme="minorHAnsi" w:hAnsiTheme="minorHAnsi" w:cstheme="minorHAnsi"/>
                          <w:b/>
                          <w:bCs/>
                          <w:color w:val="2C2D5B"/>
                          <w:sz w:val="20"/>
                          <w:szCs w:val="20"/>
                        </w:rPr>
                        <w:t xml:space="preserve"> </w:t>
                      </w:r>
                      <w:r w:rsidR="00B1680F" w:rsidRPr="00C30B32">
                        <w:rPr>
                          <w:rFonts w:asciiTheme="minorHAnsi" w:hAnsiTheme="minorHAnsi" w:cstheme="minorHAnsi"/>
                          <w:b/>
                          <w:bCs/>
                          <w:color w:val="2C2D5B"/>
                          <w:sz w:val="20"/>
                          <w:szCs w:val="20"/>
                        </w:rPr>
                        <w:t xml:space="preserve">: </w:t>
                      </w:r>
                    </w:p>
                    <w:p w14:paraId="4F641869" w14:textId="315FA8D2" w:rsidR="00FA3DFD" w:rsidRPr="00C30B32" w:rsidRDefault="00FA3DFD" w:rsidP="00327D5A">
                      <w:pPr>
                        <w:jc w:val="both"/>
                        <w:rPr>
                          <w:color w:val="2C2D5B"/>
                        </w:rPr>
                      </w:pPr>
                      <w:r w:rsidRPr="00C30B32">
                        <w:rPr>
                          <w:rFonts w:asciiTheme="minorHAnsi" w:hAnsiTheme="minorHAnsi" w:cstheme="minorHAnsi"/>
                          <w:color w:val="2C2D5B"/>
                          <w:sz w:val="20"/>
                          <w:szCs w:val="20"/>
                        </w:rPr>
                        <w:t xml:space="preserve"> It should be recalled that, so far as actions of the Member States are concerned, the scope of the Charter is defined in Article 51(1) thereof, </w:t>
                      </w:r>
                      <w:r w:rsidR="00771B5D" w:rsidRPr="00C30B32">
                        <w:rPr>
                          <w:rFonts w:asciiTheme="minorHAnsi" w:hAnsiTheme="minorHAnsi" w:cstheme="minorHAnsi"/>
                          <w:color w:val="2C2D5B"/>
                          <w:sz w:val="20"/>
                          <w:szCs w:val="20"/>
                        </w:rPr>
                        <w:t>which states that</w:t>
                      </w:r>
                      <w:r w:rsidRPr="00C30B32">
                        <w:rPr>
                          <w:rFonts w:asciiTheme="minorHAnsi" w:hAnsiTheme="minorHAnsi" w:cstheme="minorHAnsi"/>
                          <w:b/>
                          <w:bCs/>
                          <w:color w:val="2C2D5B"/>
                          <w:sz w:val="20"/>
                          <w:szCs w:val="20"/>
                        </w:rPr>
                        <w:t xml:space="preserve"> the provisions of the Charter are addressed to the Member States only when they are implementing EU </w:t>
                      </w:r>
                      <w:r w:rsidR="00B1680F" w:rsidRPr="00C30B32">
                        <w:rPr>
                          <w:rFonts w:asciiTheme="minorHAnsi" w:hAnsiTheme="minorHAnsi" w:cstheme="minorHAnsi"/>
                          <w:b/>
                          <w:bCs/>
                          <w:color w:val="2C2D5B"/>
                          <w:sz w:val="20"/>
                          <w:szCs w:val="20"/>
                        </w:rPr>
                        <w:t>law</w:t>
                      </w:r>
                      <w:r w:rsidR="00B1680F" w:rsidRPr="00C30B32">
                        <w:rPr>
                          <w:rFonts w:asciiTheme="minorHAnsi" w:hAnsiTheme="minorHAnsi" w:cstheme="minorHAnsi"/>
                          <w:color w:val="2C2D5B"/>
                          <w:sz w:val="20"/>
                          <w:szCs w:val="20"/>
                        </w:rPr>
                        <w:t>. Therefore</w:t>
                      </w:r>
                      <w:r w:rsidR="00771B5D" w:rsidRPr="00C30B32">
                        <w:rPr>
                          <w:rFonts w:asciiTheme="minorHAnsi" w:hAnsiTheme="minorHAnsi" w:cstheme="minorHAnsi"/>
                          <w:color w:val="2C2D5B"/>
                          <w:sz w:val="20"/>
                          <w:szCs w:val="20"/>
                        </w:rPr>
                        <w:t>,</w:t>
                      </w:r>
                      <w:r w:rsidRPr="00C30B32">
                        <w:rPr>
                          <w:rFonts w:asciiTheme="minorHAnsi" w:hAnsiTheme="minorHAnsi" w:cstheme="minorHAnsi"/>
                          <w:color w:val="2C2D5B"/>
                          <w:sz w:val="20"/>
                          <w:szCs w:val="20"/>
                        </w:rPr>
                        <w:t xml:space="preserve"> a contract such as the </w:t>
                      </w:r>
                      <w:r w:rsidR="00B1680F" w:rsidRPr="00C30B32">
                        <w:rPr>
                          <w:rFonts w:asciiTheme="minorHAnsi" w:hAnsiTheme="minorHAnsi" w:cstheme="minorHAnsi"/>
                          <w:color w:val="2C2D5B"/>
                          <w:sz w:val="20"/>
                          <w:szCs w:val="20"/>
                        </w:rPr>
                        <w:t>“</w:t>
                      </w:r>
                      <w:r w:rsidRPr="00C30B32">
                        <w:rPr>
                          <w:rFonts w:asciiTheme="minorHAnsi" w:hAnsiTheme="minorHAnsi" w:cstheme="minorHAnsi"/>
                          <w:color w:val="2C2D5B"/>
                          <w:sz w:val="20"/>
                          <w:szCs w:val="20"/>
                        </w:rPr>
                        <w:t>employment contract of indefinite duration to support entrepreneurs</w:t>
                      </w:r>
                      <w:r w:rsidR="00B1680F" w:rsidRPr="00C30B32">
                        <w:rPr>
                          <w:rFonts w:asciiTheme="minorHAnsi" w:hAnsiTheme="minorHAnsi" w:cstheme="minorHAnsi"/>
                          <w:color w:val="2C2D5B"/>
                          <w:sz w:val="20"/>
                          <w:szCs w:val="20"/>
                        </w:rPr>
                        <w:t>”</w:t>
                      </w:r>
                      <w:r w:rsidRPr="00C30B32">
                        <w:rPr>
                          <w:rFonts w:asciiTheme="minorHAnsi" w:hAnsiTheme="minorHAnsi" w:cstheme="minorHAnsi"/>
                          <w:color w:val="2C2D5B"/>
                          <w:sz w:val="20"/>
                          <w:szCs w:val="20"/>
                        </w:rPr>
                        <w:t>, provided for under Spanish law, is not a fixed-term contract that falls within the scope of Directive 1999/70. It follows that the situation at issue in the main proceedings does not fall within the scope of EU law. article 30 cannot therefore be invoked.</w:t>
                      </w:r>
                    </w:p>
                  </w:txbxContent>
                </v:textbox>
                <w10:wrap type="square" anchorx="margin"/>
              </v:roundrect>
            </w:pict>
          </mc:Fallback>
        </mc:AlternateContent>
      </w:r>
    </w:p>
    <w:p w14:paraId="5E33C97A" w14:textId="6BA7BBF1" w:rsidR="002A3051" w:rsidRDefault="002A3051" w:rsidP="00754C6C">
      <w:pPr>
        <w:pStyle w:val="Nadpis4"/>
        <w:jc w:val="both"/>
        <w:rPr>
          <w:rStyle w:val="Siln"/>
          <w:rFonts w:cstheme="majorHAnsi"/>
          <w:b w:val="0"/>
          <w:bCs w:val="0"/>
        </w:rPr>
      </w:pPr>
      <w:r>
        <w:rPr>
          <w:rStyle w:val="Siln"/>
          <w:rFonts w:cstheme="majorHAnsi"/>
          <w:b w:val="0"/>
          <w:bCs w:val="0"/>
        </w:rPr>
        <w:br w:type="page"/>
      </w:r>
    </w:p>
    <w:p w14:paraId="09807555" w14:textId="77777777" w:rsidR="00E870E9" w:rsidRDefault="00E870E9" w:rsidP="00E870E9"/>
    <w:p w14:paraId="535FC8C5" w14:textId="77777777" w:rsidR="00E870E9" w:rsidRDefault="00E870E9" w:rsidP="00E870E9"/>
    <w:p w14:paraId="29EF8183" w14:textId="77777777" w:rsidR="00E870E9" w:rsidRDefault="00E870E9" w:rsidP="00E870E9"/>
    <w:p w14:paraId="45F9AB32" w14:textId="77777777" w:rsidR="00E870E9" w:rsidRDefault="00E870E9" w:rsidP="00E870E9"/>
    <w:p w14:paraId="1CE1FA9F" w14:textId="77777777" w:rsidR="00754C6C" w:rsidRDefault="00754C6C" w:rsidP="00754C6C">
      <w:pPr>
        <w:pStyle w:val="Nadpis4"/>
        <w:jc w:val="both"/>
        <w:rPr>
          <w:rStyle w:val="Siln"/>
          <w:rFonts w:cstheme="majorHAnsi"/>
          <w:b w:val="0"/>
          <w:bCs w:val="0"/>
        </w:rPr>
      </w:pPr>
    </w:p>
    <w:p w14:paraId="7C5263BF" w14:textId="77777777" w:rsidR="00CB0240" w:rsidRDefault="00CB0240" w:rsidP="00754C6C">
      <w:pPr>
        <w:pStyle w:val="Nadpis4"/>
        <w:jc w:val="both"/>
        <w:rPr>
          <w:rStyle w:val="Siln"/>
          <w:rFonts w:cstheme="majorHAnsi"/>
          <w:color w:val="BF8F00" w:themeColor="accent4" w:themeShade="BF"/>
          <w:sz w:val="26"/>
          <w:szCs w:val="26"/>
        </w:rPr>
      </w:pPr>
    </w:p>
    <w:p w14:paraId="1751FE86" w14:textId="068A224C" w:rsidR="00710AB6" w:rsidRPr="00DB4562" w:rsidRDefault="00710AB6" w:rsidP="00754C6C">
      <w:pPr>
        <w:pStyle w:val="Nadpis4"/>
        <w:jc w:val="both"/>
        <w:rPr>
          <w:rFonts w:cstheme="majorHAnsi"/>
          <w:color w:val="BF8F00" w:themeColor="accent4" w:themeShade="BF"/>
          <w:sz w:val="26"/>
          <w:szCs w:val="26"/>
          <w:lang w:eastAsia="fr-FR"/>
        </w:rPr>
      </w:pPr>
      <w:r w:rsidRPr="00DB4562">
        <w:rPr>
          <w:rStyle w:val="Siln"/>
          <w:rFonts w:cstheme="majorHAnsi"/>
          <w:color w:val="BF8F00" w:themeColor="accent4" w:themeShade="BF"/>
          <w:sz w:val="26"/>
          <w:szCs w:val="26"/>
        </w:rPr>
        <w:t xml:space="preserve">Test your understanding </w:t>
      </w:r>
    </w:p>
    <w:p w14:paraId="3F9E0A42" w14:textId="12B495A4" w:rsidR="00710AB6" w:rsidRPr="00754C6C" w:rsidRDefault="00754C6C" w:rsidP="00754C6C">
      <w:pPr>
        <w:pStyle w:val="Normlnweb"/>
        <w:jc w:val="both"/>
        <w:rPr>
          <w:rFonts w:asciiTheme="majorHAnsi" w:hAnsiTheme="majorHAnsi" w:cstheme="majorHAnsi"/>
        </w:rPr>
      </w:pPr>
      <w:r w:rsidRPr="00754C6C">
        <w:rPr>
          <w:rFonts w:asciiTheme="majorHAnsi" w:hAnsiTheme="majorHAnsi" w:cstheme="majorHAnsi"/>
          <w:b/>
          <w:bCs/>
          <w:color w:val="002060"/>
        </w:rPr>
        <w:t>Situation 1</w:t>
      </w:r>
      <w:r w:rsidR="00E870E9">
        <w:rPr>
          <w:rFonts w:asciiTheme="majorHAnsi" w:hAnsiTheme="majorHAnsi" w:cstheme="majorHAnsi"/>
          <w:b/>
          <w:bCs/>
          <w:color w:val="002060"/>
        </w:rPr>
        <w:t xml:space="preserve"> </w:t>
      </w:r>
      <w:r>
        <w:rPr>
          <w:rFonts w:asciiTheme="majorHAnsi" w:hAnsiTheme="majorHAnsi" w:cstheme="majorHAnsi"/>
        </w:rPr>
        <w:t xml:space="preserve">: </w:t>
      </w:r>
      <w:r w:rsidR="00710AB6" w:rsidRPr="00E870E9">
        <w:rPr>
          <w:rFonts w:asciiTheme="majorHAnsi" w:hAnsiTheme="majorHAnsi" w:cstheme="majorHAnsi"/>
          <w:color w:val="2C2D5B"/>
        </w:rPr>
        <w:t>A worker in a Member State claims they were discriminated against due to their disability during a hiring process. The employer argues that the national legislation governing employment does not explicitly prohibit such discrimination in this context. The applicant seeks to invoke Article 21 of the Charter, which prohibits discrimination on the grounds of disability, to challenge the employer’s decision.</w:t>
      </w:r>
    </w:p>
    <w:p w14:paraId="6AEBAFF7" w14:textId="77777777" w:rsidR="00710AB6" w:rsidRPr="00E870E9" w:rsidRDefault="00710AB6" w:rsidP="00754C6C">
      <w:pPr>
        <w:numPr>
          <w:ilvl w:val="0"/>
          <w:numId w:val="51"/>
        </w:numPr>
        <w:spacing w:before="100" w:beforeAutospacing="1" w:after="100" w:afterAutospacing="1"/>
        <w:jc w:val="both"/>
        <w:rPr>
          <w:rFonts w:asciiTheme="majorHAnsi" w:hAnsiTheme="majorHAnsi" w:cstheme="majorHAnsi"/>
          <w:color w:val="2C2D5B"/>
        </w:rPr>
      </w:pPr>
      <w:r w:rsidRPr="00E870E9">
        <w:rPr>
          <w:rFonts w:asciiTheme="majorHAnsi" w:hAnsiTheme="majorHAnsi" w:cstheme="majorHAnsi"/>
          <w:color w:val="2C2D5B"/>
        </w:rPr>
        <w:t>Does the Charter apply in this case?</w:t>
      </w:r>
    </w:p>
    <w:p w14:paraId="6ECA77D6" w14:textId="77777777" w:rsidR="00710AB6" w:rsidRPr="00E870E9" w:rsidRDefault="00710AB6" w:rsidP="00754C6C">
      <w:pPr>
        <w:numPr>
          <w:ilvl w:val="0"/>
          <w:numId w:val="51"/>
        </w:numPr>
        <w:spacing w:before="100" w:beforeAutospacing="1" w:after="100" w:afterAutospacing="1"/>
        <w:jc w:val="both"/>
        <w:rPr>
          <w:rFonts w:asciiTheme="majorHAnsi" w:hAnsiTheme="majorHAnsi" w:cstheme="majorHAnsi"/>
          <w:color w:val="2C2D5B"/>
        </w:rPr>
      </w:pPr>
      <w:r w:rsidRPr="00E870E9">
        <w:rPr>
          <w:rFonts w:asciiTheme="majorHAnsi" w:hAnsiTheme="majorHAnsi" w:cstheme="majorHAnsi"/>
          <w:color w:val="2C2D5B"/>
        </w:rPr>
        <w:t>What connection to EU law is required to invoke the Charter effectively?</w:t>
      </w:r>
    </w:p>
    <w:p w14:paraId="6864362A" w14:textId="77777777" w:rsidR="00710AB6" w:rsidRPr="00E870E9" w:rsidRDefault="00710AB6" w:rsidP="00754C6C">
      <w:pPr>
        <w:numPr>
          <w:ilvl w:val="0"/>
          <w:numId w:val="51"/>
        </w:numPr>
        <w:spacing w:before="100" w:beforeAutospacing="1" w:after="100" w:afterAutospacing="1"/>
        <w:jc w:val="both"/>
        <w:rPr>
          <w:rFonts w:asciiTheme="majorHAnsi" w:hAnsiTheme="majorHAnsi" w:cstheme="majorHAnsi"/>
          <w:color w:val="2C2D5B"/>
        </w:rPr>
      </w:pPr>
      <w:r w:rsidRPr="00E870E9">
        <w:rPr>
          <w:rFonts w:asciiTheme="majorHAnsi" w:hAnsiTheme="majorHAnsi" w:cstheme="majorHAnsi"/>
          <w:color w:val="2C2D5B"/>
        </w:rPr>
        <w:t xml:space="preserve">What role does the </w:t>
      </w:r>
      <w:r w:rsidRPr="00E870E9">
        <w:rPr>
          <w:rStyle w:val="Siln"/>
          <w:rFonts w:asciiTheme="majorHAnsi" w:hAnsiTheme="majorHAnsi" w:cstheme="majorHAnsi"/>
          <w:color w:val="2C2D5B"/>
        </w:rPr>
        <w:t>trigger rule</w:t>
      </w:r>
      <w:r w:rsidRPr="00E870E9">
        <w:rPr>
          <w:rFonts w:asciiTheme="majorHAnsi" w:hAnsiTheme="majorHAnsi" w:cstheme="majorHAnsi"/>
          <w:color w:val="2C2D5B"/>
        </w:rPr>
        <w:t xml:space="preserve"> play in determining the Charter’s applicability?</w:t>
      </w:r>
    </w:p>
    <w:p w14:paraId="788CDA29" w14:textId="49CB0246" w:rsidR="00754C6C" w:rsidRPr="00E870E9" w:rsidRDefault="00C77847" w:rsidP="00754C6C">
      <w:pPr>
        <w:spacing w:line="276" w:lineRule="auto"/>
        <w:jc w:val="both"/>
        <w:rPr>
          <w:rFonts w:asciiTheme="majorHAnsi" w:hAnsiTheme="majorHAnsi" w:cstheme="majorHAnsi"/>
          <w:b/>
          <w:bCs/>
          <w:color w:val="6C6EB8"/>
          <w:sz w:val="20"/>
          <w:szCs w:val="20"/>
          <w:lang w:val="fr-FR"/>
        </w:rPr>
      </w:pPr>
      <w:r w:rsidRPr="00E870E9">
        <w:rPr>
          <w:rFonts w:asciiTheme="majorHAnsi" w:hAnsiTheme="majorHAnsi" w:cstheme="majorHAnsi"/>
          <w:b/>
          <w:bCs/>
          <w:color w:val="6C6EB8"/>
          <w:sz w:val="20"/>
          <w:szCs w:val="20"/>
          <w:lang w:val="fr-FR"/>
        </w:rPr>
        <w:t>Analysis</w:t>
      </w:r>
      <w:r w:rsidR="00E870E9" w:rsidRPr="00E870E9">
        <w:rPr>
          <w:rFonts w:asciiTheme="majorHAnsi" w:hAnsiTheme="majorHAnsi" w:cstheme="majorHAnsi"/>
          <w:b/>
          <w:bCs/>
          <w:color w:val="6C6EB8"/>
          <w:sz w:val="20"/>
          <w:szCs w:val="20"/>
          <w:lang w:val="fr-FR"/>
        </w:rPr>
        <w:t xml:space="preserve"> </w:t>
      </w:r>
      <w:r w:rsidRPr="00E870E9">
        <w:rPr>
          <w:rFonts w:asciiTheme="majorHAnsi" w:hAnsiTheme="majorHAnsi" w:cstheme="majorHAnsi"/>
          <w:b/>
          <w:bCs/>
          <w:color w:val="6C6EB8"/>
          <w:sz w:val="20"/>
          <w:szCs w:val="20"/>
          <w:lang w:val="fr-FR"/>
        </w:rPr>
        <w:t>:</w:t>
      </w:r>
    </w:p>
    <w:p w14:paraId="785AA1AF" w14:textId="77777777" w:rsidR="00C77847" w:rsidRPr="00E870E9" w:rsidRDefault="00C77847" w:rsidP="00754C6C">
      <w:pPr>
        <w:numPr>
          <w:ilvl w:val="0"/>
          <w:numId w:val="52"/>
        </w:numPr>
        <w:spacing w:line="276" w:lineRule="auto"/>
        <w:jc w:val="both"/>
        <w:rPr>
          <w:rFonts w:asciiTheme="majorHAnsi" w:hAnsiTheme="majorHAnsi" w:cstheme="majorHAnsi"/>
          <w:color w:val="6C6EB8"/>
          <w:sz w:val="20"/>
          <w:szCs w:val="20"/>
          <w:lang w:val="fr-FR"/>
        </w:rPr>
      </w:pPr>
      <w:r w:rsidRPr="00E870E9">
        <w:rPr>
          <w:rFonts w:asciiTheme="majorHAnsi" w:hAnsiTheme="majorHAnsi" w:cstheme="majorHAnsi"/>
          <w:b/>
          <w:bCs/>
          <w:color w:val="6C6EB8"/>
          <w:sz w:val="20"/>
          <w:szCs w:val="20"/>
          <w:lang w:val="fr-FR"/>
        </w:rPr>
        <w:t>Connection to EU Law</w:t>
      </w:r>
      <w:r w:rsidRPr="00E870E9">
        <w:rPr>
          <w:rFonts w:asciiTheme="majorHAnsi" w:hAnsiTheme="majorHAnsi" w:cstheme="majorHAnsi"/>
          <w:color w:val="6C6EB8"/>
          <w:sz w:val="20"/>
          <w:szCs w:val="20"/>
          <w:lang w:val="fr-FR"/>
        </w:rPr>
        <w:t>:</w:t>
      </w:r>
    </w:p>
    <w:p w14:paraId="488FF52E" w14:textId="77777777" w:rsidR="00754C6C" w:rsidRPr="00E870E9" w:rsidRDefault="00C77847" w:rsidP="00754C6C">
      <w:pPr>
        <w:numPr>
          <w:ilvl w:val="1"/>
          <w:numId w:val="52"/>
        </w:numPr>
        <w:spacing w:line="276" w:lineRule="auto"/>
        <w:jc w:val="both"/>
        <w:rPr>
          <w:rFonts w:asciiTheme="majorHAnsi" w:hAnsiTheme="majorHAnsi" w:cstheme="majorHAnsi"/>
          <w:color w:val="6C6EB8"/>
          <w:sz w:val="20"/>
          <w:szCs w:val="20"/>
        </w:rPr>
      </w:pPr>
      <w:r w:rsidRPr="00E870E9">
        <w:rPr>
          <w:rFonts w:asciiTheme="majorHAnsi" w:hAnsiTheme="majorHAnsi" w:cstheme="majorHAnsi"/>
          <w:color w:val="6C6EB8"/>
          <w:sz w:val="20"/>
          <w:szCs w:val="20"/>
        </w:rPr>
        <w:t xml:space="preserve">The </w:t>
      </w:r>
      <w:r w:rsidRPr="00E870E9">
        <w:rPr>
          <w:rFonts w:asciiTheme="majorHAnsi" w:hAnsiTheme="majorHAnsi" w:cstheme="majorHAnsi"/>
          <w:b/>
          <w:bCs/>
          <w:color w:val="6C6EB8"/>
          <w:sz w:val="20"/>
          <w:szCs w:val="20"/>
        </w:rPr>
        <w:t>Employment Equality Directive (Directive 2000/78/EC)</w:t>
      </w:r>
      <w:r w:rsidRPr="00E870E9">
        <w:rPr>
          <w:rFonts w:asciiTheme="majorHAnsi" w:hAnsiTheme="majorHAnsi" w:cstheme="majorHAnsi"/>
          <w:color w:val="6C6EB8"/>
          <w:sz w:val="20"/>
          <w:szCs w:val="20"/>
        </w:rPr>
        <w:t xml:space="preserve"> establishes a general framework for equal treatment in employment and occupation. Since this </w:t>
      </w:r>
    </w:p>
    <w:p w14:paraId="796575B0" w14:textId="77777777" w:rsidR="00754C6C" w:rsidRPr="00E870E9" w:rsidRDefault="00754C6C" w:rsidP="00754C6C">
      <w:pPr>
        <w:spacing w:line="276" w:lineRule="auto"/>
        <w:ind w:left="1440"/>
        <w:jc w:val="both"/>
        <w:rPr>
          <w:rFonts w:asciiTheme="majorHAnsi" w:hAnsiTheme="majorHAnsi" w:cstheme="majorHAnsi"/>
          <w:color w:val="6C6EB8"/>
          <w:sz w:val="20"/>
          <w:szCs w:val="20"/>
        </w:rPr>
      </w:pPr>
    </w:p>
    <w:p w14:paraId="47F9A086" w14:textId="5195C2F8" w:rsidR="00C77847" w:rsidRPr="00E870E9" w:rsidRDefault="00C77847" w:rsidP="00754C6C">
      <w:pPr>
        <w:spacing w:line="276" w:lineRule="auto"/>
        <w:ind w:left="1440"/>
        <w:jc w:val="both"/>
        <w:rPr>
          <w:rFonts w:asciiTheme="majorHAnsi" w:hAnsiTheme="majorHAnsi" w:cstheme="majorHAnsi"/>
          <w:color w:val="6C6EB8"/>
          <w:sz w:val="20"/>
          <w:szCs w:val="20"/>
        </w:rPr>
      </w:pPr>
      <w:r w:rsidRPr="00E870E9">
        <w:rPr>
          <w:rFonts w:asciiTheme="majorHAnsi" w:hAnsiTheme="majorHAnsi" w:cstheme="majorHAnsi"/>
          <w:color w:val="6C6EB8"/>
          <w:sz w:val="20"/>
          <w:szCs w:val="20"/>
        </w:rPr>
        <w:t>directive is part of EU law and requires implementation by Member States, Article 21 of the Charter may be applicable if the case concerns the implementation of this directive.</w:t>
      </w:r>
    </w:p>
    <w:p w14:paraId="4E900886" w14:textId="77777777" w:rsidR="00C77847" w:rsidRPr="00E870E9" w:rsidRDefault="00C77847" w:rsidP="00754C6C">
      <w:pPr>
        <w:numPr>
          <w:ilvl w:val="0"/>
          <w:numId w:val="52"/>
        </w:numPr>
        <w:spacing w:line="276" w:lineRule="auto"/>
        <w:jc w:val="both"/>
        <w:rPr>
          <w:rFonts w:asciiTheme="majorHAnsi" w:hAnsiTheme="majorHAnsi" w:cstheme="majorHAnsi"/>
          <w:color w:val="6C6EB8"/>
          <w:sz w:val="20"/>
          <w:szCs w:val="20"/>
          <w:lang w:val="fr-FR"/>
        </w:rPr>
      </w:pPr>
      <w:r w:rsidRPr="00E870E9">
        <w:rPr>
          <w:rFonts w:asciiTheme="majorHAnsi" w:hAnsiTheme="majorHAnsi" w:cstheme="majorHAnsi"/>
          <w:b/>
          <w:bCs/>
          <w:color w:val="6C6EB8"/>
          <w:sz w:val="20"/>
          <w:szCs w:val="20"/>
          <w:lang w:val="fr-FR"/>
        </w:rPr>
        <w:t>Triggering the Charter</w:t>
      </w:r>
      <w:r w:rsidRPr="00E870E9">
        <w:rPr>
          <w:rFonts w:asciiTheme="majorHAnsi" w:hAnsiTheme="majorHAnsi" w:cstheme="majorHAnsi"/>
          <w:color w:val="6C6EB8"/>
          <w:sz w:val="20"/>
          <w:szCs w:val="20"/>
          <w:lang w:val="fr-FR"/>
        </w:rPr>
        <w:t>:</w:t>
      </w:r>
    </w:p>
    <w:p w14:paraId="06A3E057" w14:textId="77777777" w:rsidR="00C77847" w:rsidRPr="00E870E9" w:rsidRDefault="00C77847" w:rsidP="00754C6C">
      <w:pPr>
        <w:numPr>
          <w:ilvl w:val="1"/>
          <w:numId w:val="52"/>
        </w:numPr>
        <w:spacing w:line="276" w:lineRule="auto"/>
        <w:jc w:val="both"/>
        <w:rPr>
          <w:rFonts w:asciiTheme="majorHAnsi" w:hAnsiTheme="majorHAnsi" w:cstheme="majorHAnsi"/>
          <w:color w:val="6C6EB8"/>
          <w:sz w:val="20"/>
          <w:szCs w:val="20"/>
        </w:rPr>
      </w:pPr>
      <w:r w:rsidRPr="00E870E9">
        <w:rPr>
          <w:rFonts w:asciiTheme="majorHAnsi" w:hAnsiTheme="majorHAnsi" w:cstheme="majorHAnsi"/>
          <w:color w:val="6C6EB8"/>
          <w:sz w:val="20"/>
          <w:szCs w:val="20"/>
        </w:rPr>
        <w:t xml:space="preserve">For the Charter to apply, there must be a </w:t>
      </w:r>
      <w:r w:rsidRPr="00E870E9">
        <w:rPr>
          <w:rFonts w:asciiTheme="majorHAnsi" w:hAnsiTheme="majorHAnsi" w:cstheme="majorHAnsi"/>
          <w:b/>
          <w:bCs/>
          <w:color w:val="6C6EB8"/>
          <w:sz w:val="20"/>
          <w:szCs w:val="20"/>
        </w:rPr>
        <w:t>clear link</w:t>
      </w:r>
      <w:r w:rsidRPr="00E870E9">
        <w:rPr>
          <w:rFonts w:asciiTheme="majorHAnsi" w:hAnsiTheme="majorHAnsi" w:cstheme="majorHAnsi"/>
          <w:color w:val="6C6EB8"/>
          <w:sz w:val="20"/>
          <w:szCs w:val="20"/>
        </w:rPr>
        <w:t xml:space="preserve"> between the alleged discrimination and the implementation of EU law. If the employer’s conduct or the national legislation is assessed within the framework of the directive, the Charter’s provisions become relevant.</w:t>
      </w:r>
    </w:p>
    <w:p w14:paraId="57E20D0C" w14:textId="77777777" w:rsidR="00C77847" w:rsidRPr="00E870E9" w:rsidRDefault="00C77847" w:rsidP="00754C6C">
      <w:pPr>
        <w:numPr>
          <w:ilvl w:val="1"/>
          <w:numId w:val="52"/>
        </w:numPr>
        <w:spacing w:line="276" w:lineRule="auto"/>
        <w:jc w:val="both"/>
        <w:rPr>
          <w:rFonts w:asciiTheme="majorHAnsi" w:hAnsiTheme="majorHAnsi" w:cstheme="majorHAnsi"/>
          <w:color w:val="6C6EB8"/>
          <w:sz w:val="20"/>
          <w:szCs w:val="20"/>
        </w:rPr>
      </w:pPr>
      <w:r w:rsidRPr="00E870E9">
        <w:rPr>
          <w:rFonts w:asciiTheme="majorHAnsi" w:hAnsiTheme="majorHAnsi" w:cstheme="majorHAnsi"/>
          <w:color w:val="6C6EB8"/>
          <w:sz w:val="20"/>
          <w:szCs w:val="20"/>
        </w:rPr>
        <w:t>For example, if the Member State has transposed the directive into national law but left significant gaps or failed to ensure adequate remedies for discrimination claims, the Charter can be invoked to address these deficiencies.</w:t>
      </w:r>
    </w:p>
    <w:p w14:paraId="161B5BFB" w14:textId="77777777" w:rsidR="00C77847" w:rsidRPr="00E870E9" w:rsidRDefault="00C77847" w:rsidP="00754C6C">
      <w:pPr>
        <w:numPr>
          <w:ilvl w:val="0"/>
          <w:numId w:val="52"/>
        </w:numPr>
        <w:spacing w:line="276" w:lineRule="auto"/>
        <w:jc w:val="both"/>
        <w:rPr>
          <w:rFonts w:asciiTheme="majorHAnsi" w:hAnsiTheme="majorHAnsi" w:cstheme="majorHAnsi"/>
          <w:color w:val="6C6EB8"/>
          <w:sz w:val="20"/>
          <w:szCs w:val="20"/>
          <w:lang w:val="fr-FR"/>
        </w:rPr>
      </w:pPr>
      <w:r w:rsidRPr="00E870E9">
        <w:rPr>
          <w:rFonts w:asciiTheme="majorHAnsi" w:hAnsiTheme="majorHAnsi" w:cstheme="majorHAnsi"/>
          <w:b/>
          <w:bCs/>
          <w:color w:val="6C6EB8"/>
          <w:sz w:val="20"/>
          <w:szCs w:val="20"/>
          <w:lang w:val="fr-FR"/>
        </w:rPr>
        <w:t>Questions for Consideration</w:t>
      </w:r>
      <w:r w:rsidRPr="00E870E9">
        <w:rPr>
          <w:rFonts w:asciiTheme="majorHAnsi" w:hAnsiTheme="majorHAnsi" w:cstheme="majorHAnsi"/>
          <w:color w:val="6C6EB8"/>
          <w:sz w:val="20"/>
          <w:szCs w:val="20"/>
          <w:lang w:val="fr-FR"/>
        </w:rPr>
        <w:t>:</w:t>
      </w:r>
    </w:p>
    <w:p w14:paraId="32A45EC3" w14:textId="77777777" w:rsidR="00C77847" w:rsidRPr="00E870E9" w:rsidRDefault="00C77847" w:rsidP="00754C6C">
      <w:pPr>
        <w:numPr>
          <w:ilvl w:val="1"/>
          <w:numId w:val="52"/>
        </w:numPr>
        <w:spacing w:line="276" w:lineRule="auto"/>
        <w:jc w:val="both"/>
        <w:rPr>
          <w:rFonts w:asciiTheme="majorHAnsi" w:hAnsiTheme="majorHAnsi" w:cstheme="majorHAnsi"/>
          <w:color w:val="6C6EB8"/>
          <w:sz w:val="20"/>
          <w:szCs w:val="20"/>
        </w:rPr>
      </w:pPr>
      <w:r w:rsidRPr="00E870E9">
        <w:rPr>
          <w:rFonts w:asciiTheme="majorHAnsi" w:hAnsiTheme="majorHAnsi" w:cstheme="majorHAnsi"/>
          <w:color w:val="6C6EB8"/>
          <w:sz w:val="20"/>
          <w:szCs w:val="20"/>
        </w:rPr>
        <w:t>Was the discrimination related to a provision of EU law (e.g., the Employment Equality Directive)?</w:t>
      </w:r>
    </w:p>
    <w:p w14:paraId="66D4299E" w14:textId="77777777" w:rsidR="00C77847" w:rsidRPr="00E870E9" w:rsidRDefault="00C77847" w:rsidP="00754C6C">
      <w:pPr>
        <w:numPr>
          <w:ilvl w:val="1"/>
          <w:numId w:val="52"/>
        </w:numPr>
        <w:spacing w:line="276" w:lineRule="auto"/>
        <w:jc w:val="both"/>
        <w:rPr>
          <w:rFonts w:asciiTheme="majorHAnsi" w:hAnsiTheme="majorHAnsi" w:cstheme="majorHAnsi"/>
          <w:color w:val="6C6EB8"/>
          <w:sz w:val="20"/>
          <w:szCs w:val="20"/>
        </w:rPr>
      </w:pPr>
      <w:r w:rsidRPr="00E870E9">
        <w:rPr>
          <w:rFonts w:asciiTheme="majorHAnsi" w:hAnsiTheme="majorHAnsi" w:cstheme="majorHAnsi"/>
          <w:color w:val="6C6EB8"/>
          <w:sz w:val="20"/>
          <w:szCs w:val="20"/>
        </w:rPr>
        <w:t>Did the Member State fail to fully implement the directive, or does the national law contradict its principles?</w:t>
      </w:r>
    </w:p>
    <w:p w14:paraId="744D76E0" w14:textId="77777777" w:rsidR="00C77847" w:rsidRPr="00E870E9" w:rsidRDefault="00C77847" w:rsidP="00754C6C">
      <w:pPr>
        <w:numPr>
          <w:ilvl w:val="1"/>
          <w:numId w:val="52"/>
        </w:numPr>
        <w:spacing w:line="276" w:lineRule="auto"/>
        <w:jc w:val="both"/>
        <w:rPr>
          <w:rFonts w:asciiTheme="majorHAnsi" w:hAnsiTheme="majorHAnsi" w:cstheme="majorHAnsi"/>
          <w:color w:val="6C6EB8"/>
          <w:sz w:val="20"/>
          <w:szCs w:val="20"/>
        </w:rPr>
      </w:pPr>
      <w:r w:rsidRPr="00E870E9">
        <w:rPr>
          <w:rFonts w:asciiTheme="majorHAnsi" w:hAnsiTheme="majorHAnsi" w:cstheme="majorHAnsi"/>
          <w:color w:val="6C6EB8"/>
          <w:sz w:val="20"/>
          <w:szCs w:val="20"/>
        </w:rPr>
        <w:t>Can the worker demonstrate that the case involves a situation governed by EU law?</w:t>
      </w:r>
    </w:p>
    <w:p w14:paraId="5AD65F77" w14:textId="2C5421EA" w:rsidR="00C77847" w:rsidRPr="00E870E9" w:rsidRDefault="00C77847" w:rsidP="00754C6C">
      <w:pPr>
        <w:spacing w:line="276" w:lineRule="auto"/>
        <w:jc w:val="both"/>
        <w:rPr>
          <w:rFonts w:asciiTheme="majorHAnsi" w:hAnsiTheme="majorHAnsi" w:cstheme="majorHAnsi"/>
          <w:b/>
          <w:bCs/>
          <w:color w:val="6C6EB8"/>
          <w:sz w:val="20"/>
          <w:szCs w:val="20"/>
        </w:rPr>
      </w:pPr>
      <w:r w:rsidRPr="00E870E9">
        <w:rPr>
          <w:rFonts w:asciiTheme="majorHAnsi" w:hAnsiTheme="majorHAnsi" w:cstheme="majorHAnsi"/>
          <w:b/>
          <w:bCs/>
          <w:color w:val="6C6EB8"/>
          <w:sz w:val="20"/>
          <w:szCs w:val="20"/>
        </w:rPr>
        <w:t>Solution</w:t>
      </w:r>
      <w:r w:rsidR="00E870E9" w:rsidRPr="00E870E9">
        <w:rPr>
          <w:rFonts w:asciiTheme="majorHAnsi" w:hAnsiTheme="majorHAnsi" w:cstheme="majorHAnsi"/>
          <w:b/>
          <w:bCs/>
          <w:color w:val="6C6EB8"/>
          <w:sz w:val="20"/>
          <w:szCs w:val="20"/>
        </w:rPr>
        <w:t xml:space="preserve"> </w:t>
      </w:r>
      <w:r w:rsidRPr="00E870E9">
        <w:rPr>
          <w:rFonts w:asciiTheme="majorHAnsi" w:hAnsiTheme="majorHAnsi" w:cstheme="majorHAnsi"/>
          <w:b/>
          <w:bCs/>
          <w:color w:val="6C6EB8"/>
          <w:sz w:val="20"/>
          <w:szCs w:val="20"/>
        </w:rPr>
        <w:t>:</w:t>
      </w:r>
    </w:p>
    <w:p w14:paraId="6D194E3D" w14:textId="77777777" w:rsidR="00C77847" w:rsidRPr="00E870E9" w:rsidRDefault="00C77847" w:rsidP="00754C6C">
      <w:pPr>
        <w:spacing w:line="276" w:lineRule="auto"/>
        <w:jc w:val="both"/>
        <w:rPr>
          <w:rFonts w:asciiTheme="majorHAnsi" w:hAnsiTheme="majorHAnsi" w:cstheme="majorHAnsi"/>
          <w:color w:val="6C6EB8"/>
          <w:sz w:val="20"/>
          <w:szCs w:val="20"/>
        </w:rPr>
      </w:pPr>
      <w:r w:rsidRPr="00E870E9">
        <w:rPr>
          <w:rFonts w:asciiTheme="majorHAnsi" w:hAnsiTheme="majorHAnsi" w:cstheme="majorHAnsi"/>
          <w:color w:val="6C6EB8"/>
          <w:sz w:val="20"/>
          <w:szCs w:val="20"/>
        </w:rPr>
        <w:t>The worker can argue that:</w:t>
      </w:r>
    </w:p>
    <w:p w14:paraId="7EDB7D95" w14:textId="77777777" w:rsidR="00C77847" w:rsidRPr="00E870E9" w:rsidRDefault="00C77847" w:rsidP="00754C6C">
      <w:pPr>
        <w:numPr>
          <w:ilvl w:val="0"/>
          <w:numId w:val="53"/>
        </w:numPr>
        <w:spacing w:line="276" w:lineRule="auto"/>
        <w:jc w:val="both"/>
        <w:rPr>
          <w:rFonts w:asciiTheme="majorHAnsi" w:hAnsiTheme="majorHAnsi" w:cstheme="majorHAnsi"/>
          <w:color w:val="6C6EB8"/>
          <w:sz w:val="20"/>
          <w:szCs w:val="20"/>
        </w:rPr>
      </w:pPr>
      <w:r w:rsidRPr="00E870E9">
        <w:rPr>
          <w:rFonts w:asciiTheme="majorHAnsi" w:hAnsiTheme="majorHAnsi" w:cstheme="majorHAnsi"/>
          <w:color w:val="6C6EB8"/>
          <w:sz w:val="20"/>
          <w:szCs w:val="20"/>
        </w:rPr>
        <w:t xml:space="preserve">The lack of effective protection under national law contravenes the </w:t>
      </w:r>
      <w:r w:rsidRPr="00E870E9">
        <w:rPr>
          <w:rFonts w:asciiTheme="majorHAnsi" w:hAnsiTheme="majorHAnsi" w:cstheme="majorHAnsi"/>
          <w:b/>
          <w:bCs/>
          <w:color w:val="6C6EB8"/>
          <w:sz w:val="20"/>
          <w:szCs w:val="20"/>
        </w:rPr>
        <w:t>Employment Equality Directive</w:t>
      </w:r>
      <w:r w:rsidRPr="00E870E9">
        <w:rPr>
          <w:rFonts w:asciiTheme="majorHAnsi" w:hAnsiTheme="majorHAnsi" w:cstheme="majorHAnsi"/>
          <w:color w:val="6C6EB8"/>
          <w:sz w:val="20"/>
          <w:szCs w:val="20"/>
        </w:rPr>
        <w:t>.</w:t>
      </w:r>
    </w:p>
    <w:p w14:paraId="00427F82" w14:textId="556CF74E" w:rsidR="00E870E9" w:rsidRPr="00E870E9" w:rsidRDefault="00C77847" w:rsidP="00E870E9">
      <w:pPr>
        <w:numPr>
          <w:ilvl w:val="0"/>
          <w:numId w:val="53"/>
        </w:numPr>
        <w:spacing w:line="276" w:lineRule="auto"/>
        <w:jc w:val="both"/>
        <w:rPr>
          <w:rFonts w:asciiTheme="majorHAnsi" w:hAnsiTheme="majorHAnsi" w:cstheme="majorHAnsi"/>
          <w:color w:val="6C6EB8"/>
          <w:sz w:val="20"/>
          <w:szCs w:val="20"/>
        </w:rPr>
      </w:pPr>
      <w:r w:rsidRPr="00E870E9">
        <w:rPr>
          <w:rFonts w:asciiTheme="majorHAnsi" w:hAnsiTheme="majorHAnsi" w:cstheme="majorHAnsi"/>
          <w:color w:val="6C6EB8"/>
          <w:sz w:val="20"/>
          <w:szCs w:val="20"/>
        </w:rPr>
        <w:t>Article 21 of the Charter applies because the case involves the implementation of EU law (the directive).</w:t>
      </w:r>
    </w:p>
    <w:p w14:paraId="1BBAD203" w14:textId="77777777" w:rsidR="00C77847" w:rsidRPr="00E870E9" w:rsidRDefault="00C77847" w:rsidP="00754C6C">
      <w:pPr>
        <w:numPr>
          <w:ilvl w:val="0"/>
          <w:numId w:val="53"/>
        </w:numPr>
        <w:spacing w:line="276" w:lineRule="auto"/>
        <w:jc w:val="both"/>
        <w:rPr>
          <w:rFonts w:asciiTheme="majorHAnsi" w:hAnsiTheme="majorHAnsi" w:cstheme="majorHAnsi"/>
          <w:color w:val="6C6EB8"/>
          <w:sz w:val="22"/>
          <w:szCs w:val="22"/>
        </w:rPr>
      </w:pPr>
      <w:r w:rsidRPr="00E870E9">
        <w:rPr>
          <w:rFonts w:asciiTheme="majorHAnsi" w:hAnsiTheme="majorHAnsi" w:cstheme="majorHAnsi"/>
          <w:color w:val="6C6EB8"/>
          <w:sz w:val="22"/>
          <w:szCs w:val="22"/>
        </w:rPr>
        <w:t>The employer’s actions, in the absence of effective national remedies, violate the fundamental principle of non-discrimination guaranteed by the Charter.</w:t>
      </w:r>
    </w:p>
    <w:p w14:paraId="6631C51B" w14:textId="77777777" w:rsidR="002A3051" w:rsidRDefault="002A3051" w:rsidP="002A3051">
      <w:pPr>
        <w:spacing w:before="100" w:beforeAutospacing="1" w:after="100" w:afterAutospacing="1"/>
        <w:jc w:val="both"/>
        <w:rPr>
          <w:rFonts w:asciiTheme="majorHAnsi" w:hAnsiTheme="majorHAnsi" w:cstheme="majorHAnsi"/>
          <w:b/>
          <w:bCs/>
          <w:color w:val="002060"/>
        </w:rPr>
      </w:pPr>
    </w:p>
    <w:p w14:paraId="4AD770CF" w14:textId="77777777" w:rsidR="002A3051" w:rsidRDefault="002A3051" w:rsidP="002A3051">
      <w:pPr>
        <w:spacing w:before="100" w:beforeAutospacing="1" w:after="100" w:afterAutospacing="1"/>
        <w:jc w:val="both"/>
        <w:rPr>
          <w:rFonts w:asciiTheme="majorHAnsi" w:hAnsiTheme="majorHAnsi" w:cstheme="majorHAnsi"/>
          <w:b/>
          <w:bCs/>
          <w:color w:val="002060"/>
        </w:rPr>
      </w:pPr>
    </w:p>
    <w:p w14:paraId="07243BCC" w14:textId="77777777" w:rsidR="00E870E9" w:rsidRDefault="00E870E9" w:rsidP="002A3051">
      <w:pPr>
        <w:spacing w:before="100" w:beforeAutospacing="1" w:after="100" w:afterAutospacing="1"/>
        <w:jc w:val="both"/>
        <w:rPr>
          <w:rFonts w:asciiTheme="majorHAnsi" w:hAnsiTheme="majorHAnsi" w:cstheme="majorHAnsi"/>
          <w:b/>
          <w:bCs/>
          <w:color w:val="002060"/>
        </w:rPr>
      </w:pPr>
    </w:p>
    <w:p w14:paraId="46E9A6DA" w14:textId="77777777" w:rsidR="00E870E9" w:rsidRDefault="00E870E9" w:rsidP="002A3051">
      <w:pPr>
        <w:spacing w:before="100" w:beforeAutospacing="1" w:after="100" w:afterAutospacing="1"/>
        <w:jc w:val="both"/>
        <w:rPr>
          <w:rFonts w:asciiTheme="majorHAnsi" w:hAnsiTheme="majorHAnsi" w:cstheme="majorHAnsi"/>
          <w:b/>
          <w:bCs/>
          <w:color w:val="002060"/>
        </w:rPr>
      </w:pPr>
    </w:p>
    <w:p w14:paraId="44CC8121" w14:textId="77777777" w:rsidR="00E870E9" w:rsidRDefault="00E870E9" w:rsidP="002A3051">
      <w:pPr>
        <w:spacing w:before="100" w:beforeAutospacing="1" w:after="100" w:afterAutospacing="1"/>
        <w:jc w:val="both"/>
        <w:rPr>
          <w:rFonts w:asciiTheme="majorHAnsi" w:hAnsiTheme="majorHAnsi" w:cstheme="majorHAnsi"/>
          <w:b/>
          <w:bCs/>
          <w:color w:val="002060"/>
        </w:rPr>
      </w:pPr>
    </w:p>
    <w:p w14:paraId="0FE7FDF5" w14:textId="7482A9B9" w:rsidR="00007D42" w:rsidRPr="00E870E9" w:rsidRDefault="00754C6C" w:rsidP="002A3051">
      <w:pPr>
        <w:spacing w:before="100" w:beforeAutospacing="1" w:after="100" w:afterAutospacing="1"/>
        <w:jc w:val="both"/>
        <w:rPr>
          <w:rFonts w:asciiTheme="majorHAnsi" w:hAnsiTheme="majorHAnsi" w:cstheme="majorHAnsi"/>
          <w:b/>
          <w:bCs/>
          <w:color w:val="2C2D5B"/>
        </w:rPr>
      </w:pPr>
      <w:r w:rsidRPr="00754C6C">
        <w:rPr>
          <w:rFonts w:asciiTheme="majorHAnsi" w:hAnsiTheme="majorHAnsi" w:cstheme="majorHAnsi"/>
          <w:b/>
          <w:bCs/>
          <w:color w:val="002060"/>
        </w:rPr>
        <w:t>Situation 2</w:t>
      </w:r>
      <w:r w:rsidR="00E870E9">
        <w:rPr>
          <w:rFonts w:asciiTheme="majorHAnsi" w:hAnsiTheme="majorHAnsi" w:cstheme="majorHAnsi"/>
          <w:b/>
          <w:bCs/>
          <w:color w:val="002060"/>
        </w:rPr>
        <w:t xml:space="preserve"> </w:t>
      </w:r>
      <w:r w:rsidRPr="00754C6C">
        <w:rPr>
          <w:rFonts w:asciiTheme="majorHAnsi" w:hAnsiTheme="majorHAnsi" w:cstheme="majorHAnsi"/>
          <w:b/>
          <w:bCs/>
          <w:color w:val="002060"/>
        </w:rPr>
        <w:t xml:space="preserve">: </w:t>
      </w:r>
      <w:r w:rsidR="00007D42" w:rsidRPr="00E870E9">
        <w:rPr>
          <w:rFonts w:asciiTheme="majorHAnsi" w:hAnsiTheme="majorHAnsi" w:cstheme="majorHAnsi"/>
          <w:color w:val="2C2D5B"/>
        </w:rPr>
        <w:t>A Member State introduces a law restricting freedom of expression on the internet, citing national security concerns. The law mandates the removal of certain types of online content but does not explicitly reference any EU regulation or directive. An individual challenges this law, invoking Article 11 of the Charter (freedom of expression) and arguing that the measure violates fundamental rights guaranteed by the Charter.</w:t>
      </w:r>
    </w:p>
    <w:p w14:paraId="59D6EF2C" w14:textId="77777777" w:rsidR="00007D42" w:rsidRPr="00E870E9" w:rsidRDefault="00007D42" w:rsidP="00754C6C">
      <w:pPr>
        <w:numPr>
          <w:ilvl w:val="0"/>
          <w:numId w:val="54"/>
        </w:numPr>
        <w:spacing w:before="100" w:beforeAutospacing="1" w:after="100" w:afterAutospacing="1"/>
        <w:jc w:val="both"/>
        <w:rPr>
          <w:rFonts w:asciiTheme="majorHAnsi" w:hAnsiTheme="majorHAnsi" w:cstheme="majorHAnsi"/>
          <w:color w:val="2C2D5B"/>
          <w:lang w:eastAsia="fr-FR"/>
        </w:rPr>
      </w:pPr>
      <w:r w:rsidRPr="00E870E9">
        <w:rPr>
          <w:rFonts w:asciiTheme="majorHAnsi" w:hAnsiTheme="majorHAnsi" w:cstheme="majorHAnsi"/>
          <w:color w:val="2C2D5B"/>
          <w:lang w:eastAsia="fr-FR"/>
        </w:rPr>
        <w:t xml:space="preserve">Does the </w:t>
      </w:r>
      <w:r w:rsidRPr="00E870E9">
        <w:rPr>
          <w:rFonts w:asciiTheme="majorHAnsi" w:hAnsiTheme="majorHAnsi" w:cstheme="majorHAnsi"/>
          <w:b/>
          <w:bCs/>
          <w:color w:val="2C2D5B"/>
          <w:lang w:eastAsia="fr-FR"/>
        </w:rPr>
        <w:t>Charter of Fundamental Rights of the EU (EChFR)</w:t>
      </w:r>
      <w:r w:rsidRPr="00E870E9">
        <w:rPr>
          <w:rFonts w:asciiTheme="majorHAnsi" w:hAnsiTheme="majorHAnsi" w:cstheme="majorHAnsi"/>
          <w:color w:val="2C2D5B"/>
          <w:lang w:eastAsia="fr-FR"/>
        </w:rPr>
        <w:t xml:space="preserve"> apply in this situation?</w:t>
      </w:r>
    </w:p>
    <w:p w14:paraId="25A24101" w14:textId="77777777" w:rsidR="00007D42" w:rsidRPr="00E870E9" w:rsidRDefault="00007D42" w:rsidP="00754C6C">
      <w:pPr>
        <w:numPr>
          <w:ilvl w:val="0"/>
          <w:numId w:val="54"/>
        </w:numPr>
        <w:spacing w:before="100" w:beforeAutospacing="1" w:after="100" w:afterAutospacing="1"/>
        <w:jc w:val="both"/>
        <w:rPr>
          <w:rFonts w:asciiTheme="majorHAnsi" w:hAnsiTheme="majorHAnsi" w:cstheme="majorHAnsi"/>
          <w:color w:val="2C2D5B"/>
          <w:lang w:eastAsia="fr-FR"/>
        </w:rPr>
      </w:pPr>
      <w:r w:rsidRPr="00E870E9">
        <w:rPr>
          <w:rFonts w:asciiTheme="majorHAnsi" w:hAnsiTheme="majorHAnsi" w:cstheme="majorHAnsi"/>
          <w:color w:val="2C2D5B"/>
          <w:lang w:eastAsia="fr-FR"/>
        </w:rPr>
        <w:t>What criteria determine whether the Charter is applicable?</w:t>
      </w:r>
    </w:p>
    <w:p w14:paraId="2F72451F" w14:textId="2BA37865" w:rsidR="00007D42" w:rsidRPr="00E870E9" w:rsidRDefault="00007D42" w:rsidP="00754C6C">
      <w:pPr>
        <w:numPr>
          <w:ilvl w:val="0"/>
          <w:numId w:val="54"/>
        </w:numPr>
        <w:spacing w:before="100" w:beforeAutospacing="1" w:after="100" w:afterAutospacing="1"/>
        <w:jc w:val="both"/>
        <w:rPr>
          <w:rFonts w:asciiTheme="majorHAnsi" w:hAnsiTheme="majorHAnsi" w:cstheme="majorHAnsi"/>
          <w:color w:val="2C2D5B"/>
          <w:lang w:eastAsia="fr-FR"/>
        </w:rPr>
      </w:pPr>
      <w:r w:rsidRPr="00E870E9">
        <w:rPr>
          <w:rFonts w:asciiTheme="majorHAnsi" w:hAnsiTheme="majorHAnsi" w:cstheme="majorHAnsi"/>
          <w:color w:val="2C2D5B"/>
          <w:lang w:eastAsia="fr-FR"/>
        </w:rPr>
        <w:t xml:space="preserve">How does the </w:t>
      </w:r>
      <w:r w:rsidRPr="00E870E9">
        <w:rPr>
          <w:rFonts w:asciiTheme="majorHAnsi" w:hAnsiTheme="majorHAnsi" w:cstheme="majorHAnsi"/>
          <w:b/>
          <w:bCs/>
          <w:color w:val="2C2D5B"/>
          <w:lang w:eastAsia="fr-FR"/>
        </w:rPr>
        <w:t>Court of Justice of the European Union (CJEU)</w:t>
      </w:r>
      <w:r w:rsidRPr="00E870E9">
        <w:rPr>
          <w:rFonts w:asciiTheme="majorHAnsi" w:hAnsiTheme="majorHAnsi" w:cstheme="majorHAnsi"/>
          <w:color w:val="2C2D5B"/>
          <w:lang w:eastAsia="fr-FR"/>
        </w:rPr>
        <w:t xml:space="preserve"> interpret the concept of "implementing EU law"?</w:t>
      </w:r>
    </w:p>
    <w:p w14:paraId="4DD27161" w14:textId="53B61D22" w:rsidR="00007D42" w:rsidRPr="00E870E9" w:rsidRDefault="00007D42" w:rsidP="00754C6C">
      <w:pPr>
        <w:spacing w:before="100" w:beforeAutospacing="1" w:after="100" w:afterAutospacing="1"/>
        <w:jc w:val="both"/>
        <w:outlineLvl w:val="3"/>
        <w:rPr>
          <w:rFonts w:asciiTheme="majorHAnsi" w:hAnsiTheme="majorHAnsi" w:cstheme="majorHAnsi"/>
          <w:b/>
          <w:bCs/>
          <w:color w:val="6C6EB8"/>
          <w:sz w:val="20"/>
          <w:szCs w:val="20"/>
          <w:lang w:eastAsia="fr-FR"/>
        </w:rPr>
      </w:pPr>
      <w:r w:rsidRPr="00E870E9">
        <w:rPr>
          <w:rFonts w:asciiTheme="majorHAnsi" w:hAnsiTheme="majorHAnsi" w:cstheme="majorHAnsi"/>
          <w:b/>
          <w:bCs/>
          <w:color w:val="6C6EB8"/>
          <w:sz w:val="20"/>
          <w:szCs w:val="20"/>
          <w:lang w:eastAsia="fr-FR"/>
        </w:rPr>
        <w:t>Analysis</w:t>
      </w:r>
      <w:r w:rsidR="00E870E9" w:rsidRPr="00E870E9">
        <w:rPr>
          <w:rFonts w:asciiTheme="majorHAnsi" w:hAnsiTheme="majorHAnsi" w:cstheme="majorHAnsi"/>
          <w:b/>
          <w:bCs/>
          <w:color w:val="6C6EB8"/>
          <w:sz w:val="20"/>
          <w:szCs w:val="20"/>
          <w:lang w:eastAsia="fr-FR"/>
        </w:rPr>
        <w:t xml:space="preserve"> </w:t>
      </w:r>
      <w:r w:rsidRPr="00E870E9">
        <w:rPr>
          <w:rFonts w:asciiTheme="majorHAnsi" w:hAnsiTheme="majorHAnsi" w:cstheme="majorHAnsi"/>
          <w:b/>
          <w:bCs/>
          <w:color w:val="6C6EB8"/>
          <w:sz w:val="20"/>
          <w:szCs w:val="20"/>
          <w:lang w:eastAsia="fr-FR"/>
        </w:rPr>
        <w:t>:</w:t>
      </w:r>
    </w:p>
    <w:p w14:paraId="1D547C25" w14:textId="77777777" w:rsidR="00007D42" w:rsidRPr="00E870E9" w:rsidRDefault="00007D42" w:rsidP="00754C6C">
      <w:pPr>
        <w:numPr>
          <w:ilvl w:val="0"/>
          <w:numId w:val="55"/>
        </w:numPr>
        <w:spacing w:before="100" w:beforeAutospacing="1" w:after="100" w:afterAutospacing="1"/>
        <w:jc w:val="both"/>
        <w:rPr>
          <w:rFonts w:asciiTheme="majorHAnsi" w:hAnsiTheme="majorHAnsi" w:cstheme="majorHAnsi"/>
          <w:color w:val="6C6EB8"/>
          <w:sz w:val="20"/>
          <w:szCs w:val="20"/>
          <w:lang w:eastAsia="fr-FR"/>
        </w:rPr>
      </w:pPr>
      <w:r w:rsidRPr="00E870E9">
        <w:rPr>
          <w:rFonts w:asciiTheme="majorHAnsi" w:hAnsiTheme="majorHAnsi" w:cstheme="majorHAnsi"/>
          <w:b/>
          <w:bCs/>
          <w:color w:val="6C6EB8"/>
          <w:sz w:val="20"/>
          <w:szCs w:val="20"/>
          <w:lang w:eastAsia="fr-FR"/>
        </w:rPr>
        <w:t>Applicability of the Charter</w:t>
      </w:r>
      <w:r w:rsidRPr="00E870E9">
        <w:rPr>
          <w:rFonts w:asciiTheme="majorHAnsi" w:hAnsiTheme="majorHAnsi" w:cstheme="majorHAnsi"/>
          <w:color w:val="6C6EB8"/>
          <w:sz w:val="20"/>
          <w:szCs w:val="20"/>
          <w:lang w:eastAsia="fr-FR"/>
        </w:rPr>
        <w:t>:</w:t>
      </w:r>
    </w:p>
    <w:p w14:paraId="4D2B4C1E" w14:textId="77777777" w:rsidR="00007D42" w:rsidRPr="00E870E9" w:rsidRDefault="00007D42" w:rsidP="00754C6C">
      <w:pPr>
        <w:numPr>
          <w:ilvl w:val="1"/>
          <w:numId w:val="55"/>
        </w:numPr>
        <w:spacing w:before="100" w:beforeAutospacing="1" w:after="100" w:afterAutospacing="1"/>
        <w:jc w:val="both"/>
        <w:rPr>
          <w:rFonts w:asciiTheme="majorHAnsi" w:hAnsiTheme="majorHAnsi" w:cstheme="majorHAnsi"/>
          <w:color w:val="6C6EB8"/>
          <w:sz w:val="20"/>
          <w:szCs w:val="20"/>
          <w:lang w:eastAsia="fr-FR"/>
        </w:rPr>
      </w:pPr>
      <w:r w:rsidRPr="00E870E9">
        <w:rPr>
          <w:rFonts w:asciiTheme="majorHAnsi" w:hAnsiTheme="majorHAnsi" w:cstheme="majorHAnsi"/>
          <w:color w:val="6C6EB8"/>
          <w:sz w:val="20"/>
          <w:szCs w:val="20"/>
          <w:lang w:eastAsia="fr-FR"/>
        </w:rPr>
        <w:t xml:space="preserve">Under </w:t>
      </w:r>
      <w:r w:rsidRPr="00E870E9">
        <w:rPr>
          <w:rFonts w:asciiTheme="majorHAnsi" w:hAnsiTheme="majorHAnsi" w:cstheme="majorHAnsi"/>
          <w:b/>
          <w:bCs/>
          <w:color w:val="6C6EB8"/>
          <w:sz w:val="20"/>
          <w:szCs w:val="20"/>
          <w:lang w:eastAsia="fr-FR"/>
        </w:rPr>
        <w:t>Article 51 EChFR</w:t>
      </w:r>
      <w:r w:rsidRPr="00E870E9">
        <w:rPr>
          <w:rFonts w:asciiTheme="majorHAnsi" w:hAnsiTheme="majorHAnsi" w:cstheme="majorHAnsi"/>
          <w:color w:val="6C6EB8"/>
          <w:sz w:val="20"/>
          <w:szCs w:val="20"/>
          <w:lang w:eastAsia="fr-FR"/>
        </w:rPr>
        <w:t xml:space="preserve">, the Charter applies to Member States </w:t>
      </w:r>
      <w:r w:rsidRPr="00E870E9">
        <w:rPr>
          <w:rFonts w:asciiTheme="majorHAnsi" w:hAnsiTheme="majorHAnsi" w:cstheme="majorHAnsi"/>
          <w:b/>
          <w:bCs/>
          <w:color w:val="6C6EB8"/>
          <w:sz w:val="20"/>
          <w:szCs w:val="20"/>
          <w:lang w:eastAsia="fr-FR"/>
        </w:rPr>
        <w:t>only when they are implementing EU law</w:t>
      </w:r>
      <w:r w:rsidRPr="00E870E9">
        <w:rPr>
          <w:rFonts w:asciiTheme="majorHAnsi" w:hAnsiTheme="majorHAnsi" w:cstheme="majorHAnsi"/>
          <w:color w:val="6C6EB8"/>
          <w:sz w:val="20"/>
          <w:szCs w:val="20"/>
          <w:lang w:eastAsia="fr-FR"/>
        </w:rPr>
        <w:t>.</w:t>
      </w:r>
    </w:p>
    <w:p w14:paraId="1113E8FA" w14:textId="77777777" w:rsidR="00007D42" w:rsidRPr="00E870E9" w:rsidRDefault="00007D42" w:rsidP="00754C6C">
      <w:pPr>
        <w:numPr>
          <w:ilvl w:val="1"/>
          <w:numId w:val="55"/>
        </w:numPr>
        <w:spacing w:before="100" w:beforeAutospacing="1" w:after="100" w:afterAutospacing="1"/>
        <w:jc w:val="both"/>
        <w:rPr>
          <w:rFonts w:asciiTheme="majorHAnsi" w:hAnsiTheme="majorHAnsi" w:cstheme="majorHAnsi"/>
          <w:color w:val="6C6EB8"/>
          <w:sz w:val="20"/>
          <w:szCs w:val="20"/>
          <w:lang w:eastAsia="fr-FR"/>
        </w:rPr>
      </w:pPr>
      <w:r w:rsidRPr="00E870E9">
        <w:rPr>
          <w:rFonts w:asciiTheme="majorHAnsi" w:hAnsiTheme="majorHAnsi" w:cstheme="majorHAnsi"/>
          <w:color w:val="6C6EB8"/>
          <w:sz w:val="20"/>
          <w:szCs w:val="20"/>
          <w:lang w:eastAsia="fr-FR"/>
        </w:rPr>
        <w:t>The law in question appears to regulate a purely national matter without a clear link to the implementation of an EU directive or regulation. If no EU legal obligation exists that requires or influences the Member State's action, the Charter is unlikely to apply.</w:t>
      </w:r>
    </w:p>
    <w:p w14:paraId="43DD7CA3" w14:textId="77777777" w:rsidR="00007D42" w:rsidRPr="00E870E9" w:rsidRDefault="00007D42" w:rsidP="00754C6C">
      <w:pPr>
        <w:numPr>
          <w:ilvl w:val="0"/>
          <w:numId w:val="55"/>
        </w:numPr>
        <w:spacing w:before="100" w:beforeAutospacing="1" w:after="100" w:afterAutospacing="1"/>
        <w:jc w:val="both"/>
        <w:rPr>
          <w:rFonts w:asciiTheme="majorHAnsi" w:hAnsiTheme="majorHAnsi" w:cstheme="majorHAnsi"/>
          <w:color w:val="6C6EB8"/>
          <w:sz w:val="20"/>
          <w:szCs w:val="20"/>
          <w:lang w:eastAsia="fr-FR"/>
        </w:rPr>
      </w:pPr>
      <w:r w:rsidRPr="00E870E9">
        <w:rPr>
          <w:rFonts w:asciiTheme="majorHAnsi" w:hAnsiTheme="majorHAnsi" w:cstheme="majorHAnsi"/>
          <w:b/>
          <w:bCs/>
          <w:color w:val="6C6EB8"/>
          <w:sz w:val="20"/>
          <w:szCs w:val="20"/>
          <w:lang w:eastAsia="fr-FR"/>
        </w:rPr>
        <w:t>Criteria for the Trigger Rule</w:t>
      </w:r>
      <w:r w:rsidRPr="00E870E9">
        <w:rPr>
          <w:rFonts w:asciiTheme="majorHAnsi" w:hAnsiTheme="majorHAnsi" w:cstheme="majorHAnsi"/>
          <w:color w:val="6C6EB8"/>
          <w:sz w:val="20"/>
          <w:szCs w:val="20"/>
          <w:lang w:eastAsia="fr-FR"/>
        </w:rPr>
        <w:t>:</w:t>
      </w:r>
    </w:p>
    <w:p w14:paraId="23034D70" w14:textId="77777777" w:rsidR="00007D42" w:rsidRPr="00E870E9" w:rsidRDefault="00007D42" w:rsidP="00754C6C">
      <w:pPr>
        <w:numPr>
          <w:ilvl w:val="1"/>
          <w:numId w:val="55"/>
        </w:numPr>
        <w:spacing w:before="100" w:beforeAutospacing="1" w:after="100" w:afterAutospacing="1"/>
        <w:jc w:val="both"/>
        <w:rPr>
          <w:rFonts w:asciiTheme="majorHAnsi" w:hAnsiTheme="majorHAnsi" w:cstheme="majorHAnsi"/>
          <w:color w:val="6C6EB8"/>
          <w:sz w:val="20"/>
          <w:szCs w:val="20"/>
          <w:lang w:eastAsia="fr-FR"/>
        </w:rPr>
      </w:pPr>
      <w:r w:rsidRPr="00E870E9">
        <w:rPr>
          <w:rFonts w:asciiTheme="majorHAnsi" w:hAnsiTheme="majorHAnsi" w:cstheme="majorHAnsi"/>
          <w:color w:val="6C6EB8"/>
          <w:sz w:val="20"/>
          <w:szCs w:val="20"/>
          <w:lang w:eastAsia="fr-FR"/>
        </w:rPr>
        <w:t>To trigger the Charter, the following conditions must be met:</w:t>
      </w:r>
    </w:p>
    <w:p w14:paraId="50BE7B75" w14:textId="77777777" w:rsidR="00007D42" w:rsidRPr="00E870E9" w:rsidRDefault="00007D42" w:rsidP="00754C6C">
      <w:pPr>
        <w:numPr>
          <w:ilvl w:val="2"/>
          <w:numId w:val="55"/>
        </w:numPr>
        <w:spacing w:before="100" w:beforeAutospacing="1" w:after="100" w:afterAutospacing="1"/>
        <w:jc w:val="both"/>
        <w:rPr>
          <w:rFonts w:asciiTheme="majorHAnsi" w:hAnsiTheme="majorHAnsi" w:cstheme="majorHAnsi"/>
          <w:color w:val="6C6EB8"/>
          <w:sz w:val="20"/>
          <w:szCs w:val="20"/>
          <w:lang w:eastAsia="fr-FR"/>
        </w:rPr>
      </w:pPr>
      <w:r w:rsidRPr="00E870E9">
        <w:rPr>
          <w:rFonts w:asciiTheme="majorHAnsi" w:hAnsiTheme="majorHAnsi" w:cstheme="majorHAnsi"/>
          <w:color w:val="6C6EB8"/>
          <w:sz w:val="20"/>
          <w:szCs w:val="20"/>
          <w:lang w:eastAsia="fr-FR"/>
        </w:rPr>
        <w:t xml:space="preserve">The national law must implement or apply </w:t>
      </w:r>
      <w:r w:rsidRPr="00E870E9">
        <w:rPr>
          <w:rFonts w:asciiTheme="majorHAnsi" w:hAnsiTheme="majorHAnsi" w:cstheme="majorHAnsi"/>
          <w:b/>
          <w:bCs/>
          <w:color w:val="6C6EB8"/>
          <w:sz w:val="20"/>
          <w:szCs w:val="20"/>
          <w:lang w:eastAsia="fr-FR"/>
        </w:rPr>
        <w:t>specific EU legislation</w:t>
      </w:r>
      <w:r w:rsidRPr="00E870E9">
        <w:rPr>
          <w:rFonts w:asciiTheme="majorHAnsi" w:hAnsiTheme="majorHAnsi" w:cstheme="majorHAnsi"/>
          <w:color w:val="6C6EB8"/>
          <w:sz w:val="20"/>
          <w:szCs w:val="20"/>
          <w:lang w:eastAsia="fr-FR"/>
        </w:rPr>
        <w:t>.</w:t>
      </w:r>
    </w:p>
    <w:p w14:paraId="36931311" w14:textId="77777777" w:rsidR="00007D42" w:rsidRPr="00E870E9" w:rsidRDefault="00007D42" w:rsidP="00754C6C">
      <w:pPr>
        <w:numPr>
          <w:ilvl w:val="2"/>
          <w:numId w:val="55"/>
        </w:numPr>
        <w:spacing w:before="100" w:beforeAutospacing="1" w:after="100" w:afterAutospacing="1"/>
        <w:jc w:val="both"/>
        <w:rPr>
          <w:rFonts w:asciiTheme="majorHAnsi" w:hAnsiTheme="majorHAnsi" w:cstheme="majorHAnsi"/>
          <w:color w:val="6C6EB8"/>
          <w:sz w:val="20"/>
          <w:szCs w:val="20"/>
          <w:lang w:eastAsia="fr-FR"/>
        </w:rPr>
      </w:pPr>
      <w:r w:rsidRPr="00E870E9">
        <w:rPr>
          <w:rFonts w:asciiTheme="majorHAnsi" w:hAnsiTheme="majorHAnsi" w:cstheme="majorHAnsi"/>
          <w:color w:val="6C6EB8"/>
          <w:sz w:val="20"/>
          <w:szCs w:val="20"/>
          <w:lang w:eastAsia="fr-FR"/>
        </w:rPr>
        <w:t xml:space="preserve">The national measure must affect the </w:t>
      </w:r>
      <w:r w:rsidRPr="00E870E9">
        <w:rPr>
          <w:rFonts w:asciiTheme="majorHAnsi" w:hAnsiTheme="majorHAnsi" w:cstheme="majorHAnsi"/>
          <w:b/>
          <w:bCs/>
          <w:color w:val="6C6EB8"/>
          <w:sz w:val="20"/>
          <w:szCs w:val="20"/>
          <w:lang w:eastAsia="fr-FR"/>
        </w:rPr>
        <w:t>effectiveness or objectives of EU law</w:t>
      </w:r>
      <w:r w:rsidRPr="00E870E9">
        <w:rPr>
          <w:rFonts w:asciiTheme="majorHAnsi" w:hAnsiTheme="majorHAnsi" w:cstheme="majorHAnsi"/>
          <w:color w:val="6C6EB8"/>
          <w:sz w:val="20"/>
          <w:szCs w:val="20"/>
          <w:lang w:eastAsia="fr-FR"/>
        </w:rPr>
        <w:t>.</w:t>
      </w:r>
    </w:p>
    <w:p w14:paraId="434F4BAB" w14:textId="77777777" w:rsidR="00007D42" w:rsidRPr="00E870E9" w:rsidRDefault="00007D42" w:rsidP="00754C6C">
      <w:pPr>
        <w:numPr>
          <w:ilvl w:val="1"/>
          <w:numId w:val="55"/>
        </w:numPr>
        <w:spacing w:before="100" w:beforeAutospacing="1" w:after="100" w:afterAutospacing="1"/>
        <w:jc w:val="both"/>
        <w:rPr>
          <w:rFonts w:asciiTheme="majorHAnsi" w:hAnsiTheme="majorHAnsi" w:cstheme="majorHAnsi"/>
          <w:color w:val="6C6EB8"/>
          <w:sz w:val="20"/>
          <w:szCs w:val="20"/>
          <w:lang w:eastAsia="fr-FR"/>
        </w:rPr>
      </w:pPr>
      <w:r w:rsidRPr="00E870E9">
        <w:rPr>
          <w:rFonts w:asciiTheme="majorHAnsi" w:hAnsiTheme="majorHAnsi" w:cstheme="majorHAnsi"/>
          <w:color w:val="6C6EB8"/>
          <w:sz w:val="20"/>
          <w:szCs w:val="20"/>
          <w:lang w:eastAsia="fr-FR"/>
        </w:rPr>
        <w:t xml:space="preserve">The </w:t>
      </w:r>
      <w:r w:rsidRPr="00E870E9">
        <w:rPr>
          <w:rFonts w:asciiTheme="majorHAnsi" w:hAnsiTheme="majorHAnsi" w:cstheme="majorHAnsi"/>
          <w:b/>
          <w:bCs/>
          <w:color w:val="6C6EB8"/>
          <w:sz w:val="20"/>
          <w:szCs w:val="20"/>
          <w:lang w:eastAsia="fr-FR"/>
        </w:rPr>
        <w:t>CJEU's judgment in Åkerberg Fransson</w:t>
      </w:r>
      <w:r w:rsidRPr="00E870E9">
        <w:rPr>
          <w:rFonts w:asciiTheme="majorHAnsi" w:hAnsiTheme="majorHAnsi" w:cstheme="majorHAnsi"/>
          <w:color w:val="6C6EB8"/>
          <w:sz w:val="20"/>
          <w:szCs w:val="20"/>
          <w:lang w:eastAsia="fr-FR"/>
        </w:rPr>
        <w:t xml:space="preserve"> clarified that the Charter applies whenever national legislation falls </w:t>
      </w:r>
      <w:r w:rsidRPr="00E870E9">
        <w:rPr>
          <w:rFonts w:asciiTheme="majorHAnsi" w:hAnsiTheme="majorHAnsi" w:cstheme="majorHAnsi"/>
          <w:b/>
          <w:bCs/>
          <w:color w:val="6C6EB8"/>
          <w:sz w:val="20"/>
          <w:szCs w:val="20"/>
          <w:lang w:eastAsia="fr-FR"/>
        </w:rPr>
        <w:t>within the scope of EU law</w:t>
      </w:r>
      <w:r w:rsidRPr="00E870E9">
        <w:rPr>
          <w:rFonts w:asciiTheme="majorHAnsi" w:hAnsiTheme="majorHAnsi" w:cstheme="majorHAnsi"/>
          <w:color w:val="6C6EB8"/>
          <w:sz w:val="20"/>
          <w:szCs w:val="20"/>
          <w:lang w:eastAsia="fr-FR"/>
        </w:rPr>
        <w:t>. However, in cases without a sufficient connection to EU law, the Charter does not apply.</w:t>
      </w:r>
    </w:p>
    <w:p w14:paraId="5416A674" w14:textId="77777777" w:rsidR="00007D42" w:rsidRPr="00E870E9" w:rsidRDefault="00007D42" w:rsidP="00754C6C">
      <w:pPr>
        <w:numPr>
          <w:ilvl w:val="0"/>
          <w:numId w:val="55"/>
        </w:numPr>
        <w:spacing w:before="100" w:beforeAutospacing="1" w:after="100" w:afterAutospacing="1"/>
        <w:jc w:val="both"/>
        <w:rPr>
          <w:rFonts w:asciiTheme="majorHAnsi" w:hAnsiTheme="majorHAnsi" w:cstheme="majorHAnsi"/>
          <w:color w:val="6C6EB8"/>
          <w:sz w:val="20"/>
          <w:szCs w:val="20"/>
          <w:lang w:eastAsia="fr-FR"/>
        </w:rPr>
      </w:pPr>
      <w:r w:rsidRPr="00E870E9">
        <w:rPr>
          <w:rFonts w:asciiTheme="majorHAnsi" w:hAnsiTheme="majorHAnsi" w:cstheme="majorHAnsi"/>
          <w:b/>
          <w:bCs/>
          <w:color w:val="6C6EB8"/>
          <w:sz w:val="20"/>
          <w:szCs w:val="20"/>
          <w:lang w:eastAsia="fr-FR"/>
        </w:rPr>
        <w:t>CJEU's Interpretation</w:t>
      </w:r>
      <w:r w:rsidRPr="00E870E9">
        <w:rPr>
          <w:rFonts w:asciiTheme="majorHAnsi" w:hAnsiTheme="majorHAnsi" w:cstheme="majorHAnsi"/>
          <w:color w:val="6C6EB8"/>
          <w:sz w:val="20"/>
          <w:szCs w:val="20"/>
          <w:lang w:eastAsia="fr-FR"/>
        </w:rPr>
        <w:t>:</w:t>
      </w:r>
    </w:p>
    <w:p w14:paraId="03FC86FD" w14:textId="77777777" w:rsidR="00007D42" w:rsidRPr="00E870E9" w:rsidRDefault="00007D42" w:rsidP="00754C6C">
      <w:pPr>
        <w:numPr>
          <w:ilvl w:val="1"/>
          <w:numId w:val="55"/>
        </w:numPr>
        <w:spacing w:before="100" w:beforeAutospacing="1" w:after="100" w:afterAutospacing="1"/>
        <w:jc w:val="both"/>
        <w:rPr>
          <w:rFonts w:asciiTheme="majorHAnsi" w:hAnsiTheme="majorHAnsi" w:cstheme="majorHAnsi"/>
          <w:color w:val="6C6EB8"/>
          <w:sz w:val="20"/>
          <w:szCs w:val="20"/>
          <w:lang w:eastAsia="fr-FR"/>
        </w:rPr>
      </w:pPr>
      <w:r w:rsidRPr="00E870E9">
        <w:rPr>
          <w:rFonts w:asciiTheme="majorHAnsi" w:hAnsiTheme="majorHAnsi" w:cstheme="majorHAnsi"/>
          <w:color w:val="6C6EB8"/>
          <w:sz w:val="20"/>
          <w:szCs w:val="20"/>
          <w:lang w:eastAsia="fr-FR"/>
        </w:rPr>
        <w:t xml:space="preserve">In cases like </w:t>
      </w:r>
      <w:r w:rsidRPr="00E870E9">
        <w:rPr>
          <w:rFonts w:asciiTheme="majorHAnsi" w:hAnsiTheme="majorHAnsi" w:cstheme="majorHAnsi"/>
          <w:b/>
          <w:bCs/>
          <w:color w:val="6C6EB8"/>
          <w:sz w:val="20"/>
          <w:szCs w:val="20"/>
          <w:lang w:eastAsia="fr-FR"/>
        </w:rPr>
        <w:t>Ymeraga v. Luxembourg</w:t>
      </w:r>
      <w:r w:rsidRPr="00E870E9">
        <w:rPr>
          <w:rFonts w:asciiTheme="majorHAnsi" w:hAnsiTheme="majorHAnsi" w:cstheme="majorHAnsi"/>
          <w:color w:val="6C6EB8"/>
          <w:sz w:val="20"/>
          <w:szCs w:val="20"/>
          <w:lang w:eastAsia="fr-FR"/>
        </w:rPr>
        <w:t>, the CJEU ruled that the Charter does not apply to situations that are entirely internal and lack a connection to EU law.</w:t>
      </w:r>
    </w:p>
    <w:p w14:paraId="09D33908" w14:textId="539A11DE" w:rsidR="002A3051" w:rsidRDefault="00007D42" w:rsidP="002A3051">
      <w:pPr>
        <w:numPr>
          <w:ilvl w:val="1"/>
          <w:numId w:val="55"/>
        </w:numPr>
        <w:spacing w:before="100" w:beforeAutospacing="1" w:after="100" w:afterAutospacing="1"/>
        <w:jc w:val="both"/>
        <w:rPr>
          <w:rFonts w:asciiTheme="majorHAnsi" w:hAnsiTheme="majorHAnsi" w:cstheme="majorHAnsi"/>
          <w:color w:val="767171" w:themeColor="background2" w:themeShade="80"/>
          <w:sz w:val="22"/>
          <w:szCs w:val="22"/>
          <w:lang w:eastAsia="fr-FR"/>
        </w:rPr>
      </w:pPr>
      <w:r w:rsidRPr="00E870E9">
        <w:rPr>
          <w:rFonts w:asciiTheme="majorHAnsi" w:hAnsiTheme="majorHAnsi" w:cstheme="majorHAnsi"/>
          <w:color w:val="6C6EB8"/>
          <w:sz w:val="20"/>
          <w:szCs w:val="20"/>
          <w:lang w:eastAsia="fr-FR"/>
        </w:rPr>
        <w:t xml:space="preserve">The Court emphasizes that a </w:t>
      </w:r>
      <w:r w:rsidRPr="00E870E9">
        <w:rPr>
          <w:rFonts w:asciiTheme="majorHAnsi" w:hAnsiTheme="majorHAnsi" w:cstheme="majorHAnsi"/>
          <w:b/>
          <w:bCs/>
          <w:color w:val="6C6EB8"/>
          <w:sz w:val="20"/>
          <w:szCs w:val="20"/>
          <w:lang w:eastAsia="fr-FR"/>
        </w:rPr>
        <w:t>direct and concrete link</w:t>
      </w:r>
      <w:r w:rsidRPr="00E870E9">
        <w:rPr>
          <w:rFonts w:asciiTheme="majorHAnsi" w:hAnsiTheme="majorHAnsi" w:cstheme="majorHAnsi"/>
          <w:color w:val="6C6EB8"/>
          <w:sz w:val="20"/>
          <w:szCs w:val="20"/>
          <w:lang w:eastAsia="fr-FR"/>
        </w:rPr>
        <w:t xml:space="preserve"> to EU law is required, and the mere existence of a fundamental right in the Charter does not automatically make it enforceable in purely national matters.</w:t>
      </w:r>
      <w:r w:rsidR="002A3051">
        <w:rPr>
          <w:rFonts w:asciiTheme="majorHAnsi" w:hAnsiTheme="majorHAnsi" w:cstheme="majorHAnsi"/>
          <w:color w:val="767171" w:themeColor="background2" w:themeShade="80"/>
          <w:sz w:val="22"/>
          <w:szCs w:val="22"/>
          <w:lang w:eastAsia="fr-FR"/>
        </w:rPr>
        <w:br w:type="page"/>
      </w:r>
    </w:p>
    <w:p w14:paraId="5E1D9AA4" w14:textId="77777777" w:rsidR="00734A07" w:rsidRDefault="00734A07" w:rsidP="00EC2273">
      <w:pPr>
        <w:spacing w:line="276" w:lineRule="auto"/>
        <w:jc w:val="both"/>
        <w:rPr>
          <w:rFonts w:asciiTheme="majorHAnsi" w:hAnsiTheme="majorHAnsi" w:cstheme="majorHAnsi"/>
          <w:b/>
          <w:bCs/>
        </w:rPr>
      </w:pPr>
    </w:p>
    <w:p w14:paraId="75CFB6AE" w14:textId="77777777" w:rsidR="00E870E9" w:rsidRDefault="00E870E9" w:rsidP="00EC2273">
      <w:pPr>
        <w:spacing w:line="276" w:lineRule="auto"/>
        <w:jc w:val="both"/>
        <w:rPr>
          <w:rFonts w:asciiTheme="majorHAnsi" w:hAnsiTheme="majorHAnsi" w:cstheme="majorHAnsi"/>
          <w:b/>
          <w:bCs/>
        </w:rPr>
      </w:pPr>
    </w:p>
    <w:p w14:paraId="699CF55B" w14:textId="77777777" w:rsidR="00E870E9" w:rsidRDefault="00E870E9" w:rsidP="00EC2273">
      <w:pPr>
        <w:spacing w:line="276" w:lineRule="auto"/>
        <w:jc w:val="both"/>
        <w:rPr>
          <w:rFonts w:asciiTheme="majorHAnsi" w:hAnsiTheme="majorHAnsi" w:cstheme="majorHAnsi"/>
          <w:b/>
          <w:bCs/>
        </w:rPr>
      </w:pPr>
    </w:p>
    <w:p w14:paraId="7BFA3F36" w14:textId="77777777" w:rsidR="00E870E9" w:rsidRDefault="00E870E9" w:rsidP="00EC2273">
      <w:pPr>
        <w:spacing w:line="276" w:lineRule="auto"/>
        <w:jc w:val="both"/>
        <w:rPr>
          <w:rFonts w:asciiTheme="majorHAnsi" w:hAnsiTheme="majorHAnsi" w:cstheme="majorHAnsi"/>
          <w:b/>
          <w:bCs/>
        </w:rPr>
      </w:pPr>
    </w:p>
    <w:p w14:paraId="2D606EE7" w14:textId="77777777" w:rsidR="00E870E9" w:rsidRPr="002A3051" w:rsidRDefault="00E870E9" w:rsidP="00EC2273">
      <w:pPr>
        <w:spacing w:line="276" w:lineRule="auto"/>
        <w:jc w:val="both"/>
        <w:rPr>
          <w:rFonts w:asciiTheme="majorHAnsi" w:hAnsiTheme="majorHAnsi" w:cstheme="majorHAnsi"/>
          <w:b/>
          <w:bCs/>
        </w:rPr>
      </w:pPr>
    </w:p>
    <w:p w14:paraId="26C3BB33" w14:textId="1073610C" w:rsidR="005361C5" w:rsidRPr="00E870E9" w:rsidRDefault="00B456EC" w:rsidP="00FF67A2">
      <w:pPr>
        <w:spacing w:line="276" w:lineRule="auto"/>
        <w:ind w:hanging="284"/>
        <w:jc w:val="both"/>
        <w:rPr>
          <w:rFonts w:asciiTheme="majorHAnsi" w:hAnsiTheme="majorHAnsi" w:cstheme="majorHAnsi"/>
          <w:b/>
          <w:bCs/>
          <w:color w:val="2F5496" w:themeColor="accent1" w:themeShade="BF"/>
        </w:rPr>
      </w:pPr>
      <w:r w:rsidRPr="00E870E9">
        <w:rPr>
          <w:rFonts w:asciiTheme="minorHAnsi" w:hAnsiTheme="minorHAnsi" w:cstheme="minorHAnsi"/>
          <w:b/>
          <w:bCs/>
          <w:color w:val="B6A04C"/>
          <w:sz w:val="32"/>
          <w:szCs w:val="32"/>
        </w:rPr>
        <w:t xml:space="preserve">4.2 </w:t>
      </w:r>
      <w:r w:rsidR="00E16DBB" w:rsidRPr="00E870E9">
        <w:rPr>
          <w:rFonts w:asciiTheme="minorHAnsi" w:hAnsiTheme="minorHAnsi" w:cstheme="minorHAnsi"/>
          <w:b/>
          <w:bCs/>
          <w:color w:val="2F5496" w:themeColor="accent1" w:themeShade="BF"/>
          <w:sz w:val="32"/>
          <w:szCs w:val="32"/>
        </w:rPr>
        <w:t xml:space="preserve">Protection Afforded by the Charter </w:t>
      </w:r>
      <w:r w:rsidR="005361C5" w:rsidRPr="00E870E9">
        <w:rPr>
          <w:rFonts w:asciiTheme="minorHAnsi" w:hAnsiTheme="minorHAnsi" w:cstheme="minorHAnsi"/>
          <w:b/>
          <w:bCs/>
          <w:color w:val="2F5496" w:themeColor="accent1" w:themeShade="BF"/>
          <w:sz w:val="32"/>
          <w:szCs w:val="32"/>
        </w:rPr>
        <w:t>to Individuals</w:t>
      </w:r>
      <w:r w:rsidR="00F87908" w:rsidRPr="00E870E9">
        <w:rPr>
          <w:rFonts w:asciiTheme="minorHAnsi" w:hAnsiTheme="minorHAnsi" w:cstheme="minorHAnsi"/>
          <w:b/>
          <w:bCs/>
          <w:color w:val="2F5496" w:themeColor="accent1" w:themeShade="BF"/>
          <w:sz w:val="32"/>
          <w:szCs w:val="32"/>
        </w:rPr>
        <w:t xml:space="preserve"> </w:t>
      </w:r>
    </w:p>
    <w:p w14:paraId="0E59AB2B" w14:textId="77777777" w:rsidR="00E870E9" w:rsidRDefault="00E870E9" w:rsidP="00EC2273">
      <w:pPr>
        <w:spacing w:line="276" w:lineRule="auto"/>
        <w:jc w:val="both"/>
        <w:rPr>
          <w:rFonts w:asciiTheme="majorHAnsi" w:hAnsiTheme="majorHAnsi" w:cstheme="majorHAnsi"/>
          <w:color w:val="000000" w:themeColor="text1"/>
        </w:rPr>
      </w:pPr>
    </w:p>
    <w:p w14:paraId="43D2DF0D" w14:textId="4B2CBCF4" w:rsidR="00E533C8" w:rsidRPr="00E870E9" w:rsidRDefault="005361C5" w:rsidP="00EC2273">
      <w:pPr>
        <w:spacing w:line="276" w:lineRule="auto"/>
        <w:jc w:val="both"/>
        <w:rPr>
          <w:rFonts w:asciiTheme="majorHAnsi" w:hAnsiTheme="majorHAnsi" w:cstheme="majorHAnsi"/>
          <w:color w:val="2C2D5B"/>
        </w:rPr>
      </w:pPr>
      <w:r w:rsidRPr="00E870E9">
        <w:rPr>
          <w:rFonts w:asciiTheme="majorHAnsi" w:hAnsiTheme="majorHAnsi" w:cstheme="majorHAnsi"/>
          <w:color w:val="2C2D5B"/>
        </w:rPr>
        <w:t xml:space="preserve">Individuals </w:t>
      </w:r>
      <w:r w:rsidR="00EC2273" w:rsidRPr="00E870E9">
        <w:rPr>
          <w:rFonts w:asciiTheme="majorHAnsi" w:hAnsiTheme="majorHAnsi" w:cstheme="majorHAnsi"/>
          <w:color w:val="2C2D5B"/>
        </w:rPr>
        <w:t xml:space="preserve">are beneficiaries of the protection afforded by the </w:t>
      </w:r>
      <w:r w:rsidR="005D75E0" w:rsidRPr="00E870E9">
        <w:rPr>
          <w:rFonts w:asciiTheme="majorHAnsi" w:hAnsiTheme="majorHAnsi" w:cstheme="majorHAnsi"/>
          <w:color w:val="2C2D5B"/>
        </w:rPr>
        <w:t>EChFR</w:t>
      </w:r>
      <w:r w:rsidR="00EC2273" w:rsidRPr="00E870E9">
        <w:rPr>
          <w:rFonts w:asciiTheme="majorHAnsi" w:hAnsiTheme="majorHAnsi" w:cstheme="majorHAnsi"/>
          <w:color w:val="2C2D5B"/>
        </w:rPr>
        <w:t xml:space="preserve">, </w:t>
      </w:r>
      <w:r w:rsidR="00E533C8" w:rsidRPr="00E870E9">
        <w:rPr>
          <w:rFonts w:asciiTheme="majorHAnsi" w:hAnsiTheme="majorHAnsi" w:cstheme="majorHAnsi"/>
          <w:color w:val="2C2D5B"/>
        </w:rPr>
        <w:t>and</w:t>
      </w:r>
      <w:r w:rsidR="00321E09" w:rsidRPr="00E870E9">
        <w:rPr>
          <w:rFonts w:asciiTheme="majorHAnsi" w:hAnsiTheme="majorHAnsi" w:cstheme="majorHAnsi"/>
          <w:color w:val="2C2D5B"/>
        </w:rPr>
        <w:t xml:space="preserve"> in certain cases </w:t>
      </w:r>
      <w:r w:rsidR="005D75E0" w:rsidRPr="00E870E9">
        <w:rPr>
          <w:rFonts w:asciiTheme="majorHAnsi" w:hAnsiTheme="majorHAnsi" w:cstheme="majorHAnsi"/>
          <w:color w:val="2C2D5B"/>
        </w:rPr>
        <w:t>the Charter generates legal obligations to them</w:t>
      </w:r>
      <w:r w:rsidR="00EC2273" w:rsidRPr="00E870E9">
        <w:rPr>
          <w:rFonts w:asciiTheme="majorHAnsi" w:hAnsiTheme="majorHAnsi" w:cstheme="majorHAnsi"/>
          <w:color w:val="2C2D5B"/>
        </w:rPr>
        <w:t>.</w:t>
      </w:r>
    </w:p>
    <w:p w14:paraId="61B7B8A5" w14:textId="5269C6A6" w:rsidR="007C3FEA" w:rsidRDefault="008B3805" w:rsidP="00EC2273">
      <w:pPr>
        <w:spacing w:line="276" w:lineRule="auto"/>
        <w:jc w:val="both"/>
        <w:rPr>
          <w:rFonts w:asciiTheme="majorHAnsi" w:hAnsiTheme="majorHAnsi" w:cstheme="majorHAnsi"/>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18336" behindDoc="0" locked="0" layoutInCell="1" allowOverlap="1" wp14:anchorId="3EF6B52E" wp14:editId="4AB28A9A">
            <wp:simplePos x="0" y="0"/>
            <wp:positionH relativeFrom="column">
              <wp:posOffset>4758690</wp:posOffset>
            </wp:positionH>
            <wp:positionV relativeFrom="paragraph">
              <wp:posOffset>141746</wp:posOffset>
            </wp:positionV>
            <wp:extent cx="713105" cy="575310"/>
            <wp:effectExtent l="0" t="0" r="0" b="0"/>
            <wp:wrapNone/>
            <wp:docPr id="1775761288"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00734A07" w:rsidRPr="005A6959">
        <w:rPr>
          <w:rFonts w:ascii="Calibri" w:hAnsi="Calibri" w:cs="Calibri"/>
          <w:noProof/>
        </w:rPr>
        <mc:AlternateContent>
          <mc:Choice Requires="wps">
            <w:drawing>
              <wp:anchor distT="45720" distB="45720" distL="114300" distR="114300" simplePos="0" relativeHeight="251806720" behindDoc="0" locked="0" layoutInCell="1" allowOverlap="1" wp14:anchorId="56BBD3AC" wp14:editId="52A9AD4A">
                <wp:simplePos x="0" y="0"/>
                <wp:positionH relativeFrom="margin">
                  <wp:align>left</wp:align>
                </wp:positionH>
                <wp:positionV relativeFrom="paragraph">
                  <wp:posOffset>381000</wp:posOffset>
                </wp:positionV>
                <wp:extent cx="5438775" cy="6219825"/>
                <wp:effectExtent l="0" t="0" r="28575" b="28575"/>
                <wp:wrapSquare wrapText="bothSides"/>
                <wp:docPr id="186323707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38775" cy="6220178"/>
                        </a:xfrm>
                        <a:prstGeom prst="roundRect">
                          <a:avLst/>
                        </a:prstGeom>
                        <a:solidFill>
                          <a:schemeClr val="bg1"/>
                        </a:solidFill>
                        <a:ln w="19050">
                          <a:solidFill>
                            <a:srgbClr val="B6A04C"/>
                          </a:solidFill>
                          <a:miter lim="800000"/>
                          <a:headEnd/>
                          <a:tailEnd/>
                        </a:ln>
                      </wps:spPr>
                      <wps:txbx>
                        <w:txbxContent>
                          <w:p w14:paraId="4A94B51A" w14:textId="41DF3D6A" w:rsidR="007C3FEA" w:rsidRPr="00E870E9" w:rsidRDefault="007C3FEA" w:rsidP="00E870E9">
                            <w:pPr>
                              <w:spacing w:line="276" w:lineRule="auto"/>
                              <w:jc w:val="center"/>
                              <w:rPr>
                                <w:rFonts w:asciiTheme="minorHAnsi" w:hAnsiTheme="minorHAnsi" w:cstheme="minorHAnsi"/>
                                <w:b/>
                                <w:bCs/>
                                <w:color w:val="B6A04C"/>
                                <w:sz w:val="20"/>
                                <w:szCs w:val="20"/>
                              </w:rPr>
                            </w:pPr>
                            <w:hyperlink r:id="rId26" w:history="1">
                              <w:r w:rsidRPr="00E870E9">
                                <w:rPr>
                                  <w:rStyle w:val="Hypertextovodkaz"/>
                                  <w:rFonts w:asciiTheme="minorHAnsi" w:hAnsiTheme="minorHAnsi" w:cstheme="minorHAnsi"/>
                                  <w:b/>
                                  <w:bCs/>
                                  <w:color w:val="B6A04C"/>
                                  <w:sz w:val="20"/>
                                  <w:szCs w:val="20"/>
                                </w:rPr>
                                <w:t>CJEU, Grd. Ch., 15 January 2014, Association de mediation sociale v Union locale des syndicats CGT and others, C-176/12, ECLI:EU: C:2014:2</w:t>
                              </w:r>
                            </w:hyperlink>
                          </w:p>
                          <w:p w14:paraId="45F47A84" w14:textId="77777777" w:rsidR="007C3FEA" w:rsidRPr="00B65396" w:rsidRDefault="007C3FEA" w:rsidP="007C3FEA">
                            <w:pPr>
                              <w:spacing w:line="276" w:lineRule="auto"/>
                              <w:jc w:val="both"/>
                              <w:rPr>
                                <w:rFonts w:asciiTheme="minorHAnsi" w:hAnsiTheme="minorHAnsi" w:cstheme="minorHAnsi"/>
                                <w:sz w:val="20"/>
                                <w:szCs w:val="20"/>
                              </w:rPr>
                            </w:pPr>
                          </w:p>
                          <w:p w14:paraId="4F0CEC26" w14:textId="77777777" w:rsidR="007C3FEA" w:rsidRPr="00FF67A2" w:rsidRDefault="007C3FEA" w:rsidP="007C3FEA">
                            <w:pPr>
                              <w:spacing w:line="276" w:lineRule="auto"/>
                              <w:jc w:val="both"/>
                              <w:rPr>
                                <w:rFonts w:asciiTheme="minorHAnsi" w:hAnsiTheme="minorHAnsi" w:cstheme="minorHAnsi"/>
                                <w:color w:val="2C2D5B"/>
                                <w:sz w:val="20"/>
                                <w:szCs w:val="20"/>
                              </w:rPr>
                            </w:pPr>
                            <w:r w:rsidRPr="00FF67A2">
                              <w:rPr>
                                <w:rFonts w:asciiTheme="minorHAnsi" w:hAnsiTheme="minorHAnsi" w:cstheme="minorHAnsi"/>
                                <w:color w:val="2C2D5B"/>
                                <w:sz w:val="20"/>
                                <w:szCs w:val="20"/>
                              </w:rPr>
                              <w:t>This case addressed the applicability of the Charter in disputes between private parties. It concerned  Directive 2002/14/EC of the European Parliament and of the Council of 11 March 2002, which establishes a general framework for informing and consulting employees in the European Community particularly regarding the calculation of staff numbers in an undertaking.</w:t>
                            </w:r>
                          </w:p>
                          <w:p w14:paraId="3DCC519C" w14:textId="77777777" w:rsidR="007C3FEA" w:rsidRPr="00FF67A2" w:rsidRDefault="007C3FEA" w:rsidP="007C3FEA">
                            <w:pPr>
                              <w:spacing w:line="276" w:lineRule="auto"/>
                              <w:jc w:val="both"/>
                              <w:rPr>
                                <w:rFonts w:asciiTheme="minorHAnsi" w:hAnsiTheme="minorHAnsi" w:cstheme="minorHAnsi"/>
                                <w:color w:val="2C2D5B"/>
                                <w:sz w:val="20"/>
                                <w:szCs w:val="20"/>
                              </w:rPr>
                            </w:pPr>
                          </w:p>
                          <w:p w14:paraId="6263A569" w14:textId="77777777" w:rsidR="007C3FEA" w:rsidRPr="00FF67A2" w:rsidRDefault="007C3FEA" w:rsidP="007C3FEA">
                            <w:pPr>
                              <w:spacing w:line="276" w:lineRule="auto"/>
                              <w:jc w:val="both"/>
                              <w:rPr>
                                <w:rFonts w:asciiTheme="minorHAnsi" w:hAnsiTheme="minorHAnsi" w:cstheme="minorHAnsi"/>
                                <w:b/>
                                <w:bCs/>
                                <w:color w:val="2C2D5B"/>
                                <w:sz w:val="20"/>
                                <w:szCs w:val="20"/>
                              </w:rPr>
                            </w:pPr>
                            <w:r w:rsidRPr="00FF67A2">
                              <w:rPr>
                                <w:rFonts w:asciiTheme="minorHAnsi" w:hAnsiTheme="minorHAnsi" w:cstheme="minorHAnsi"/>
                                <w:b/>
                                <w:bCs/>
                                <w:color w:val="2C2D5B"/>
                                <w:sz w:val="20"/>
                                <w:szCs w:val="20"/>
                              </w:rPr>
                              <w:t xml:space="preserve">Key Points : </w:t>
                            </w:r>
                          </w:p>
                          <w:p w14:paraId="23CDA1E3" w14:textId="77777777" w:rsidR="007C3FEA" w:rsidRPr="00FF67A2" w:rsidRDefault="007C3FEA" w:rsidP="008B4B98">
                            <w:pPr>
                              <w:pStyle w:val="Odstavecseseznamem"/>
                              <w:numPr>
                                <w:ilvl w:val="0"/>
                                <w:numId w:val="5"/>
                              </w:numPr>
                              <w:spacing w:line="276" w:lineRule="auto"/>
                              <w:jc w:val="both"/>
                              <w:rPr>
                                <w:rFonts w:asciiTheme="minorHAnsi" w:hAnsiTheme="minorHAnsi" w:cstheme="minorHAnsi"/>
                                <w:color w:val="2C2D5B"/>
                                <w:sz w:val="20"/>
                                <w:szCs w:val="20"/>
                              </w:rPr>
                            </w:pPr>
                            <w:r w:rsidRPr="00FF67A2">
                              <w:rPr>
                                <w:rFonts w:asciiTheme="minorHAnsi" w:hAnsiTheme="minorHAnsi" w:cstheme="minorHAnsi"/>
                                <w:color w:val="2C2D5B"/>
                                <w:sz w:val="20"/>
                                <w:szCs w:val="20"/>
                              </w:rPr>
                              <w:t xml:space="preserve">Article 27 of the Charter, titled “Workers’ right to information and consultation within the undertaking” guarantees that workers are entitled to information and consultation according to EU law and national laws. For this article to be effective, it must be articulated in EU or national law. </w:t>
                            </w:r>
                          </w:p>
                          <w:p w14:paraId="22C834CB" w14:textId="77777777" w:rsidR="007C3FEA" w:rsidRPr="00FF67A2" w:rsidRDefault="007C3FEA" w:rsidP="008B4B98">
                            <w:pPr>
                              <w:pStyle w:val="Odstavecseseznamem"/>
                              <w:numPr>
                                <w:ilvl w:val="0"/>
                                <w:numId w:val="5"/>
                              </w:numPr>
                              <w:spacing w:line="276" w:lineRule="auto"/>
                              <w:jc w:val="both"/>
                              <w:rPr>
                                <w:rFonts w:asciiTheme="minorHAnsi" w:hAnsiTheme="minorHAnsi" w:cstheme="minorHAnsi"/>
                                <w:color w:val="2C2D5B"/>
                                <w:sz w:val="20"/>
                                <w:szCs w:val="20"/>
                              </w:rPr>
                            </w:pPr>
                            <w:r w:rsidRPr="00FF67A2">
                              <w:rPr>
                                <w:rFonts w:asciiTheme="minorHAnsi" w:hAnsiTheme="minorHAnsi" w:cstheme="minorHAnsi"/>
                                <w:color w:val="2C2D5B"/>
                                <w:sz w:val="20"/>
                                <w:szCs w:val="20"/>
                              </w:rPr>
                              <w:t xml:space="preserve">If a national provision conflicts with EU law, the Charter cannot be invoked by individuals to disapply the national provision in disputes. </w:t>
                            </w:r>
                          </w:p>
                          <w:p w14:paraId="759E137A" w14:textId="77777777" w:rsidR="007C3FEA" w:rsidRPr="00FF67A2" w:rsidRDefault="007C3FEA" w:rsidP="007C3FEA">
                            <w:pPr>
                              <w:spacing w:line="276" w:lineRule="auto"/>
                              <w:jc w:val="both"/>
                              <w:rPr>
                                <w:rFonts w:asciiTheme="minorHAnsi" w:hAnsiTheme="minorHAnsi" w:cstheme="minorHAnsi"/>
                                <w:color w:val="2C2D5B"/>
                                <w:sz w:val="20"/>
                                <w:szCs w:val="20"/>
                              </w:rPr>
                            </w:pPr>
                          </w:p>
                          <w:p w14:paraId="4C5E3751" w14:textId="678DEC60" w:rsidR="007C3FEA" w:rsidRPr="00FF67A2" w:rsidRDefault="007C3FEA" w:rsidP="007C3FEA">
                            <w:pPr>
                              <w:spacing w:line="276" w:lineRule="auto"/>
                              <w:jc w:val="both"/>
                              <w:rPr>
                                <w:rFonts w:asciiTheme="minorHAnsi" w:hAnsiTheme="minorHAnsi" w:cstheme="minorHAnsi"/>
                                <w:color w:val="2C2D5B"/>
                                <w:sz w:val="20"/>
                                <w:szCs w:val="20"/>
                              </w:rPr>
                            </w:pPr>
                            <w:r w:rsidRPr="00FF67A2">
                              <w:rPr>
                                <w:rFonts w:asciiTheme="minorHAnsi" w:hAnsiTheme="minorHAnsi" w:cstheme="minorHAnsi"/>
                                <w:b/>
                                <w:bCs/>
                                <w:color w:val="2C2D5B"/>
                                <w:sz w:val="20"/>
                                <w:szCs w:val="20"/>
                              </w:rPr>
                              <w:t>Facts</w:t>
                            </w:r>
                            <w:r w:rsidR="00E870E9" w:rsidRPr="00FF67A2">
                              <w:rPr>
                                <w:rFonts w:asciiTheme="minorHAnsi" w:hAnsiTheme="minorHAnsi" w:cstheme="minorHAnsi"/>
                                <w:b/>
                                <w:bCs/>
                                <w:color w:val="2C2D5B"/>
                                <w:sz w:val="20"/>
                                <w:szCs w:val="20"/>
                              </w:rPr>
                              <w:t xml:space="preserve"> </w:t>
                            </w:r>
                            <w:r w:rsidRPr="00FF67A2">
                              <w:rPr>
                                <w:rFonts w:asciiTheme="minorHAnsi" w:hAnsiTheme="minorHAnsi" w:cstheme="minorHAnsi"/>
                                <w:b/>
                                <w:bCs/>
                                <w:color w:val="2C2D5B"/>
                                <w:sz w:val="20"/>
                                <w:szCs w:val="20"/>
                              </w:rPr>
                              <w:t xml:space="preserve">: </w:t>
                            </w:r>
                            <w:r w:rsidRPr="00FF67A2">
                              <w:rPr>
                                <w:rFonts w:asciiTheme="minorHAnsi" w:hAnsiTheme="minorHAnsi" w:cstheme="minorHAnsi"/>
                                <w:color w:val="2C2D5B"/>
                                <w:sz w:val="20"/>
                                <w:szCs w:val="20"/>
                              </w:rPr>
                              <w:t xml:space="preserve">The dispute arose between trade unions and their employer, Association de Médiation Sociale (AMS), regarding the establishment of employee representation, such as the election of a staff representative. AMS argued that it employed fewer than eleven employees, and a fortiori fewer than fifty, and thus was not required under French law to hold such elections. AMS maintained that, in accordance with article L. 1111 3 of the French Labour Code, apprentices, workers on initiative-employment contracts or employment support contracts, and workers on professionalisation contracts should be excluded from the calculation of its workforce. </w:t>
                            </w:r>
                          </w:p>
                          <w:p w14:paraId="557CEBFA" w14:textId="77777777" w:rsidR="007C3FEA" w:rsidRPr="00FF67A2" w:rsidRDefault="007C3FEA" w:rsidP="007C3FEA">
                            <w:pPr>
                              <w:spacing w:line="276" w:lineRule="auto"/>
                              <w:jc w:val="both"/>
                              <w:rPr>
                                <w:rFonts w:asciiTheme="minorHAnsi" w:hAnsiTheme="minorHAnsi" w:cstheme="minorHAnsi"/>
                                <w:color w:val="2C2D5B"/>
                                <w:sz w:val="20"/>
                                <w:szCs w:val="20"/>
                              </w:rPr>
                            </w:pPr>
                          </w:p>
                          <w:p w14:paraId="3475AF96" w14:textId="2E875221" w:rsidR="007C3FEA" w:rsidRPr="00FF67A2" w:rsidRDefault="007C3FEA" w:rsidP="007C3FEA">
                            <w:pPr>
                              <w:spacing w:line="276" w:lineRule="auto"/>
                              <w:jc w:val="both"/>
                              <w:rPr>
                                <w:rFonts w:asciiTheme="minorHAnsi" w:hAnsiTheme="minorHAnsi" w:cstheme="minorHAnsi"/>
                                <w:color w:val="2C2D5B"/>
                                <w:sz w:val="20"/>
                                <w:szCs w:val="20"/>
                              </w:rPr>
                            </w:pPr>
                            <w:r w:rsidRPr="00FF67A2">
                              <w:rPr>
                                <w:rFonts w:asciiTheme="minorHAnsi" w:hAnsiTheme="minorHAnsi" w:cstheme="minorHAnsi"/>
                                <w:b/>
                                <w:bCs/>
                                <w:color w:val="2C2D5B"/>
                                <w:sz w:val="20"/>
                                <w:szCs w:val="20"/>
                              </w:rPr>
                              <w:t>Ruling</w:t>
                            </w:r>
                            <w:r w:rsidR="00E870E9" w:rsidRPr="00FF67A2">
                              <w:rPr>
                                <w:rFonts w:asciiTheme="minorHAnsi" w:hAnsiTheme="minorHAnsi" w:cstheme="minorHAnsi"/>
                                <w:b/>
                                <w:bCs/>
                                <w:color w:val="2C2D5B"/>
                                <w:sz w:val="20"/>
                                <w:szCs w:val="20"/>
                              </w:rPr>
                              <w:t xml:space="preserve"> </w:t>
                            </w:r>
                            <w:r w:rsidRPr="00FF67A2">
                              <w:rPr>
                                <w:rFonts w:asciiTheme="minorHAnsi" w:hAnsiTheme="minorHAnsi" w:cstheme="minorHAnsi"/>
                                <w:b/>
                                <w:bCs/>
                                <w:color w:val="2C2D5B"/>
                                <w:sz w:val="20"/>
                                <w:szCs w:val="20"/>
                              </w:rPr>
                              <w:t xml:space="preserve">: </w:t>
                            </w:r>
                            <w:r w:rsidRPr="00FF67A2">
                              <w:rPr>
                                <w:rFonts w:asciiTheme="minorHAnsi" w:hAnsiTheme="minorHAnsi" w:cstheme="minorHAnsi"/>
                                <w:color w:val="2C2D5B"/>
                                <w:sz w:val="20"/>
                                <w:szCs w:val="20"/>
                              </w:rPr>
                              <w:t>The Court concluded that the wording of Article 27 of the Charter necessitates that it be given specific expression in EU or national law. Moreover, it indicated that a prohibition, as provided for in Article 3(1) of Directive 2002/14, on excluding particular categories of employees from the calculation of the staff numbers in an undertaking cannot be inferred as a directly applicable rule of law from the wording of Article 27 of the Charter</w:t>
                            </w:r>
                            <w:r w:rsidR="00E870E9" w:rsidRPr="00FF67A2">
                              <w:rPr>
                                <w:rFonts w:asciiTheme="minorHAnsi" w:hAnsiTheme="minorHAnsi" w:cstheme="minorHAnsi"/>
                                <w:color w:val="2C2D5B"/>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56BBD3AC" id="_x0000_s1038" style="position:absolute;left:0;text-align:left;margin-left:0;margin-top:30pt;width:428.25pt;height:489.75pt;z-index:25180672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oe0IwIAAC0EAAAOAAAAZHJzL2Uyb0RvYy54bWysU8tu2zAQvBfoPxC815JdvyJYDhynKQqk&#10;DzTtB1AUJRGluCxJW3K+vktKcZz0VlQHgqslZ2dnh5vrvlXkKKyToHM6naSUCM2hlLrO6c8fd+/W&#10;lDjPdMkUaJHTk3D0evv2zaYzmZhBA6oUliCIdllnctp4b7IkcbwRLXMTMEJjsgLbMo+hrZPSsg7R&#10;W5XM0nSZdGBLY4EL5/Dv7ZCk24hfVYL7r1XlhCcqp8jNx9XGtQhrst2wrLbMNJKPNNg/sGiZ1Fj0&#10;DHXLPCMHK/+CaiW34KDyEw5tAlUluYg9YDfT9FU3Dw0zIvaC4jhzlsn9P1j+5fhgvlni+xvocYCx&#10;CWfugf9yRMO+YboWO2uhawQrsfA0SJZ0xmXj1SC1y1wAKbrPUOKQ2cFDBOor2wZVsE+C6DiA01l0&#10;0XvC8edi/n69Wi0o4ZhbzlCG1TrWYNnTdWOd/yigJWGTUwsHXX7H0cYa7HjvfODEsqdzoaQDJcs7&#10;qVQMgp3EXllyZGiEoh66eHVKadJhg1fpIh1keAFh6+IMcLPcpfP9yPJFpVZ69LOSbU7XafgGhwXx&#10;Pugyus0zqYY9UlZ6VDMIOEjp+6InskQms3A5qFtAeUJ9LQz+xfeGmwbsIyUdejen7veBWUGJ+qRx&#10;RlfT+TyYPQbzxWqGgb3MFJcZpjlC5dRTMmz3Pj6QIJyGHc6yklHgZyYjZ/Rk1H18P8H0l3E89fzK&#10;t38AAAD//wMAUEsDBBQABgAIAAAAIQAR7ucK3QAAAAgBAAAPAAAAZHJzL2Rvd25yZXYueG1sTI/N&#10;TsMwEITvSLyDtUjcqM1PIjfEqaJKXLg1tAduTmziQLyOYjcNb89ygtNqNKPZb8rd6ke22DkOARXc&#10;bwQwi10wA/YKjm8vdxJYTBqNHgNaBd82wq66vip1YcIFD3ZpUs+oBGOhFbiUpoLz2DnrddyEySJ5&#10;H2H2OpGce25mfaFyP/IHIXLu9YD0wenJ7p3tvpqzV7AcD1kt9+9PjTvxz+1rLVvppVK3N2v9DCzZ&#10;Nf2F4Ref0KEipjac0UQ2KqAhSUEu6JIrszwD1lJMPG4z4FXJ/w+ofgAAAP//AwBQSwECLQAUAAYA&#10;CAAAACEAtoM4kv4AAADhAQAAEwAAAAAAAAAAAAAAAAAAAAAAW0NvbnRlbnRfVHlwZXNdLnhtbFBL&#10;AQItABQABgAIAAAAIQA4/SH/1gAAAJQBAAALAAAAAAAAAAAAAAAAAC8BAABfcmVscy8ucmVsc1BL&#10;AQItABQABgAIAAAAIQDRjoe0IwIAAC0EAAAOAAAAAAAAAAAAAAAAAC4CAABkcnMvZTJvRG9jLnht&#10;bFBLAQItABQABgAIAAAAIQAR7ucK3QAAAAgBAAAPAAAAAAAAAAAAAAAAAH0EAABkcnMvZG93bnJl&#10;di54bWxQSwUGAAAAAAQABADzAAAAhwUAAAAA&#10;" fillcolor="white [3212]" strokecolor="#b6a04c" strokeweight="1.5pt">
                <v:stroke joinstyle="miter"/>
                <v:textbox>
                  <w:txbxContent>
                    <w:p w14:paraId="4A94B51A" w14:textId="41DF3D6A" w:rsidR="007C3FEA" w:rsidRPr="00E870E9" w:rsidRDefault="007C3FEA" w:rsidP="00E870E9">
                      <w:pPr>
                        <w:spacing w:line="276" w:lineRule="auto"/>
                        <w:jc w:val="center"/>
                        <w:rPr>
                          <w:rFonts w:asciiTheme="minorHAnsi" w:hAnsiTheme="minorHAnsi" w:cstheme="minorHAnsi"/>
                          <w:b/>
                          <w:bCs/>
                          <w:color w:val="B6A04C"/>
                          <w:sz w:val="20"/>
                          <w:szCs w:val="20"/>
                        </w:rPr>
                      </w:pPr>
                      <w:hyperlink r:id="rId27" w:history="1">
                        <w:r w:rsidRPr="00E870E9">
                          <w:rPr>
                            <w:rStyle w:val="Lienhypertexte"/>
                            <w:rFonts w:asciiTheme="minorHAnsi" w:hAnsiTheme="minorHAnsi" w:cstheme="minorHAnsi"/>
                            <w:b/>
                            <w:bCs/>
                            <w:color w:val="B6A04C"/>
                            <w:sz w:val="20"/>
                            <w:szCs w:val="20"/>
                          </w:rPr>
                          <w:t xml:space="preserve">CJEU, </w:t>
                        </w:r>
                        <w:proofErr w:type="spellStart"/>
                        <w:r w:rsidRPr="00E870E9">
                          <w:rPr>
                            <w:rStyle w:val="Lienhypertexte"/>
                            <w:rFonts w:asciiTheme="minorHAnsi" w:hAnsiTheme="minorHAnsi" w:cstheme="minorHAnsi"/>
                            <w:b/>
                            <w:bCs/>
                            <w:color w:val="B6A04C"/>
                            <w:sz w:val="20"/>
                            <w:szCs w:val="20"/>
                          </w:rPr>
                          <w:t>Grd</w:t>
                        </w:r>
                        <w:proofErr w:type="spellEnd"/>
                        <w:r w:rsidRPr="00E870E9">
                          <w:rPr>
                            <w:rStyle w:val="Lienhypertexte"/>
                            <w:rFonts w:asciiTheme="minorHAnsi" w:hAnsiTheme="minorHAnsi" w:cstheme="minorHAnsi"/>
                            <w:b/>
                            <w:bCs/>
                            <w:color w:val="B6A04C"/>
                            <w:sz w:val="20"/>
                            <w:szCs w:val="20"/>
                          </w:rPr>
                          <w:t xml:space="preserve">. Ch., 15 January 2014, Association de mediation </w:t>
                        </w:r>
                        <w:proofErr w:type="spellStart"/>
                        <w:r w:rsidRPr="00E870E9">
                          <w:rPr>
                            <w:rStyle w:val="Lienhypertexte"/>
                            <w:rFonts w:asciiTheme="minorHAnsi" w:hAnsiTheme="minorHAnsi" w:cstheme="minorHAnsi"/>
                            <w:b/>
                            <w:bCs/>
                            <w:color w:val="B6A04C"/>
                            <w:sz w:val="20"/>
                            <w:szCs w:val="20"/>
                          </w:rPr>
                          <w:t>sociale</w:t>
                        </w:r>
                        <w:proofErr w:type="spellEnd"/>
                        <w:r w:rsidRPr="00E870E9">
                          <w:rPr>
                            <w:rStyle w:val="Lienhypertexte"/>
                            <w:rFonts w:asciiTheme="minorHAnsi" w:hAnsiTheme="minorHAnsi" w:cstheme="minorHAnsi"/>
                            <w:b/>
                            <w:bCs/>
                            <w:color w:val="B6A04C"/>
                            <w:sz w:val="20"/>
                            <w:szCs w:val="20"/>
                          </w:rPr>
                          <w:t xml:space="preserve"> v Union locale des </w:t>
                        </w:r>
                        <w:proofErr w:type="spellStart"/>
                        <w:r w:rsidRPr="00E870E9">
                          <w:rPr>
                            <w:rStyle w:val="Lienhypertexte"/>
                            <w:rFonts w:asciiTheme="minorHAnsi" w:hAnsiTheme="minorHAnsi" w:cstheme="minorHAnsi"/>
                            <w:b/>
                            <w:bCs/>
                            <w:color w:val="B6A04C"/>
                            <w:sz w:val="20"/>
                            <w:szCs w:val="20"/>
                          </w:rPr>
                          <w:t>syndicats</w:t>
                        </w:r>
                        <w:proofErr w:type="spellEnd"/>
                        <w:r w:rsidRPr="00E870E9">
                          <w:rPr>
                            <w:rStyle w:val="Lienhypertexte"/>
                            <w:rFonts w:asciiTheme="minorHAnsi" w:hAnsiTheme="minorHAnsi" w:cstheme="minorHAnsi"/>
                            <w:b/>
                            <w:bCs/>
                            <w:color w:val="B6A04C"/>
                            <w:sz w:val="20"/>
                            <w:szCs w:val="20"/>
                          </w:rPr>
                          <w:t xml:space="preserve"> CGT and others, C-176/12, ECLI:EU: C:2014:2</w:t>
                        </w:r>
                      </w:hyperlink>
                    </w:p>
                    <w:p w14:paraId="45F47A84" w14:textId="77777777" w:rsidR="007C3FEA" w:rsidRPr="00B65396" w:rsidRDefault="007C3FEA" w:rsidP="007C3FEA">
                      <w:pPr>
                        <w:spacing w:line="276" w:lineRule="auto"/>
                        <w:jc w:val="both"/>
                        <w:rPr>
                          <w:rFonts w:asciiTheme="minorHAnsi" w:hAnsiTheme="minorHAnsi" w:cstheme="minorHAnsi"/>
                          <w:sz w:val="20"/>
                          <w:szCs w:val="20"/>
                        </w:rPr>
                      </w:pPr>
                    </w:p>
                    <w:p w14:paraId="4F0CEC26" w14:textId="77777777" w:rsidR="007C3FEA" w:rsidRPr="00FF67A2" w:rsidRDefault="007C3FEA" w:rsidP="007C3FEA">
                      <w:pPr>
                        <w:spacing w:line="276" w:lineRule="auto"/>
                        <w:jc w:val="both"/>
                        <w:rPr>
                          <w:rFonts w:asciiTheme="minorHAnsi" w:hAnsiTheme="minorHAnsi" w:cstheme="minorHAnsi"/>
                          <w:color w:val="2C2D5B"/>
                          <w:sz w:val="20"/>
                          <w:szCs w:val="20"/>
                        </w:rPr>
                      </w:pPr>
                      <w:r w:rsidRPr="00FF67A2">
                        <w:rPr>
                          <w:rFonts w:asciiTheme="minorHAnsi" w:hAnsiTheme="minorHAnsi" w:cstheme="minorHAnsi"/>
                          <w:color w:val="2C2D5B"/>
                          <w:sz w:val="20"/>
                          <w:szCs w:val="20"/>
                        </w:rPr>
                        <w:t>This case addressed the applicability of the Charter in disputes between private parties. It concerned  Directive 2002/14/EC of the European Parliament and of the Council of 11 March 2002, which establishes a general framework for informing and consulting employees in the European Community particularly regarding the calculation of staff numbers in an undertaking.</w:t>
                      </w:r>
                    </w:p>
                    <w:p w14:paraId="3DCC519C" w14:textId="77777777" w:rsidR="007C3FEA" w:rsidRPr="00FF67A2" w:rsidRDefault="007C3FEA" w:rsidP="007C3FEA">
                      <w:pPr>
                        <w:spacing w:line="276" w:lineRule="auto"/>
                        <w:jc w:val="both"/>
                        <w:rPr>
                          <w:rFonts w:asciiTheme="minorHAnsi" w:hAnsiTheme="minorHAnsi" w:cstheme="minorHAnsi"/>
                          <w:color w:val="2C2D5B"/>
                          <w:sz w:val="20"/>
                          <w:szCs w:val="20"/>
                        </w:rPr>
                      </w:pPr>
                    </w:p>
                    <w:p w14:paraId="6263A569" w14:textId="77777777" w:rsidR="007C3FEA" w:rsidRPr="00FF67A2" w:rsidRDefault="007C3FEA" w:rsidP="007C3FEA">
                      <w:pPr>
                        <w:spacing w:line="276" w:lineRule="auto"/>
                        <w:jc w:val="both"/>
                        <w:rPr>
                          <w:rFonts w:asciiTheme="minorHAnsi" w:hAnsiTheme="minorHAnsi" w:cstheme="minorHAnsi"/>
                          <w:b/>
                          <w:bCs/>
                          <w:color w:val="2C2D5B"/>
                          <w:sz w:val="20"/>
                          <w:szCs w:val="20"/>
                        </w:rPr>
                      </w:pPr>
                      <w:r w:rsidRPr="00FF67A2">
                        <w:rPr>
                          <w:rFonts w:asciiTheme="minorHAnsi" w:hAnsiTheme="minorHAnsi" w:cstheme="minorHAnsi"/>
                          <w:b/>
                          <w:bCs/>
                          <w:color w:val="2C2D5B"/>
                          <w:sz w:val="20"/>
                          <w:szCs w:val="20"/>
                        </w:rPr>
                        <w:t xml:space="preserve">Key Points : </w:t>
                      </w:r>
                    </w:p>
                    <w:p w14:paraId="23CDA1E3" w14:textId="77777777" w:rsidR="007C3FEA" w:rsidRPr="00FF67A2" w:rsidRDefault="007C3FEA" w:rsidP="008B4B98">
                      <w:pPr>
                        <w:pStyle w:val="Paragraphedeliste"/>
                        <w:numPr>
                          <w:ilvl w:val="0"/>
                          <w:numId w:val="5"/>
                        </w:numPr>
                        <w:spacing w:line="276" w:lineRule="auto"/>
                        <w:jc w:val="both"/>
                        <w:rPr>
                          <w:rFonts w:asciiTheme="minorHAnsi" w:hAnsiTheme="minorHAnsi" w:cstheme="minorHAnsi"/>
                          <w:color w:val="2C2D5B"/>
                          <w:sz w:val="20"/>
                          <w:szCs w:val="20"/>
                        </w:rPr>
                      </w:pPr>
                      <w:r w:rsidRPr="00FF67A2">
                        <w:rPr>
                          <w:rFonts w:asciiTheme="minorHAnsi" w:hAnsiTheme="minorHAnsi" w:cstheme="minorHAnsi"/>
                          <w:color w:val="2C2D5B"/>
                          <w:sz w:val="20"/>
                          <w:szCs w:val="20"/>
                        </w:rPr>
                        <w:t xml:space="preserve">Article 27 of the Charter, titled “Workers’ right to information and consultation within the undertaking” guarantees that workers are entitled to information and consultation according to EU law and national laws. For this article to be effective, it must be articulated in EU or national law. </w:t>
                      </w:r>
                    </w:p>
                    <w:p w14:paraId="22C834CB" w14:textId="77777777" w:rsidR="007C3FEA" w:rsidRPr="00FF67A2" w:rsidRDefault="007C3FEA" w:rsidP="008B4B98">
                      <w:pPr>
                        <w:pStyle w:val="Paragraphedeliste"/>
                        <w:numPr>
                          <w:ilvl w:val="0"/>
                          <w:numId w:val="5"/>
                        </w:numPr>
                        <w:spacing w:line="276" w:lineRule="auto"/>
                        <w:jc w:val="both"/>
                        <w:rPr>
                          <w:rFonts w:asciiTheme="minorHAnsi" w:hAnsiTheme="minorHAnsi" w:cstheme="minorHAnsi"/>
                          <w:color w:val="2C2D5B"/>
                          <w:sz w:val="20"/>
                          <w:szCs w:val="20"/>
                        </w:rPr>
                      </w:pPr>
                      <w:r w:rsidRPr="00FF67A2">
                        <w:rPr>
                          <w:rFonts w:asciiTheme="minorHAnsi" w:hAnsiTheme="minorHAnsi" w:cstheme="minorHAnsi"/>
                          <w:color w:val="2C2D5B"/>
                          <w:sz w:val="20"/>
                          <w:szCs w:val="20"/>
                        </w:rPr>
                        <w:t xml:space="preserve">If a national provision conflicts with EU law, the Charter cannot be invoked by individuals to disapply the national provision in disputes. </w:t>
                      </w:r>
                    </w:p>
                    <w:p w14:paraId="759E137A" w14:textId="77777777" w:rsidR="007C3FEA" w:rsidRPr="00FF67A2" w:rsidRDefault="007C3FEA" w:rsidP="007C3FEA">
                      <w:pPr>
                        <w:spacing w:line="276" w:lineRule="auto"/>
                        <w:jc w:val="both"/>
                        <w:rPr>
                          <w:rFonts w:asciiTheme="minorHAnsi" w:hAnsiTheme="minorHAnsi" w:cstheme="minorHAnsi"/>
                          <w:color w:val="2C2D5B"/>
                          <w:sz w:val="20"/>
                          <w:szCs w:val="20"/>
                        </w:rPr>
                      </w:pPr>
                    </w:p>
                    <w:p w14:paraId="4C5E3751" w14:textId="678DEC60" w:rsidR="007C3FEA" w:rsidRPr="00FF67A2" w:rsidRDefault="007C3FEA" w:rsidP="007C3FEA">
                      <w:pPr>
                        <w:spacing w:line="276" w:lineRule="auto"/>
                        <w:jc w:val="both"/>
                        <w:rPr>
                          <w:rFonts w:asciiTheme="minorHAnsi" w:hAnsiTheme="minorHAnsi" w:cstheme="minorHAnsi"/>
                          <w:color w:val="2C2D5B"/>
                          <w:sz w:val="20"/>
                          <w:szCs w:val="20"/>
                        </w:rPr>
                      </w:pPr>
                      <w:r w:rsidRPr="00FF67A2">
                        <w:rPr>
                          <w:rFonts w:asciiTheme="minorHAnsi" w:hAnsiTheme="minorHAnsi" w:cstheme="minorHAnsi"/>
                          <w:b/>
                          <w:bCs/>
                          <w:color w:val="2C2D5B"/>
                          <w:sz w:val="20"/>
                          <w:szCs w:val="20"/>
                        </w:rPr>
                        <w:t>Facts</w:t>
                      </w:r>
                      <w:r w:rsidR="00E870E9" w:rsidRPr="00FF67A2">
                        <w:rPr>
                          <w:rFonts w:asciiTheme="minorHAnsi" w:hAnsiTheme="minorHAnsi" w:cstheme="minorHAnsi"/>
                          <w:b/>
                          <w:bCs/>
                          <w:color w:val="2C2D5B"/>
                          <w:sz w:val="20"/>
                          <w:szCs w:val="20"/>
                        </w:rPr>
                        <w:t xml:space="preserve"> </w:t>
                      </w:r>
                      <w:r w:rsidRPr="00FF67A2">
                        <w:rPr>
                          <w:rFonts w:asciiTheme="minorHAnsi" w:hAnsiTheme="minorHAnsi" w:cstheme="minorHAnsi"/>
                          <w:b/>
                          <w:bCs/>
                          <w:color w:val="2C2D5B"/>
                          <w:sz w:val="20"/>
                          <w:szCs w:val="20"/>
                        </w:rPr>
                        <w:t xml:space="preserve">: </w:t>
                      </w:r>
                      <w:r w:rsidRPr="00FF67A2">
                        <w:rPr>
                          <w:rFonts w:asciiTheme="minorHAnsi" w:hAnsiTheme="minorHAnsi" w:cstheme="minorHAnsi"/>
                          <w:color w:val="2C2D5B"/>
                          <w:sz w:val="20"/>
                          <w:szCs w:val="20"/>
                        </w:rPr>
                        <w:t xml:space="preserve">The dispute arose between trade unions and their employer, Association de </w:t>
                      </w:r>
                      <w:proofErr w:type="spellStart"/>
                      <w:r w:rsidRPr="00FF67A2">
                        <w:rPr>
                          <w:rFonts w:asciiTheme="minorHAnsi" w:hAnsiTheme="minorHAnsi" w:cstheme="minorHAnsi"/>
                          <w:color w:val="2C2D5B"/>
                          <w:sz w:val="20"/>
                          <w:szCs w:val="20"/>
                        </w:rPr>
                        <w:t>Médiation</w:t>
                      </w:r>
                      <w:proofErr w:type="spellEnd"/>
                      <w:r w:rsidRPr="00FF67A2">
                        <w:rPr>
                          <w:rFonts w:asciiTheme="minorHAnsi" w:hAnsiTheme="minorHAnsi" w:cstheme="minorHAnsi"/>
                          <w:color w:val="2C2D5B"/>
                          <w:sz w:val="20"/>
                          <w:szCs w:val="20"/>
                        </w:rPr>
                        <w:t xml:space="preserve"> </w:t>
                      </w:r>
                      <w:proofErr w:type="spellStart"/>
                      <w:r w:rsidRPr="00FF67A2">
                        <w:rPr>
                          <w:rFonts w:asciiTheme="minorHAnsi" w:hAnsiTheme="minorHAnsi" w:cstheme="minorHAnsi"/>
                          <w:color w:val="2C2D5B"/>
                          <w:sz w:val="20"/>
                          <w:szCs w:val="20"/>
                        </w:rPr>
                        <w:t>Sociale</w:t>
                      </w:r>
                      <w:proofErr w:type="spellEnd"/>
                      <w:r w:rsidRPr="00FF67A2">
                        <w:rPr>
                          <w:rFonts w:asciiTheme="minorHAnsi" w:hAnsiTheme="minorHAnsi" w:cstheme="minorHAnsi"/>
                          <w:color w:val="2C2D5B"/>
                          <w:sz w:val="20"/>
                          <w:szCs w:val="20"/>
                        </w:rPr>
                        <w:t xml:space="preserve"> (AMS), regarding the establishment of employee representation, such as the election of a staff representative. AMS argued that it employed fewer than eleven employees, and a fortiori fewer than fifty, and thus was not required under French law to hold such elections. AMS maintained that, in accordance with article L. 1111 3 of the French Labour Code, apprentices, workers on initiative-employment contracts or employment support contracts, and workers on professionalisation contracts should be excluded from the calculation of its workforce. </w:t>
                      </w:r>
                    </w:p>
                    <w:p w14:paraId="557CEBFA" w14:textId="77777777" w:rsidR="007C3FEA" w:rsidRPr="00FF67A2" w:rsidRDefault="007C3FEA" w:rsidP="007C3FEA">
                      <w:pPr>
                        <w:spacing w:line="276" w:lineRule="auto"/>
                        <w:jc w:val="both"/>
                        <w:rPr>
                          <w:rFonts w:asciiTheme="minorHAnsi" w:hAnsiTheme="minorHAnsi" w:cstheme="minorHAnsi"/>
                          <w:color w:val="2C2D5B"/>
                          <w:sz w:val="20"/>
                          <w:szCs w:val="20"/>
                        </w:rPr>
                      </w:pPr>
                    </w:p>
                    <w:p w14:paraId="3475AF96" w14:textId="2E875221" w:rsidR="007C3FEA" w:rsidRPr="00FF67A2" w:rsidRDefault="007C3FEA" w:rsidP="007C3FEA">
                      <w:pPr>
                        <w:spacing w:line="276" w:lineRule="auto"/>
                        <w:jc w:val="both"/>
                        <w:rPr>
                          <w:rFonts w:asciiTheme="minorHAnsi" w:hAnsiTheme="minorHAnsi" w:cstheme="minorHAnsi"/>
                          <w:color w:val="2C2D5B"/>
                          <w:sz w:val="20"/>
                          <w:szCs w:val="20"/>
                        </w:rPr>
                      </w:pPr>
                      <w:r w:rsidRPr="00FF67A2">
                        <w:rPr>
                          <w:rFonts w:asciiTheme="minorHAnsi" w:hAnsiTheme="minorHAnsi" w:cstheme="minorHAnsi"/>
                          <w:b/>
                          <w:bCs/>
                          <w:color w:val="2C2D5B"/>
                          <w:sz w:val="20"/>
                          <w:szCs w:val="20"/>
                        </w:rPr>
                        <w:t>Ruling</w:t>
                      </w:r>
                      <w:r w:rsidR="00E870E9" w:rsidRPr="00FF67A2">
                        <w:rPr>
                          <w:rFonts w:asciiTheme="minorHAnsi" w:hAnsiTheme="minorHAnsi" w:cstheme="minorHAnsi"/>
                          <w:b/>
                          <w:bCs/>
                          <w:color w:val="2C2D5B"/>
                          <w:sz w:val="20"/>
                          <w:szCs w:val="20"/>
                        </w:rPr>
                        <w:t xml:space="preserve"> </w:t>
                      </w:r>
                      <w:r w:rsidRPr="00FF67A2">
                        <w:rPr>
                          <w:rFonts w:asciiTheme="minorHAnsi" w:hAnsiTheme="minorHAnsi" w:cstheme="minorHAnsi"/>
                          <w:b/>
                          <w:bCs/>
                          <w:color w:val="2C2D5B"/>
                          <w:sz w:val="20"/>
                          <w:szCs w:val="20"/>
                        </w:rPr>
                        <w:t xml:space="preserve">: </w:t>
                      </w:r>
                      <w:r w:rsidRPr="00FF67A2">
                        <w:rPr>
                          <w:rFonts w:asciiTheme="minorHAnsi" w:hAnsiTheme="minorHAnsi" w:cstheme="minorHAnsi"/>
                          <w:color w:val="2C2D5B"/>
                          <w:sz w:val="20"/>
                          <w:szCs w:val="20"/>
                        </w:rPr>
                        <w:t>The Court concluded that the wording of Article 27 of the Charter necessitates that it be given specific expression in EU or national law. Moreover, it indicated that a prohibition, as provided for in Article 3(1) of Directive 2002/14, on excluding particular categories of employees from the calculation of the staff numbers in an undertaking cannot be inferred as a directly applicable rule of law from the wording of Article 27 of the Charter</w:t>
                      </w:r>
                      <w:r w:rsidR="00E870E9" w:rsidRPr="00FF67A2">
                        <w:rPr>
                          <w:rFonts w:asciiTheme="minorHAnsi" w:hAnsiTheme="minorHAnsi" w:cstheme="minorHAnsi"/>
                          <w:color w:val="2C2D5B"/>
                          <w:sz w:val="20"/>
                          <w:szCs w:val="20"/>
                        </w:rPr>
                        <w:t>.</w:t>
                      </w:r>
                    </w:p>
                  </w:txbxContent>
                </v:textbox>
                <w10:wrap type="square" anchorx="margin"/>
              </v:roundrect>
            </w:pict>
          </mc:Fallback>
        </mc:AlternateContent>
      </w:r>
    </w:p>
    <w:p w14:paraId="339A5CB6" w14:textId="7972E996" w:rsidR="007C3FEA" w:rsidRDefault="007C3FEA" w:rsidP="00EC2273">
      <w:pPr>
        <w:spacing w:line="276" w:lineRule="auto"/>
        <w:jc w:val="both"/>
        <w:rPr>
          <w:rFonts w:asciiTheme="majorHAnsi" w:hAnsiTheme="majorHAnsi" w:cstheme="majorHAnsi"/>
        </w:rPr>
      </w:pPr>
    </w:p>
    <w:p w14:paraId="0B12AC77" w14:textId="39E5EA67" w:rsidR="007C3FEA" w:rsidRDefault="007C3FEA" w:rsidP="00EC2273">
      <w:pPr>
        <w:spacing w:line="276" w:lineRule="auto"/>
        <w:jc w:val="both"/>
        <w:rPr>
          <w:rFonts w:asciiTheme="majorHAnsi" w:hAnsiTheme="majorHAnsi" w:cstheme="majorHAnsi"/>
        </w:rPr>
      </w:pPr>
    </w:p>
    <w:p w14:paraId="4BDDC7E2" w14:textId="45FE7DBC" w:rsidR="007C3FEA" w:rsidRDefault="007C3FEA" w:rsidP="00EC2273">
      <w:pPr>
        <w:spacing w:line="276" w:lineRule="auto"/>
        <w:jc w:val="both"/>
        <w:rPr>
          <w:rFonts w:asciiTheme="majorHAnsi" w:hAnsiTheme="majorHAnsi" w:cstheme="majorHAnsi"/>
        </w:rPr>
      </w:pPr>
    </w:p>
    <w:p w14:paraId="308AC749" w14:textId="00937A9B" w:rsidR="007C3FEA" w:rsidRDefault="007C3FEA" w:rsidP="00EC2273">
      <w:pPr>
        <w:spacing w:line="276" w:lineRule="auto"/>
        <w:jc w:val="both"/>
        <w:rPr>
          <w:rFonts w:asciiTheme="majorHAnsi" w:hAnsiTheme="majorHAnsi" w:cstheme="majorHAnsi"/>
        </w:rPr>
      </w:pPr>
    </w:p>
    <w:p w14:paraId="0207455A" w14:textId="017D6A6D" w:rsidR="007C3FEA" w:rsidRDefault="007C3FEA" w:rsidP="00EC2273">
      <w:pPr>
        <w:spacing w:line="276" w:lineRule="auto"/>
        <w:jc w:val="both"/>
        <w:rPr>
          <w:rFonts w:asciiTheme="majorHAnsi" w:hAnsiTheme="majorHAnsi" w:cstheme="majorHAnsi"/>
        </w:rPr>
      </w:pPr>
    </w:p>
    <w:p w14:paraId="48D595B7" w14:textId="77777777" w:rsidR="007C3FEA" w:rsidRDefault="007C3FEA" w:rsidP="00EC2273">
      <w:pPr>
        <w:spacing w:line="276" w:lineRule="auto"/>
        <w:jc w:val="both"/>
        <w:rPr>
          <w:rFonts w:asciiTheme="majorHAnsi" w:hAnsiTheme="majorHAnsi" w:cstheme="majorHAnsi"/>
        </w:rPr>
      </w:pPr>
    </w:p>
    <w:p w14:paraId="7FC86451" w14:textId="77777777" w:rsidR="007C3FEA" w:rsidRDefault="007C3FEA" w:rsidP="00EC2273">
      <w:pPr>
        <w:spacing w:line="276" w:lineRule="auto"/>
        <w:jc w:val="both"/>
        <w:rPr>
          <w:rFonts w:asciiTheme="majorHAnsi" w:hAnsiTheme="majorHAnsi" w:cstheme="majorHAnsi"/>
        </w:rPr>
      </w:pPr>
    </w:p>
    <w:p w14:paraId="1D01EF88" w14:textId="365798EF" w:rsidR="005D75E0" w:rsidRDefault="005D75E0" w:rsidP="005D75E0">
      <w:pPr>
        <w:spacing w:line="276" w:lineRule="auto"/>
        <w:jc w:val="both"/>
        <w:rPr>
          <w:rFonts w:ascii="Calibri" w:hAnsi="Calibri" w:cs="Calibri"/>
          <w:color w:val="2C2D5B"/>
        </w:rPr>
      </w:pPr>
      <w:r w:rsidRPr="00FF67A2">
        <w:rPr>
          <w:rFonts w:asciiTheme="majorHAnsi" w:hAnsiTheme="majorHAnsi" w:cstheme="majorHAnsi"/>
          <w:color w:val="2C2D5B"/>
        </w:rPr>
        <w:t xml:space="preserve">According to the CJEU, </w:t>
      </w:r>
      <w:r w:rsidRPr="00FF67A2">
        <w:rPr>
          <w:rFonts w:asciiTheme="majorHAnsi" w:hAnsiTheme="majorHAnsi" w:cstheme="majorHAnsi"/>
          <w:b/>
          <w:bCs/>
          <w:color w:val="2C2D5B"/>
        </w:rPr>
        <w:t xml:space="preserve">a provision of the EChFR sufficient by itself to confer a right </w:t>
      </w:r>
      <w:r w:rsidR="005361C5" w:rsidRPr="00FF67A2">
        <w:rPr>
          <w:rFonts w:asciiTheme="majorHAnsi" w:hAnsiTheme="majorHAnsi" w:cstheme="majorHAnsi"/>
          <w:b/>
          <w:bCs/>
          <w:color w:val="2C2D5B"/>
        </w:rPr>
        <w:t>up</w:t>
      </w:r>
      <w:r w:rsidRPr="00FF67A2">
        <w:rPr>
          <w:rFonts w:asciiTheme="majorHAnsi" w:hAnsiTheme="majorHAnsi" w:cstheme="majorHAnsi"/>
          <w:b/>
          <w:bCs/>
          <w:color w:val="2C2D5B"/>
        </w:rPr>
        <w:t>on individuals</w:t>
      </w:r>
      <w:r w:rsidR="005361C5" w:rsidRPr="00FF67A2">
        <w:rPr>
          <w:rFonts w:asciiTheme="majorHAnsi" w:hAnsiTheme="majorHAnsi" w:cstheme="majorHAnsi"/>
          <w:b/>
          <w:bCs/>
          <w:color w:val="2C2D5B"/>
        </w:rPr>
        <w:t>. It</w:t>
      </w:r>
      <w:r w:rsidRPr="00FF67A2">
        <w:rPr>
          <w:rFonts w:asciiTheme="majorHAnsi" w:hAnsiTheme="majorHAnsi" w:cstheme="majorHAnsi"/>
          <w:b/>
          <w:bCs/>
          <w:color w:val="2C2D5B"/>
        </w:rPr>
        <w:t xml:space="preserve"> may be invoked to request the non-application of conflicting national provisions even in proceedings between individuals</w:t>
      </w:r>
      <w:r w:rsidRPr="00FF67A2">
        <w:rPr>
          <w:rFonts w:ascii="Calibri" w:hAnsi="Calibri" w:cs="Calibri"/>
          <w:color w:val="2C2D5B"/>
        </w:rPr>
        <w:t>.</w:t>
      </w:r>
    </w:p>
    <w:p w14:paraId="20BFBC97" w14:textId="7AA45B35" w:rsidR="00EA18D4" w:rsidRDefault="00EA18D4" w:rsidP="005D75E0">
      <w:pPr>
        <w:spacing w:line="276" w:lineRule="auto"/>
        <w:jc w:val="both"/>
        <w:rPr>
          <w:rFonts w:ascii="Calibri" w:hAnsi="Calibri" w:cs="Calibri"/>
          <w:color w:val="2C2D5B"/>
        </w:rPr>
      </w:pPr>
    </w:p>
    <w:p w14:paraId="3E5327D4" w14:textId="0E4C0CBF" w:rsidR="00EA18D4" w:rsidRPr="00FF67A2" w:rsidRDefault="004B2B84" w:rsidP="005D75E0">
      <w:pPr>
        <w:spacing w:line="276" w:lineRule="auto"/>
        <w:jc w:val="both"/>
        <w:rPr>
          <w:rFonts w:ascii="Calibri" w:hAnsi="Calibri" w:cs="Calibri"/>
          <w:color w:val="2C2D5B"/>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20384" behindDoc="0" locked="0" layoutInCell="1" allowOverlap="1" wp14:anchorId="530E7783" wp14:editId="3D142C4F">
            <wp:simplePos x="0" y="0"/>
            <wp:positionH relativeFrom="column">
              <wp:posOffset>4988701</wp:posOffset>
            </wp:positionH>
            <wp:positionV relativeFrom="paragraph">
              <wp:posOffset>50800</wp:posOffset>
            </wp:positionV>
            <wp:extent cx="713105" cy="575310"/>
            <wp:effectExtent l="0" t="0" r="0" b="0"/>
            <wp:wrapNone/>
            <wp:docPr id="965705776"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00EA18D4" w:rsidRPr="00FF67A2">
        <w:rPr>
          <w:rFonts w:asciiTheme="majorHAnsi" w:hAnsiTheme="majorHAnsi" w:cstheme="majorHAnsi"/>
          <w:noProof/>
          <w:color w:val="2C2D5B"/>
        </w:rPr>
        <mc:AlternateContent>
          <mc:Choice Requires="wps">
            <w:drawing>
              <wp:anchor distT="45720" distB="45720" distL="114300" distR="114300" simplePos="0" relativeHeight="251727872" behindDoc="0" locked="0" layoutInCell="1" allowOverlap="1" wp14:anchorId="581BD1AE" wp14:editId="40574FDE">
                <wp:simplePos x="0" y="0"/>
                <wp:positionH relativeFrom="margin">
                  <wp:posOffset>3175</wp:posOffset>
                </wp:positionH>
                <wp:positionV relativeFrom="paragraph">
                  <wp:posOffset>358775</wp:posOffset>
                </wp:positionV>
                <wp:extent cx="5381625" cy="2799080"/>
                <wp:effectExtent l="0" t="0" r="28575" b="20320"/>
                <wp:wrapSquare wrapText="bothSides"/>
                <wp:docPr id="93405087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1625" cy="2799080"/>
                        </a:xfrm>
                        <a:prstGeom prst="roundRect">
                          <a:avLst/>
                        </a:prstGeom>
                        <a:solidFill>
                          <a:schemeClr val="bg1"/>
                        </a:solidFill>
                        <a:ln w="19050">
                          <a:solidFill>
                            <a:srgbClr val="B6A04C"/>
                          </a:solidFill>
                          <a:miter lim="800000"/>
                          <a:headEnd/>
                          <a:tailEnd/>
                        </a:ln>
                      </wps:spPr>
                      <wps:txbx>
                        <w:txbxContent>
                          <w:p w14:paraId="5FBB4EEF" w14:textId="64D6AD59" w:rsidR="00212D87" w:rsidRPr="00FF67A2" w:rsidRDefault="00212D87" w:rsidP="00FF67A2">
                            <w:pPr>
                              <w:spacing w:line="276" w:lineRule="auto"/>
                              <w:jc w:val="center"/>
                              <w:rPr>
                                <w:rFonts w:asciiTheme="minorHAnsi" w:hAnsiTheme="minorHAnsi" w:cstheme="minorHAnsi"/>
                                <w:b/>
                                <w:color w:val="B6A04C"/>
                                <w:sz w:val="20"/>
                                <w:szCs w:val="20"/>
                                <w:lang w:val="de-DE"/>
                              </w:rPr>
                            </w:pPr>
                            <w:hyperlink r:id="rId28" w:history="1">
                              <w:r w:rsidRPr="00FF67A2">
                                <w:rPr>
                                  <w:rStyle w:val="Hypertextovodkaz"/>
                                  <w:rFonts w:asciiTheme="minorHAnsi" w:hAnsiTheme="minorHAnsi" w:cstheme="minorHAnsi"/>
                                  <w:b/>
                                  <w:color w:val="B6A04C"/>
                                  <w:sz w:val="20"/>
                                  <w:szCs w:val="20"/>
                                  <w:lang w:val="de-DE"/>
                                </w:rPr>
                                <w:t xml:space="preserve">CJEU, Grd. Ch., 17 April 2018, </w:t>
                              </w:r>
                              <w:r w:rsidRPr="00FF67A2">
                                <w:rPr>
                                  <w:rStyle w:val="Hypertextovodkaz"/>
                                  <w:rFonts w:asciiTheme="minorHAnsi" w:hAnsiTheme="minorHAnsi" w:cstheme="minorHAnsi"/>
                                  <w:b/>
                                  <w:i/>
                                  <w:color w:val="B6A04C"/>
                                  <w:sz w:val="20"/>
                                  <w:szCs w:val="20"/>
                                  <w:lang w:val="de-DE"/>
                                </w:rPr>
                                <w:t>Van Egenberger v Evangelisches Werk fur Diakonie und Entwicklung ev</w:t>
                              </w:r>
                              <w:r w:rsidRPr="00FF67A2">
                                <w:rPr>
                                  <w:rStyle w:val="Hypertextovodkaz"/>
                                  <w:rFonts w:asciiTheme="minorHAnsi" w:hAnsiTheme="minorHAnsi" w:cstheme="minorHAnsi"/>
                                  <w:b/>
                                  <w:color w:val="B6A04C"/>
                                  <w:sz w:val="20"/>
                                  <w:szCs w:val="20"/>
                                  <w:lang w:val="de-DE"/>
                                </w:rPr>
                                <w:t>, C-414/16, ECLI:EU:C:2018:257</w:t>
                              </w:r>
                            </w:hyperlink>
                          </w:p>
                          <w:p w14:paraId="2FD01040" w14:textId="77777777" w:rsidR="00212D87" w:rsidRPr="00FF67A2" w:rsidRDefault="00212D87" w:rsidP="00212D87">
                            <w:pPr>
                              <w:spacing w:line="276" w:lineRule="auto"/>
                              <w:jc w:val="both"/>
                              <w:rPr>
                                <w:rFonts w:asciiTheme="minorHAnsi" w:hAnsiTheme="minorHAnsi" w:cstheme="minorHAnsi"/>
                                <w:color w:val="2C2D5B"/>
                                <w:sz w:val="20"/>
                                <w:szCs w:val="20"/>
                                <w:lang w:val="de-DE"/>
                              </w:rPr>
                            </w:pPr>
                          </w:p>
                          <w:p w14:paraId="5C0C3087" w14:textId="25AFC10C" w:rsidR="00212D87" w:rsidRPr="00FF67A2" w:rsidRDefault="00212D87" w:rsidP="00212D87">
                            <w:pPr>
                              <w:spacing w:line="276" w:lineRule="auto"/>
                              <w:jc w:val="both"/>
                              <w:rPr>
                                <w:rFonts w:asciiTheme="minorHAnsi" w:hAnsiTheme="minorHAnsi" w:cstheme="minorHAnsi"/>
                                <w:color w:val="2C2D5B"/>
                                <w:sz w:val="20"/>
                                <w:szCs w:val="20"/>
                              </w:rPr>
                            </w:pPr>
                            <w:r w:rsidRPr="00FF67A2">
                              <w:rPr>
                                <w:rFonts w:asciiTheme="minorHAnsi" w:hAnsiTheme="minorHAnsi" w:cstheme="minorHAnsi"/>
                                <w:b/>
                                <w:bCs/>
                                <w:color w:val="2C2D5B"/>
                                <w:sz w:val="20"/>
                                <w:szCs w:val="20"/>
                              </w:rPr>
                              <w:t>Key Point</w:t>
                            </w:r>
                            <w:r w:rsidRPr="00FF67A2">
                              <w:rPr>
                                <w:rFonts w:asciiTheme="minorHAnsi" w:hAnsiTheme="minorHAnsi" w:cstheme="minorHAnsi"/>
                                <w:color w:val="2C2D5B"/>
                                <w:sz w:val="20"/>
                                <w:szCs w:val="20"/>
                              </w:rPr>
                              <w:t xml:space="preserve">: The Charter can be use directly by a private party against another. </w:t>
                            </w:r>
                          </w:p>
                          <w:p w14:paraId="4A0F710C" w14:textId="77777777" w:rsidR="00212D87" w:rsidRPr="00FF67A2" w:rsidRDefault="00212D87" w:rsidP="00212D87">
                            <w:pPr>
                              <w:spacing w:line="276" w:lineRule="auto"/>
                              <w:jc w:val="both"/>
                              <w:rPr>
                                <w:rFonts w:asciiTheme="minorHAnsi" w:hAnsiTheme="minorHAnsi" w:cstheme="minorHAnsi"/>
                                <w:color w:val="2C2D5B"/>
                                <w:sz w:val="20"/>
                                <w:szCs w:val="20"/>
                              </w:rPr>
                            </w:pPr>
                          </w:p>
                          <w:p w14:paraId="4C7F2434" w14:textId="7E65BC29" w:rsidR="00212D87" w:rsidRPr="00FF67A2" w:rsidRDefault="00212D87" w:rsidP="00212D87">
                            <w:pPr>
                              <w:spacing w:line="276" w:lineRule="auto"/>
                              <w:jc w:val="both"/>
                              <w:rPr>
                                <w:rFonts w:asciiTheme="minorHAnsi" w:hAnsiTheme="minorHAnsi" w:cstheme="minorHAnsi"/>
                                <w:color w:val="2C2D5B"/>
                                <w:sz w:val="20"/>
                                <w:szCs w:val="20"/>
                              </w:rPr>
                            </w:pPr>
                            <w:r w:rsidRPr="00FF67A2">
                              <w:rPr>
                                <w:rFonts w:asciiTheme="minorHAnsi" w:hAnsiTheme="minorHAnsi" w:cstheme="minorHAnsi"/>
                                <w:b/>
                                <w:bCs/>
                                <w:color w:val="2C2D5B"/>
                                <w:sz w:val="20"/>
                                <w:szCs w:val="20"/>
                              </w:rPr>
                              <w:t>Facts</w:t>
                            </w:r>
                            <w:r w:rsidR="00FF67A2" w:rsidRPr="00FF67A2">
                              <w:rPr>
                                <w:rFonts w:asciiTheme="minorHAnsi" w:hAnsiTheme="minorHAnsi" w:cstheme="minorHAnsi"/>
                                <w:b/>
                                <w:bCs/>
                                <w:color w:val="2C2D5B"/>
                                <w:sz w:val="20"/>
                                <w:szCs w:val="20"/>
                              </w:rPr>
                              <w:t xml:space="preserve"> </w:t>
                            </w:r>
                            <w:r w:rsidRPr="00FF67A2">
                              <w:rPr>
                                <w:rFonts w:asciiTheme="minorHAnsi" w:hAnsiTheme="minorHAnsi" w:cstheme="minorHAnsi"/>
                                <w:b/>
                                <w:bCs/>
                                <w:color w:val="2C2D5B"/>
                                <w:sz w:val="20"/>
                                <w:szCs w:val="20"/>
                              </w:rPr>
                              <w:t xml:space="preserve">: </w:t>
                            </w:r>
                            <w:r w:rsidRPr="00FF67A2">
                              <w:rPr>
                                <w:rFonts w:asciiTheme="minorHAnsi" w:hAnsiTheme="minorHAnsi" w:cstheme="minorHAnsi"/>
                                <w:color w:val="2C2D5B"/>
                                <w:sz w:val="20"/>
                                <w:szCs w:val="20"/>
                              </w:rPr>
                              <w:t xml:space="preserve">This case involved a claim by Ms Egenberger for compensation for discrimination on grounds of religion allegedly suffered by her in a recruitment process. </w:t>
                            </w:r>
                          </w:p>
                          <w:p w14:paraId="06624479" w14:textId="77777777" w:rsidR="00511DE5" w:rsidRPr="00FF67A2" w:rsidRDefault="00511DE5" w:rsidP="00212D87">
                            <w:pPr>
                              <w:spacing w:line="276" w:lineRule="auto"/>
                              <w:jc w:val="both"/>
                              <w:rPr>
                                <w:rFonts w:asciiTheme="minorHAnsi" w:hAnsiTheme="minorHAnsi" w:cstheme="minorHAnsi"/>
                                <w:color w:val="2C2D5B"/>
                                <w:sz w:val="20"/>
                                <w:szCs w:val="20"/>
                              </w:rPr>
                            </w:pPr>
                          </w:p>
                          <w:p w14:paraId="4F0FE534" w14:textId="795CF667" w:rsidR="00511DE5" w:rsidRPr="00FF67A2" w:rsidRDefault="00D97D5D" w:rsidP="00212D87">
                            <w:pPr>
                              <w:spacing w:line="276" w:lineRule="auto"/>
                              <w:jc w:val="both"/>
                              <w:rPr>
                                <w:rFonts w:asciiTheme="minorHAnsi" w:hAnsiTheme="minorHAnsi" w:cstheme="minorHAnsi"/>
                                <w:b/>
                                <w:bCs/>
                                <w:color w:val="2C2D5B"/>
                                <w:sz w:val="20"/>
                                <w:szCs w:val="20"/>
                              </w:rPr>
                            </w:pPr>
                            <w:r w:rsidRPr="00FF67A2">
                              <w:rPr>
                                <w:rFonts w:asciiTheme="minorHAnsi" w:hAnsiTheme="minorHAnsi" w:cstheme="minorHAnsi"/>
                                <w:b/>
                                <w:bCs/>
                                <w:color w:val="2C2D5B"/>
                                <w:sz w:val="20"/>
                                <w:szCs w:val="20"/>
                              </w:rPr>
                              <w:t>Ruling</w:t>
                            </w:r>
                            <w:r w:rsidR="00FF67A2" w:rsidRPr="00FF67A2">
                              <w:rPr>
                                <w:rFonts w:asciiTheme="minorHAnsi" w:hAnsiTheme="minorHAnsi" w:cstheme="minorHAnsi"/>
                                <w:b/>
                                <w:bCs/>
                                <w:color w:val="2C2D5B"/>
                                <w:sz w:val="20"/>
                                <w:szCs w:val="20"/>
                              </w:rPr>
                              <w:t xml:space="preserve"> </w:t>
                            </w:r>
                            <w:r w:rsidR="00511DE5" w:rsidRPr="00FF67A2">
                              <w:rPr>
                                <w:rFonts w:asciiTheme="minorHAnsi" w:hAnsiTheme="minorHAnsi" w:cstheme="minorHAnsi"/>
                                <w:b/>
                                <w:bCs/>
                                <w:color w:val="2C2D5B"/>
                                <w:sz w:val="20"/>
                                <w:szCs w:val="20"/>
                              </w:rPr>
                              <w:t xml:space="preserve">: </w:t>
                            </w:r>
                          </w:p>
                          <w:p w14:paraId="77E13918" w14:textId="1FF0681C" w:rsidR="00212D87" w:rsidRPr="00FF67A2" w:rsidRDefault="00212D87" w:rsidP="00212D87">
                            <w:pPr>
                              <w:spacing w:line="276" w:lineRule="auto"/>
                              <w:jc w:val="both"/>
                              <w:rPr>
                                <w:rFonts w:asciiTheme="minorHAnsi" w:hAnsiTheme="minorHAnsi" w:cstheme="minorHAnsi"/>
                                <w:color w:val="2C2D5B"/>
                                <w:sz w:val="20"/>
                                <w:szCs w:val="20"/>
                              </w:rPr>
                            </w:pPr>
                            <w:r w:rsidRPr="00FF67A2">
                              <w:rPr>
                                <w:rFonts w:asciiTheme="minorHAnsi" w:hAnsiTheme="minorHAnsi" w:cstheme="minorHAnsi"/>
                                <w:color w:val="2C2D5B"/>
                                <w:sz w:val="20"/>
                                <w:szCs w:val="20"/>
                              </w:rPr>
                              <w:t xml:space="preserve">The prohibition of discrimination on grounds of religion or belief is mandatory as a general principle of EU law. That prohibition, which is laid down in Article 21(1) of the Charter, is sufficient in itself to confer </w:t>
                            </w:r>
                            <w:r w:rsidR="00511DE5" w:rsidRPr="00FF67A2">
                              <w:rPr>
                                <w:rFonts w:asciiTheme="minorHAnsi" w:hAnsiTheme="minorHAnsi" w:cstheme="minorHAnsi"/>
                                <w:color w:val="2C2D5B"/>
                                <w:sz w:val="20"/>
                                <w:szCs w:val="20"/>
                              </w:rPr>
                              <w:t xml:space="preserve">a right that individuals </w:t>
                            </w:r>
                            <w:r w:rsidRPr="00FF67A2">
                              <w:rPr>
                                <w:rFonts w:asciiTheme="minorHAnsi" w:hAnsiTheme="minorHAnsi" w:cstheme="minorHAnsi"/>
                                <w:color w:val="2C2D5B"/>
                                <w:sz w:val="20"/>
                                <w:szCs w:val="20"/>
                              </w:rPr>
                              <w:t>may rely on</w:t>
                            </w:r>
                            <w:r w:rsidR="00511DE5" w:rsidRPr="00FF67A2">
                              <w:rPr>
                                <w:rFonts w:asciiTheme="minorHAnsi" w:hAnsiTheme="minorHAnsi" w:cstheme="minorHAnsi"/>
                                <w:color w:val="2C2D5B"/>
                                <w:sz w:val="20"/>
                                <w:szCs w:val="20"/>
                              </w:rPr>
                              <w:t xml:space="preserve"> in</w:t>
                            </w:r>
                            <w:r w:rsidRPr="00FF67A2">
                              <w:rPr>
                                <w:rFonts w:asciiTheme="minorHAnsi" w:hAnsiTheme="minorHAnsi" w:cstheme="minorHAnsi"/>
                                <w:color w:val="2C2D5B"/>
                                <w:sz w:val="20"/>
                                <w:szCs w:val="20"/>
                              </w:rPr>
                              <w:t xml:space="preserve"> disputes covered by EU law (see, with respect to the principle of non-discrimination on grounds of age</w:t>
                            </w:r>
                            <w:r w:rsidR="00511DE5" w:rsidRPr="00FF67A2">
                              <w:rPr>
                                <w:rFonts w:asciiTheme="minorHAnsi" w:hAnsiTheme="minorHAnsi" w:cstheme="minorHAnsi"/>
                                <w:color w:val="2C2D5B"/>
                                <w:sz w:val="20"/>
                                <w:szCs w:val="20"/>
                              </w:rPr>
                              <w:t>)</w:t>
                            </w:r>
                            <w:r w:rsidR="00FF67A2" w:rsidRPr="00FF67A2">
                              <w:rPr>
                                <w:rFonts w:asciiTheme="minorHAnsi" w:hAnsiTheme="minorHAnsi" w:cstheme="minorHAnsi"/>
                                <w:color w:val="2C2D5B"/>
                                <w:sz w:val="20"/>
                                <w:szCs w:val="20"/>
                              </w:rPr>
                              <w:t>.</w:t>
                            </w:r>
                          </w:p>
                          <w:p w14:paraId="677A8C5C" w14:textId="77777777" w:rsidR="00511DE5" w:rsidRPr="00327D5A" w:rsidRDefault="00511DE5" w:rsidP="00212D87">
                            <w:pPr>
                              <w:spacing w:line="276" w:lineRule="auto"/>
                              <w:jc w:val="both"/>
                              <w:rPr>
                                <w:rFonts w:asciiTheme="minorHAnsi" w:hAnsiTheme="minorHAnsi" w:cstheme="minorHAnsi"/>
                                <w:b/>
                                <w:bCs/>
                                <w:sz w:val="20"/>
                                <w:szCs w:val="20"/>
                              </w:rPr>
                            </w:pPr>
                          </w:p>
                          <w:p w14:paraId="707C9FDB" w14:textId="3BB6C1B6" w:rsidR="00212D87" w:rsidRPr="00B53E64" w:rsidRDefault="00212D87" w:rsidP="00212D87"/>
                          <w:p w14:paraId="195F123B" w14:textId="77777777" w:rsidR="00212D87" w:rsidRPr="00B53E64" w:rsidRDefault="00212D87"/>
                          <w:p w14:paraId="03660025" w14:textId="77777777" w:rsidR="00212D87" w:rsidRPr="00B53E64" w:rsidRDefault="00212D87"/>
                          <w:p w14:paraId="766D9FD2" w14:textId="77777777" w:rsidR="00212D87" w:rsidRPr="00B53E64" w:rsidRDefault="00212D87"/>
                          <w:p w14:paraId="409AEE51" w14:textId="77777777" w:rsidR="00212D87" w:rsidRPr="00B53E64" w:rsidRDefault="00212D87"/>
                          <w:p w14:paraId="67608639" w14:textId="77777777" w:rsidR="00212D87" w:rsidRPr="00B53E64" w:rsidRDefault="00212D87"/>
                          <w:p w14:paraId="2D5805DC" w14:textId="77777777" w:rsidR="00212D87" w:rsidRPr="00B53E64" w:rsidRDefault="00212D87"/>
                          <w:p w14:paraId="4AD773E9" w14:textId="77777777" w:rsidR="00212D87" w:rsidRPr="00B53E64" w:rsidRDefault="00212D87"/>
                          <w:p w14:paraId="6258102A" w14:textId="77777777" w:rsidR="00212D87" w:rsidRPr="00B53E64" w:rsidRDefault="00212D87"/>
                          <w:p w14:paraId="1808C3EA" w14:textId="77777777" w:rsidR="00212D87" w:rsidRPr="00B53E64" w:rsidRDefault="00212D87"/>
                          <w:p w14:paraId="7D130FE6" w14:textId="77777777" w:rsidR="00212D87" w:rsidRPr="00B53E64" w:rsidRDefault="00212D87"/>
                          <w:p w14:paraId="038177D2" w14:textId="77777777" w:rsidR="00212D87" w:rsidRPr="00B53E64" w:rsidRDefault="00212D87"/>
                          <w:p w14:paraId="2686BC77" w14:textId="77777777" w:rsidR="00212D87" w:rsidRPr="00B53E64" w:rsidRDefault="00212D87"/>
                          <w:p w14:paraId="7ECEEE44" w14:textId="77777777" w:rsidR="00212D87" w:rsidRPr="00B53E64" w:rsidRDefault="00212D87"/>
                          <w:p w14:paraId="6A5CDAE5" w14:textId="77777777" w:rsidR="00212D87" w:rsidRPr="00B53E64" w:rsidRDefault="00212D8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581BD1AE" id="_x0000_s1039" style="position:absolute;left:0;text-align:left;margin-left:.25pt;margin-top:28.25pt;width:423.75pt;height:220.4pt;z-index:2517278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XNCJAIAAC0EAAAOAAAAZHJzL2Uyb0RvYy54bWysU9tu2zAMfR+wfxD0vthJkzQx4hRpug4D&#10;ugvW7QNkSY6FyaImKbHbrx8lp2mWvQ3zg0Ca0iF5eLi66VtNDtJ5Baak41FOiTQchDK7kv74fv9u&#10;QYkPzAimwciSPklPb9Zv36w6W8gJNKCFdARBjC86W9ImBFtkmeeNbJkfgZUGgzW4lgV03S4TjnWI&#10;3upskufzrAMnrAMuvce/d0OQrhN+XUsevtS1l4HokmJtIZ0unVU8s/WKFTvHbKP4sQz2D1W0TBlM&#10;eoK6Y4GRvVN/QbWKO/BQhxGHNoO6VlymHrCbcX7RzWPDrEy9IDnenmjy/w+Wfz482q+OhP4Wehxg&#10;asLbB+A/PTGwbZjZyY1z0DWSCUw8jpRlnfXF8Wmk2hc+glTdJxA4ZLYPkID62rWRFeyTIDoO4OlE&#10;uuwD4fhzdrUYzyczSjjGJtfLZb5IY8lY8fLcOh8+SGhJNErqYG/ENxxtysEODz7Emljxci+m9KCV&#10;uFdaJyfKSW61IweGQqh2QxcXt7QhHTa4zGf5QMMfEG5XnQBu55t8uk1MXGC0KqCetWpLusjjNygs&#10;kvfeiKS2wJQebCxZmyObkcCBytBXPVECK7mKjyO7FYgn5NfBoF/cNzQacM+UdKjdkvpfe+YkJfqj&#10;wRktx9NpFHtyprPrCTruPFKdR5jhCFXSQMlgbkNakEicgQ3OslaJ4NdKjjWjJhPvx/2Joj/3063X&#10;LV//BgAA//8DAFBLAwQUAAYACAAAACEAyw5cy9wAAAAHAQAADwAAAGRycy9kb3ducmV2LnhtbEyP&#10;MU/DMBCFdyT+g3VIbNQB0uKGOFVUiYWtoQxsTnwkgfgcxW4a/j3HRJc7nd7Tu+/lu8UNYsYp9J40&#10;3K8SEEiNtz21Go5vL3cKRIiGrBk8oYYfDLArrq9yk1l/pgPOVWwFh1DIjIYuxjGTMjQdOhNWfkRi&#10;7dNPzkQ+p1bayZw53A3yIUk20pme+ENnRtx32HxXJ6dhPh7Wpdp/pFX3Lr+2r6WqlVNa394s5TOI&#10;iEv8N8MfPqNDwUy1P5ENYtCwZh/PDW9WVaq4Wa0h3T49gixyeclf/AIAAP//AwBQSwECLQAUAAYA&#10;CAAAACEAtoM4kv4AAADhAQAAEwAAAAAAAAAAAAAAAAAAAAAAW0NvbnRlbnRfVHlwZXNdLnhtbFBL&#10;AQItABQABgAIAAAAIQA4/SH/1gAAAJQBAAALAAAAAAAAAAAAAAAAAC8BAABfcmVscy8ucmVsc1BL&#10;AQItABQABgAIAAAAIQDJlXNCJAIAAC0EAAAOAAAAAAAAAAAAAAAAAC4CAABkcnMvZTJvRG9jLnht&#10;bFBLAQItABQABgAIAAAAIQDLDlzL3AAAAAcBAAAPAAAAAAAAAAAAAAAAAH4EAABkcnMvZG93bnJl&#10;di54bWxQSwUGAAAAAAQABADzAAAAhwUAAAAA&#10;" fillcolor="white [3212]" strokecolor="#b6a04c" strokeweight="1.5pt">
                <v:stroke joinstyle="miter"/>
                <v:textbox>
                  <w:txbxContent>
                    <w:p w14:paraId="5FBB4EEF" w14:textId="64D6AD59" w:rsidR="00212D87" w:rsidRPr="00FF67A2" w:rsidRDefault="00212D87" w:rsidP="00FF67A2">
                      <w:pPr>
                        <w:spacing w:line="276" w:lineRule="auto"/>
                        <w:jc w:val="center"/>
                        <w:rPr>
                          <w:rFonts w:asciiTheme="minorHAnsi" w:hAnsiTheme="minorHAnsi" w:cstheme="minorHAnsi"/>
                          <w:b/>
                          <w:color w:val="B6A04C"/>
                          <w:sz w:val="20"/>
                          <w:szCs w:val="20"/>
                          <w:lang w:val="de-DE"/>
                        </w:rPr>
                      </w:pPr>
                      <w:r>
                        <w:fldChar w:fldCharType="begin"/>
                      </w:r>
                      <w:r w:rsidRPr="00E57DB6">
                        <w:rPr>
                          <w:lang w:val="de-DE"/>
                        </w:rPr>
                        <w:instrText>HYPERLINK "https://eur-lex.europa.eu/legal-content/FR/TXT/?uri=CELEX%3A62016CJ0414"</w:instrText>
                      </w:r>
                      <w:r>
                        <w:fldChar w:fldCharType="separate"/>
                      </w:r>
                      <w:r w:rsidRPr="00FF67A2">
                        <w:rPr>
                          <w:rStyle w:val="Lienhypertexte"/>
                          <w:rFonts w:asciiTheme="minorHAnsi" w:hAnsiTheme="minorHAnsi" w:cstheme="minorHAnsi"/>
                          <w:b/>
                          <w:color w:val="B6A04C"/>
                          <w:sz w:val="20"/>
                          <w:szCs w:val="20"/>
                          <w:lang w:val="de-DE"/>
                        </w:rPr>
                        <w:t xml:space="preserve">CJEU, Grd. Ch., 17 April 2018, </w:t>
                      </w:r>
                      <w:r w:rsidRPr="00FF67A2">
                        <w:rPr>
                          <w:rStyle w:val="Lienhypertexte"/>
                          <w:rFonts w:asciiTheme="minorHAnsi" w:hAnsiTheme="minorHAnsi" w:cstheme="minorHAnsi"/>
                          <w:b/>
                          <w:i/>
                          <w:color w:val="B6A04C"/>
                          <w:sz w:val="20"/>
                          <w:szCs w:val="20"/>
                          <w:lang w:val="de-DE"/>
                        </w:rPr>
                        <w:t>Van Egenberger v Evangelisches Werk fur Diakonie und Entwicklung ev</w:t>
                      </w:r>
                      <w:r w:rsidRPr="00FF67A2">
                        <w:rPr>
                          <w:rStyle w:val="Lienhypertexte"/>
                          <w:rFonts w:asciiTheme="minorHAnsi" w:hAnsiTheme="minorHAnsi" w:cstheme="minorHAnsi"/>
                          <w:b/>
                          <w:color w:val="B6A04C"/>
                          <w:sz w:val="20"/>
                          <w:szCs w:val="20"/>
                          <w:lang w:val="de-DE"/>
                        </w:rPr>
                        <w:t>, C-414/16, ECLI:EU:C:2018:257</w:t>
                      </w:r>
                      <w:r>
                        <w:fldChar w:fldCharType="end"/>
                      </w:r>
                    </w:p>
                    <w:p w14:paraId="2FD01040" w14:textId="77777777" w:rsidR="00212D87" w:rsidRPr="00FF67A2" w:rsidRDefault="00212D87" w:rsidP="00212D87">
                      <w:pPr>
                        <w:spacing w:line="276" w:lineRule="auto"/>
                        <w:jc w:val="both"/>
                        <w:rPr>
                          <w:rFonts w:asciiTheme="minorHAnsi" w:hAnsiTheme="minorHAnsi" w:cstheme="minorHAnsi"/>
                          <w:color w:val="2C2D5B"/>
                          <w:sz w:val="20"/>
                          <w:szCs w:val="20"/>
                          <w:lang w:val="de-DE"/>
                        </w:rPr>
                      </w:pPr>
                    </w:p>
                    <w:p w14:paraId="5C0C3087" w14:textId="25AFC10C" w:rsidR="00212D87" w:rsidRPr="00FF67A2" w:rsidRDefault="00212D87" w:rsidP="00212D87">
                      <w:pPr>
                        <w:spacing w:line="276" w:lineRule="auto"/>
                        <w:jc w:val="both"/>
                        <w:rPr>
                          <w:rFonts w:asciiTheme="minorHAnsi" w:hAnsiTheme="minorHAnsi" w:cstheme="minorHAnsi"/>
                          <w:color w:val="2C2D5B"/>
                          <w:sz w:val="20"/>
                          <w:szCs w:val="20"/>
                        </w:rPr>
                      </w:pPr>
                      <w:r w:rsidRPr="00FF67A2">
                        <w:rPr>
                          <w:rFonts w:asciiTheme="minorHAnsi" w:hAnsiTheme="minorHAnsi" w:cstheme="minorHAnsi"/>
                          <w:b/>
                          <w:bCs/>
                          <w:color w:val="2C2D5B"/>
                          <w:sz w:val="20"/>
                          <w:szCs w:val="20"/>
                        </w:rPr>
                        <w:t>Key Point</w:t>
                      </w:r>
                      <w:r w:rsidRPr="00FF67A2">
                        <w:rPr>
                          <w:rFonts w:asciiTheme="minorHAnsi" w:hAnsiTheme="minorHAnsi" w:cstheme="minorHAnsi"/>
                          <w:color w:val="2C2D5B"/>
                          <w:sz w:val="20"/>
                          <w:szCs w:val="20"/>
                        </w:rPr>
                        <w:t xml:space="preserve">: The Charter can be use directly by a private party against another. </w:t>
                      </w:r>
                    </w:p>
                    <w:p w14:paraId="4A0F710C" w14:textId="77777777" w:rsidR="00212D87" w:rsidRPr="00FF67A2" w:rsidRDefault="00212D87" w:rsidP="00212D87">
                      <w:pPr>
                        <w:spacing w:line="276" w:lineRule="auto"/>
                        <w:jc w:val="both"/>
                        <w:rPr>
                          <w:rFonts w:asciiTheme="minorHAnsi" w:hAnsiTheme="minorHAnsi" w:cstheme="minorHAnsi"/>
                          <w:color w:val="2C2D5B"/>
                          <w:sz w:val="20"/>
                          <w:szCs w:val="20"/>
                        </w:rPr>
                      </w:pPr>
                    </w:p>
                    <w:p w14:paraId="4C7F2434" w14:textId="7E65BC29" w:rsidR="00212D87" w:rsidRPr="00FF67A2" w:rsidRDefault="00212D87" w:rsidP="00212D87">
                      <w:pPr>
                        <w:spacing w:line="276" w:lineRule="auto"/>
                        <w:jc w:val="both"/>
                        <w:rPr>
                          <w:rFonts w:asciiTheme="minorHAnsi" w:hAnsiTheme="minorHAnsi" w:cstheme="minorHAnsi"/>
                          <w:color w:val="2C2D5B"/>
                          <w:sz w:val="20"/>
                          <w:szCs w:val="20"/>
                        </w:rPr>
                      </w:pPr>
                      <w:r w:rsidRPr="00FF67A2">
                        <w:rPr>
                          <w:rFonts w:asciiTheme="minorHAnsi" w:hAnsiTheme="minorHAnsi" w:cstheme="minorHAnsi"/>
                          <w:b/>
                          <w:bCs/>
                          <w:color w:val="2C2D5B"/>
                          <w:sz w:val="20"/>
                          <w:szCs w:val="20"/>
                        </w:rPr>
                        <w:t>Facts</w:t>
                      </w:r>
                      <w:r w:rsidR="00FF67A2" w:rsidRPr="00FF67A2">
                        <w:rPr>
                          <w:rFonts w:asciiTheme="minorHAnsi" w:hAnsiTheme="minorHAnsi" w:cstheme="minorHAnsi"/>
                          <w:b/>
                          <w:bCs/>
                          <w:color w:val="2C2D5B"/>
                          <w:sz w:val="20"/>
                          <w:szCs w:val="20"/>
                        </w:rPr>
                        <w:t xml:space="preserve"> </w:t>
                      </w:r>
                      <w:r w:rsidRPr="00FF67A2">
                        <w:rPr>
                          <w:rFonts w:asciiTheme="minorHAnsi" w:hAnsiTheme="minorHAnsi" w:cstheme="minorHAnsi"/>
                          <w:b/>
                          <w:bCs/>
                          <w:color w:val="2C2D5B"/>
                          <w:sz w:val="20"/>
                          <w:szCs w:val="20"/>
                        </w:rPr>
                        <w:t xml:space="preserve">: </w:t>
                      </w:r>
                      <w:r w:rsidRPr="00FF67A2">
                        <w:rPr>
                          <w:rFonts w:asciiTheme="minorHAnsi" w:hAnsiTheme="minorHAnsi" w:cstheme="minorHAnsi"/>
                          <w:color w:val="2C2D5B"/>
                          <w:sz w:val="20"/>
                          <w:szCs w:val="20"/>
                        </w:rPr>
                        <w:t xml:space="preserve">This case involved a claim by Ms Egenberger for compensation for discrimination on grounds of religion allegedly suffered by her in a recruitment process. </w:t>
                      </w:r>
                    </w:p>
                    <w:p w14:paraId="06624479" w14:textId="77777777" w:rsidR="00511DE5" w:rsidRPr="00FF67A2" w:rsidRDefault="00511DE5" w:rsidP="00212D87">
                      <w:pPr>
                        <w:spacing w:line="276" w:lineRule="auto"/>
                        <w:jc w:val="both"/>
                        <w:rPr>
                          <w:rFonts w:asciiTheme="minorHAnsi" w:hAnsiTheme="minorHAnsi" w:cstheme="minorHAnsi"/>
                          <w:color w:val="2C2D5B"/>
                          <w:sz w:val="20"/>
                          <w:szCs w:val="20"/>
                        </w:rPr>
                      </w:pPr>
                    </w:p>
                    <w:p w14:paraId="4F0FE534" w14:textId="795CF667" w:rsidR="00511DE5" w:rsidRPr="00FF67A2" w:rsidRDefault="00D97D5D" w:rsidP="00212D87">
                      <w:pPr>
                        <w:spacing w:line="276" w:lineRule="auto"/>
                        <w:jc w:val="both"/>
                        <w:rPr>
                          <w:rFonts w:asciiTheme="minorHAnsi" w:hAnsiTheme="minorHAnsi" w:cstheme="minorHAnsi"/>
                          <w:b/>
                          <w:bCs/>
                          <w:color w:val="2C2D5B"/>
                          <w:sz w:val="20"/>
                          <w:szCs w:val="20"/>
                        </w:rPr>
                      </w:pPr>
                      <w:r w:rsidRPr="00FF67A2">
                        <w:rPr>
                          <w:rFonts w:asciiTheme="minorHAnsi" w:hAnsiTheme="minorHAnsi" w:cstheme="minorHAnsi"/>
                          <w:b/>
                          <w:bCs/>
                          <w:color w:val="2C2D5B"/>
                          <w:sz w:val="20"/>
                          <w:szCs w:val="20"/>
                        </w:rPr>
                        <w:t>Ruling</w:t>
                      </w:r>
                      <w:r w:rsidR="00FF67A2" w:rsidRPr="00FF67A2">
                        <w:rPr>
                          <w:rFonts w:asciiTheme="minorHAnsi" w:hAnsiTheme="minorHAnsi" w:cstheme="minorHAnsi"/>
                          <w:b/>
                          <w:bCs/>
                          <w:color w:val="2C2D5B"/>
                          <w:sz w:val="20"/>
                          <w:szCs w:val="20"/>
                        </w:rPr>
                        <w:t xml:space="preserve"> </w:t>
                      </w:r>
                      <w:r w:rsidR="00511DE5" w:rsidRPr="00FF67A2">
                        <w:rPr>
                          <w:rFonts w:asciiTheme="minorHAnsi" w:hAnsiTheme="minorHAnsi" w:cstheme="minorHAnsi"/>
                          <w:b/>
                          <w:bCs/>
                          <w:color w:val="2C2D5B"/>
                          <w:sz w:val="20"/>
                          <w:szCs w:val="20"/>
                        </w:rPr>
                        <w:t xml:space="preserve">: </w:t>
                      </w:r>
                    </w:p>
                    <w:p w14:paraId="77E13918" w14:textId="1FF0681C" w:rsidR="00212D87" w:rsidRPr="00FF67A2" w:rsidRDefault="00212D87" w:rsidP="00212D87">
                      <w:pPr>
                        <w:spacing w:line="276" w:lineRule="auto"/>
                        <w:jc w:val="both"/>
                        <w:rPr>
                          <w:rFonts w:asciiTheme="minorHAnsi" w:hAnsiTheme="minorHAnsi" w:cstheme="minorHAnsi"/>
                          <w:color w:val="2C2D5B"/>
                          <w:sz w:val="20"/>
                          <w:szCs w:val="20"/>
                        </w:rPr>
                      </w:pPr>
                      <w:r w:rsidRPr="00FF67A2">
                        <w:rPr>
                          <w:rFonts w:asciiTheme="minorHAnsi" w:hAnsiTheme="minorHAnsi" w:cstheme="minorHAnsi"/>
                          <w:color w:val="2C2D5B"/>
                          <w:sz w:val="20"/>
                          <w:szCs w:val="20"/>
                        </w:rPr>
                        <w:t xml:space="preserve">The prohibition of discrimination on grounds of religion or belief is mandatory as a general principle of EU law. That prohibition, which is laid down in Article 21(1) of the Charter, is sufficient in itself to confer </w:t>
                      </w:r>
                      <w:r w:rsidR="00511DE5" w:rsidRPr="00FF67A2">
                        <w:rPr>
                          <w:rFonts w:asciiTheme="minorHAnsi" w:hAnsiTheme="minorHAnsi" w:cstheme="minorHAnsi"/>
                          <w:color w:val="2C2D5B"/>
                          <w:sz w:val="20"/>
                          <w:szCs w:val="20"/>
                        </w:rPr>
                        <w:t xml:space="preserve">a right that individuals </w:t>
                      </w:r>
                      <w:r w:rsidRPr="00FF67A2">
                        <w:rPr>
                          <w:rFonts w:asciiTheme="minorHAnsi" w:hAnsiTheme="minorHAnsi" w:cstheme="minorHAnsi"/>
                          <w:color w:val="2C2D5B"/>
                          <w:sz w:val="20"/>
                          <w:szCs w:val="20"/>
                        </w:rPr>
                        <w:t>may rely on</w:t>
                      </w:r>
                      <w:r w:rsidR="00511DE5" w:rsidRPr="00FF67A2">
                        <w:rPr>
                          <w:rFonts w:asciiTheme="minorHAnsi" w:hAnsiTheme="minorHAnsi" w:cstheme="minorHAnsi"/>
                          <w:color w:val="2C2D5B"/>
                          <w:sz w:val="20"/>
                          <w:szCs w:val="20"/>
                        </w:rPr>
                        <w:t xml:space="preserve"> in</w:t>
                      </w:r>
                      <w:r w:rsidRPr="00FF67A2">
                        <w:rPr>
                          <w:rFonts w:asciiTheme="minorHAnsi" w:hAnsiTheme="minorHAnsi" w:cstheme="minorHAnsi"/>
                          <w:color w:val="2C2D5B"/>
                          <w:sz w:val="20"/>
                          <w:szCs w:val="20"/>
                        </w:rPr>
                        <w:t xml:space="preserve"> disputes covered by EU law (see, with respect to the principle of non-discrimination on grounds of age</w:t>
                      </w:r>
                      <w:r w:rsidR="00511DE5" w:rsidRPr="00FF67A2">
                        <w:rPr>
                          <w:rFonts w:asciiTheme="minorHAnsi" w:hAnsiTheme="minorHAnsi" w:cstheme="minorHAnsi"/>
                          <w:color w:val="2C2D5B"/>
                          <w:sz w:val="20"/>
                          <w:szCs w:val="20"/>
                        </w:rPr>
                        <w:t>)</w:t>
                      </w:r>
                      <w:r w:rsidR="00FF67A2" w:rsidRPr="00FF67A2">
                        <w:rPr>
                          <w:rFonts w:asciiTheme="minorHAnsi" w:hAnsiTheme="minorHAnsi" w:cstheme="minorHAnsi"/>
                          <w:color w:val="2C2D5B"/>
                          <w:sz w:val="20"/>
                          <w:szCs w:val="20"/>
                        </w:rPr>
                        <w:t>.</w:t>
                      </w:r>
                    </w:p>
                    <w:p w14:paraId="677A8C5C" w14:textId="77777777" w:rsidR="00511DE5" w:rsidRPr="00327D5A" w:rsidRDefault="00511DE5" w:rsidP="00212D87">
                      <w:pPr>
                        <w:spacing w:line="276" w:lineRule="auto"/>
                        <w:jc w:val="both"/>
                        <w:rPr>
                          <w:rFonts w:asciiTheme="minorHAnsi" w:hAnsiTheme="minorHAnsi" w:cstheme="minorHAnsi"/>
                          <w:b/>
                          <w:bCs/>
                          <w:sz w:val="20"/>
                          <w:szCs w:val="20"/>
                        </w:rPr>
                      </w:pPr>
                    </w:p>
                    <w:p w14:paraId="707C9FDB" w14:textId="3BB6C1B6" w:rsidR="00212D87" w:rsidRPr="00B53E64" w:rsidRDefault="00212D87" w:rsidP="00212D87"/>
                    <w:p w14:paraId="195F123B" w14:textId="77777777" w:rsidR="00212D87" w:rsidRPr="00B53E64" w:rsidRDefault="00212D87"/>
                    <w:p w14:paraId="03660025" w14:textId="77777777" w:rsidR="00212D87" w:rsidRPr="00B53E64" w:rsidRDefault="00212D87"/>
                    <w:p w14:paraId="766D9FD2" w14:textId="77777777" w:rsidR="00212D87" w:rsidRPr="00B53E64" w:rsidRDefault="00212D87"/>
                    <w:p w14:paraId="409AEE51" w14:textId="77777777" w:rsidR="00212D87" w:rsidRPr="00B53E64" w:rsidRDefault="00212D87"/>
                    <w:p w14:paraId="67608639" w14:textId="77777777" w:rsidR="00212D87" w:rsidRPr="00B53E64" w:rsidRDefault="00212D87"/>
                    <w:p w14:paraId="2D5805DC" w14:textId="77777777" w:rsidR="00212D87" w:rsidRPr="00B53E64" w:rsidRDefault="00212D87"/>
                    <w:p w14:paraId="4AD773E9" w14:textId="77777777" w:rsidR="00212D87" w:rsidRPr="00B53E64" w:rsidRDefault="00212D87"/>
                    <w:p w14:paraId="6258102A" w14:textId="77777777" w:rsidR="00212D87" w:rsidRPr="00B53E64" w:rsidRDefault="00212D87"/>
                    <w:p w14:paraId="1808C3EA" w14:textId="77777777" w:rsidR="00212D87" w:rsidRPr="00B53E64" w:rsidRDefault="00212D87"/>
                    <w:p w14:paraId="7D130FE6" w14:textId="77777777" w:rsidR="00212D87" w:rsidRPr="00B53E64" w:rsidRDefault="00212D87"/>
                    <w:p w14:paraId="038177D2" w14:textId="77777777" w:rsidR="00212D87" w:rsidRPr="00B53E64" w:rsidRDefault="00212D87"/>
                    <w:p w14:paraId="2686BC77" w14:textId="77777777" w:rsidR="00212D87" w:rsidRPr="00B53E64" w:rsidRDefault="00212D87"/>
                    <w:p w14:paraId="7ECEEE44" w14:textId="77777777" w:rsidR="00212D87" w:rsidRPr="00B53E64" w:rsidRDefault="00212D87"/>
                    <w:p w14:paraId="6A5CDAE5" w14:textId="77777777" w:rsidR="00212D87" w:rsidRPr="00B53E64" w:rsidRDefault="00212D87"/>
                  </w:txbxContent>
                </v:textbox>
                <w10:wrap type="square" anchorx="margin"/>
              </v:roundrect>
            </w:pict>
          </mc:Fallback>
        </mc:AlternateContent>
      </w:r>
    </w:p>
    <w:p w14:paraId="2471F80A" w14:textId="4CE1C98B" w:rsidR="00212D87" w:rsidRPr="005A6959" w:rsidRDefault="00212D87" w:rsidP="005D75E0">
      <w:pPr>
        <w:spacing w:line="276" w:lineRule="auto"/>
        <w:jc w:val="both"/>
        <w:rPr>
          <w:rFonts w:ascii="Calibri" w:hAnsi="Calibri" w:cs="Calibri"/>
        </w:rPr>
      </w:pPr>
    </w:p>
    <w:p w14:paraId="4169ACBE" w14:textId="53B5462C" w:rsidR="00EA18D4" w:rsidRDefault="00EA18D4" w:rsidP="00EC2273">
      <w:pPr>
        <w:spacing w:line="276" w:lineRule="auto"/>
        <w:jc w:val="both"/>
        <w:rPr>
          <w:rFonts w:asciiTheme="majorHAnsi" w:hAnsiTheme="majorHAnsi" w:cstheme="majorHAnsi"/>
          <w:color w:val="2C2D5B"/>
        </w:rPr>
      </w:pPr>
    </w:p>
    <w:p w14:paraId="3C66409A" w14:textId="736D4129" w:rsidR="00EC2273" w:rsidRPr="00FF67A2" w:rsidRDefault="0020004F" w:rsidP="00EC2273">
      <w:pPr>
        <w:spacing w:line="276" w:lineRule="auto"/>
        <w:jc w:val="both"/>
        <w:rPr>
          <w:rFonts w:asciiTheme="majorHAnsi" w:hAnsiTheme="majorHAnsi" w:cstheme="majorHAnsi"/>
          <w:color w:val="2C2D5B"/>
        </w:rPr>
      </w:pPr>
      <w:r w:rsidRPr="00FF67A2">
        <w:rPr>
          <w:rFonts w:asciiTheme="majorHAnsi" w:hAnsiTheme="majorHAnsi" w:cstheme="majorHAnsi"/>
          <w:color w:val="2C2D5B"/>
        </w:rPr>
        <w:t xml:space="preserve">The non-application </w:t>
      </w:r>
      <w:r w:rsidR="00EC2273" w:rsidRPr="00FF67A2">
        <w:rPr>
          <w:rFonts w:asciiTheme="majorHAnsi" w:hAnsiTheme="majorHAnsi" w:cstheme="majorHAnsi"/>
          <w:color w:val="2C2D5B"/>
        </w:rPr>
        <w:t xml:space="preserve">rule is </w:t>
      </w:r>
      <w:r w:rsidR="001B3D74" w:rsidRPr="00FF67A2">
        <w:rPr>
          <w:rFonts w:asciiTheme="majorHAnsi" w:hAnsiTheme="majorHAnsi" w:cstheme="majorHAnsi"/>
          <w:color w:val="2C2D5B"/>
        </w:rPr>
        <w:t>essential</w:t>
      </w:r>
      <w:r w:rsidR="00EC2273" w:rsidRPr="00FF67A2">
        <w:rPr>
          <w:rFonts w:asciiTheme="majorHAnsi" w:hAnsiTheme="majorHAnsi" w:cstheme="majorHAnsi"/>
          <w:color w:val="2C2D5B"/>
        </w:rPr>
        <w:t xml:space="preserve"> </w:t>
      </w:r>
      <w:r w:rsidRPr="00FF67A2">
        <w:rPr>
          <w:rFonts w:asciiTheme="majorHAnsi" w:hAnsiTheme="majorHAnsi" w:cstheme="majorHAnsi"/>
          <w:color w:val="2C2D5B"/>
        </w:rPr>
        <w:t>when</w:t>
      </w:r>
      <w:r w:rsidR="001B3D74" w:rsidRPr="00FF67A2">
        <w:rPr>
          <w:rFonts w:asciiTheme="majorHAnsi" w:hAnsiTheme="majorHAnsi" w:cstheme="majorHAnsi"/>
          <w:color w:val="2C2D5B"/>
        </w:rPr>
        <w:t xml:space="preserve"> </w:t>
      </w:r>
      <w:r w:rsidR="00F65FF1" w:rsidRPr="00FF67A2">
        <w:rPr>
          <w:rFonts w:asciiTheme="majorHAnsi" w:hAnsiTheme="majorHAnsi" w:cstheme="majorHAnsi"/>
          <w:color w:val="2C2D5B"/>
        </w:rPr>
        <w:t xml:space="preserve">a </w:t>
      </w:r>
      <w:r w:rsidR="001B3D74" w:rsidRPr="00FF67A2">
        <w:rPr>
          <w:rFonts w:asciiTheme="majorHAnsi" w:hAnsiTheme="majorHAnsi" w:cstheme="majorHAnsi"/>
          <w:color w:val="2C2D5B"/>
        </w:rPr>
        <w:t>State has not transposed a</w:t>
      </w:r>
      <w:r w:rsidR="00EC2273" w:rsidRPr="00FF67A2">
        <w:rPr>
          <w:rFonts w:asciiTheme="majorHAnsi" w:hAnsiTheme="majorHAnsi" w:cstheme="majorHAnsi"/>
          <w:color w:val="2C2D5B"/>
        </w:rPr>
        <w:t xml:space="preserve"> </w:t>
      </w:r>
      <w:r w:rsidR="00801B2B" w:rsidRPr="00FF67A2">
        <w:rPr>
          <w:rFonts w:asciiTheme="majorHAnsi" w:hAnsiTheme="majorHAnsi" w:cstheme="majorHAnsi"/>
          <w:color w:val="2C2D5B"/>
        </w:rPr>
        <w:t>D</w:t>
      </w:r>
      <w:r w:rsidR="00EC2273" w:rsidRPr="00FF67A2">
        <w:rPr>
          <w:rFonts w:asciiTheme="majorHAnsi" w:hAnsiTheme="majorHAnsi" w:cstheme="majorHAnsi"/>
          <w:color w:val="2C2D5B"/>
        </w:rPr>
        <w:t xml:space="preserve">irective, or has transposed it incorrectly, </w:t>
      </w:r>
      <w:r w:rsidR="00F65FF1" w:rsidRPr="00FF67A2">
        <w:rPr>
          <w:rFonts w:asciiTheme="majorHAnsi" w:hAnsiTheme="majorHAnsi" w:cstheme="majorHAnsi"/>
          <w:color w:val="2C2D5B"/>
        </w:rPr>
        <w:t>as established by the CJEU</w:t>
      </w:r>
      <w:r w:rsidR="00801B2B" w:rsidRPr="00FF67A2">
        <w:rPr>
          <w:rFonts w:asciiTheme="majorHAnsi" w:hAnsiTheme="majorHAnsi" w:cstheme="majorHAnsi"/>
          <w:color w:val="2C2D5B"/>
        </w:rPr>
        <w:t>’s case law</w:t>
      </w:r>
      <w:r w:rsidR="00F65FF1" w:rsidRPr="00FF67A2">
        <w:rPr>
          <w:rFonts w:asciiTheme="majorHAnsi" w:hAnsiTheme="majorHAnsi" w:cstheme="majorHAnsi"/>
          <w:color w:val="2C2D5B"/>
        </w:rPr>
        <w:t xml:space="preserve">. </w:t>
      </w:r>
      <w:r w:rsidR="00F65FF1" w:rsidRPr="00FF67A2">
        <w:rPr>
          <w:rFonts w:asciiTheme="majorHAnsi" w:hAnsiTheme="majorHAnsi" w:cstheme="majorHAnsi"/>
          <w:b/>
          <w:bCs/>
          <w:color w:val="2C2D5B"/>
        </w:rPr>
        <w:t>E</w:t>
      </w:r>
      <w:r w:rsidR="00EC2273" w:rsidRPr="00FF67A2">
        <w:rPr>
          <w:rFonts w:asciiTheme="majorHAnsi" w:hAnsiTheme="majorHAnsi" w:cstheme="majorHAnsi"/>
          <w:b/>
          <w:bCs/>
          <w:color w:val="2C2D5B"/>
        </w:rPr>
        <w:t xml:space="preserve">ven a clear, precise and unconditional provision of a </w:t>
      </w:r>
      <w:r w:rsidR="00801B2B" w:rsidRPr="00FF67A2">
        <w:rPr>
          <w:rFonts w:asciiTheme="majorHAnsi" w:hAnsiTheme="majorHAnsi" w:cstheme="majorHAnsi"/>
          <w:b/>
          <w:bCs/>
          <w:color w:val="2C2D5B"/>
        </w:rPr>
        <w:t>D</w:t>
      </w:r>
      <w:r w:rsidR="00EC2273" w:rsidRPr="00FF67A2">
        <w:rPr>
          <w:rFonts w:asciiTheme="majorHAnsi" w:hAnsiTheme="majorHAnsi" w:cstheme="majorHAnsi"/>
          <w:b/>
          <w:bCs/>
          <w:color w:val="2C2D5B"/>
        </w:rPr>
        <w:t xml:space="preserve">irective seeking to confer rights or impose obligations on individuals cannot </w:t>
      </w:r>
      <w:r w:rsidR="00CB6313" w:rsidRPr="00FF67A2">
        <w:rPr>
          <w:rFonts w:asciiTheme="majorHAnsi" w:hAnsiTheme="majorHAnsi" w:cstheme="majorHAnsi"/>
          <w:b/>
          <w:bCs/>
          <w:color w:val="2C2D5B"/>
        </w:rPr>
        <w:t>upon</w:t>
      </w:r>
      <w:r w:rsidR="00EC2273" w:rsidRPr="00FF67A2">
        <w:rPr>
          <w:rFonts w:asciiTheme="majorHAnsi" w:hAnsiTheme="majorHAnsi" w:cstheme="majorHAnsi"/>
          <w:b/>
          <w:bCs/>
          <w:color w:val="2C2D5B"/>
        </w:rPr>
        <w:t xml:space="preserve"> itself apply in proceedings exclusively between private parties</w:t>
      </w:r>
      <w:r w:rsidR="00EC2273" w:rsidRPr="00FF67A2">
        <w:rPr>
          <w:rFonts w:asciiTheme="majorHAnsi" w:hAnsiTheme="majorHAnsi" w:cstheme="majorHAnsi"/>
          <w:color w:val="2C2D5B"/>
        </w:rPr>
        <w:t>.</w:t>
      </w:r>
    </w:p>
    <w:p w14:paraId="588D8D86" w14:textId="105CD4BB" w:rsidR="007C3FEA" w:rsidRDefault="007C3FEA" w:rsidP="00EC2273">
      <w:pPr>
        <w:spacing w:line="276" w:lineRule="auto"/>
        <w:jc w:val="both"/>
        <w:rPr>
          <w:rFonts w:ascii="Calibri" w:hAnsi="Calibri" w:cs="Calibri"/>
        </w:rPr>
      </w:pPr>
    </w:p>
    <w:p w14:paraId="15B8FEB5" w14:textId="421D8C10" w:rsidR="007C3FEA" w:rsidRDefault="007C3FEA" w:rsidP="00EC2273">
      <w:pPr>
        <w:spacing w:line="276" w:lineRule="auto"/>
        <w:jc w:val="both"/>
        <w:rPr>
          <w:rFonts w:ascii="Calibri" w:hAnsi="Calibri" w:cs="Calibri"/>
        </w:rPr>
      </w:pPr>
    </w:p>
    <w:p w14:paraId="6A866DD5" w14:textId="611BDD88" w:rsidR="007C3FEA" w:rsidRDefault="007C3FEA" w:rsidP="00EC2273">
      <w:pPr>
        <w:spacing w:line="276" w:lineRule="auto"/>
        <w:jc w:val="both"/>
        <w:rPr>
          <w:rFonts w:ascii="Calibri" w:hAnsi="Calibri" w:cs="Calibri"/>
        </w:rPr>
      </w:pPr>
    </w:p>
    <w:p w14:paraId="5852D135" w14:textId="66405817" w:rsidR="007C3FEA" w:rsidRPr="005A6959" w:rsidRDefault="007C3FEA" w:rsidP="00EC2273">
      <w:pPr>
        <w:spacing w:line="276" w:lineRule="auto"/>
        <w:jc w:val="both"/>
        <w:rPr>
          <w:rFonts w:ascii="Calibri" w:hAnsi="Calibri" w:cs="Calibri"/>
        </w:rPr>
      </w:pPr>
    </w:p>
    <w:p w14:paraId="7317A69A" w14:textId="03B37084" w:rsidR="00F65FF1" w:rsidRPr="005A6959" w:rsidRDefault="00F65FF1" w:rsidP="00EC2273">
      <w:pPr>
        <w:spacing w:line="276" w:lineRule="auto"/>
        <w:jc w:val="both"/>
        <w:rPr>
          <w:rFonts w:ascii="Calibri" w:hAnsi="Calibri" w:cs="Calibri"/>
          <w:b/>
          <w:bCs/>
        </w:rPr>
      </w:pPr>
    </w:p>
    <w:p w14:paraId="6679CF94" w14:textId="5061D1B4" w:rsidR="00F65FF1" w:rsidRPr="005A6959" w:rsidRDefault="00F65FF1" w:rsidP="00EC2273">
      <w:pPr>
        <w:spacing w:line="276" w:lineRule="auto"/>
        <w:jc w:val="both"/>
        <w:rPr>
          <w:rFonts w:ascii="Calibri" w:hAnsi="Calibri" w:cs="Calibri"/>
        </w:rPr>
      </w:pPr>
    </w:p>
    <w:p w14:paraId="3EEDAC4B" w14:textId="66731506" w:rsidR="00EC1B7F" w:rsidRPr="005A6959" w:rsidRDefault="00EC1B7F" w:rsidP="00EC2273">
      <w:pPr>
        <w:spacing w:line="276" w:lineRule="auto"/>
        <w:jc w:val="both"/>
        <w:rPr>
          <w:rFonts w:ascii="Calibri" w:hAnsi="Calibri" w:cs="Calibri"/>
        </w:rPr>
      </w:pPr>
    </w:p>
    <w:p w14:paraId="2FCCB277" w14:textId="7895DCDA" w:rsidR="00F65FF1" w:rsidRPr="005A6959" w:rsidRDefault="00F65FF1" w:rsidP="00EC2273">
      <w:pPr>
        <w:spacing w:line="276" w:lineRule="auto"/>
        <w:jc w:val="both"/>
        <w:rPr>
          <w:rFonts w:ascii="Calibri" w:hAnsi="Calibri" w:cs="Calibri"/>
        </w:rPr>
      </w:pPr>
    </w:p>
    <w:p w14:paraId="653D9000" w14:textId="359D82BF" w:rsidR="00F65FF1" w:rsidRPr="005A6959" w:rsidRDefault="00F65FF1" w:rsidP="00EC2273">
      <w:pPr>
        <w:spacing w:line="276" w:lineRule="auto"/>
        <w:jc w:val="both"/>
        <w:rPr>
          <w:rFonts w:ascii="Calibri" w:hAnsi="Calibri" w:cs="Calibri"/>
        </w:rPr>
      </w:pPr>
    </w:p>
    <w:p w14:paraId="2FDC0B76" w14:textId="42124EC8" w:rsidR="00F65FF1" w:rsidRPr="005A6959" w:rsidRDefault="00F65FF1" w:rsidP="00EC2273">
      <w:pPr>
        <w:spacing w:line="276" w:lineRule="auto"/>
        <w:jc w:val="both"/>
        <w:rPr>
          <w:rFonts w:ascii="Calibri" w:hAnsi="Calibri" w:cs="Calibri"/>
        </w:rPr>
      </w:pPr>
    </w:p>
    <w:p w14:paraId="4452E8CA" w14:textId="73655247" w:rsidR="00F65FF1" w:rsidRPr="005A6959" w:rsidRDefault="00F65FF1" w:rsidP="00EC2273">
      <w:pPr>
        <w:spacing w:line="276" w:lineRule="auto"/>
        <w:jc w:val="both"/>
        <w:rPr>
          <w:rFonts w:ascii="Calibri" w:hAnsi="Calibri" w:cs="Calibri"/>
        </w:rPr>
      </w:pPr>
    </w:p>
    <w:p w14:paraId="00DBDF95" w14:textId="09634302" w:rsidR="00F65FF1" w:rsidRPr="005A6959" w:rsidRDefault="00F65FF1" w:rsidP="00EC2273">
      <w:pPr>
        <w:spacing w:line="276" w:lineRule="auto"/>
        <w:jc w:val="both"/>
        <w:rPr>
          <w:rFonts w:ascii="Calibri" w:hAnsi="Calibri" w:cs="Calibri"/>
        </w:rPr>
      </w:pPr>
    </w:p>
    <w:p w14:paraId="430F5D4B" w14:textId="5146C7D2" w:rsidR="007C3FEA" w:rsidRDefault="007C3FEA" w:rsidP="00EC2273">
      <w:pPr>
        <w:spacing w:line="276" w:lineRule="auto"/>
        <w:jc w:val="both"/>
        <w:rPr>
          <w:rFonts w:ascii="Calibri" w:hAnsi="Calibri" w:cs="Calibri"/>
        </w:rPr>
      </w:pPr>
    </w:p>
    <w:p w14:paraId="6A3DE348" w14:textId="0C98FFB0" w:rsidR="007C3FEA" w:rsidRDefault="007C3FEA" w:rsidP="00EC2273">
      <w:pPr>
        <w:spacing w:line="276" w:lineRule="auto"/>
        <w:jc w:val="both"/>
        <w:rPr>
          <w:rFonts w:ascii="Calibri" w:hAnsi="Calibri" w:cs="Calibri"/>
        </w:rPr>
      </w:pPr>
    </w:p>
    <w:p w14:paraId="5C2B9720" w14:textId="7C3AB905" w:rsidR="00B259C1" w:rsidRPr="00EA18D4" w:rsidRDefault="00EA18D4" w:rsidP="00616814">
      <w:pPr>
        <w:spacing w:line="276" w:lineRule="auto"/>
        <w:jc w:val="both"/>
        <w:rPr>
          <w:rFonts w:ascii="Calibri" w:hAnsi="Calibri" w:cs="Calibri"/>
          <w:sz w:val="16"/>
          <w:szCs w:val="16"/>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22432" behindDoc="0" locked="0" layoutInCell="1" allowOverlap="1" wp14:anchorId="1E3C3B58" wp14:editId="6762AD8F">
            <wp:simplePos x="0" y="0"/>
            <wp:positionH relativeFrom="column">
              <wp:posOffset>4776611</wp:posOffset>
            </wp:positionH>
            <wp:positionV relativeFrom="paragraph">
              <wp:posOffset>74930</wp:posOffset>
            </wp:positionV>
            <wp:extent cx="713105" cy="575310"/>
            <wp:effectExtent l="0" t="0" r="0" b="0"/>
            <wp:wrapNone/>
            <wp:docPr id="1569304903"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Pr="005A6959">
        <w:rPr>
          <w:rFonts w:ascii="Calibri" w:hAnsi="Calibri" w:cs="Calibri"/>
          <w:noProof/>
        </w:rPr>
        <mc:AlternateContent>
          <mc:Choice Requires="wps">
            <w:drawing>
              <wp:anchor distT="45720" distB="45720" distL="114300" distR="114300" simplePos="0" relativeHeight="251808768" behindDoc="0" locked="0" layoutInCell="1" allowOverlap="1" wp14:anchorId="04F7E19B" wp14:editId="1EF0CB46">
                <wp:simplePos x="0" y="0"/>
                <wp:positionH relativeFrom="margin">
                  <wp:posOffset>-8255</wp:posOffset>
                </wp:positionH>
                <wp:positionV relativeFrom="paragraph">
                  <wp:posOffset>276225</wp:posOffset>
                </wp:positionV>
                <wp:extent cx="5372100" cy="5429885"/>
                <wp:effectExtent l="0" t="0" r="19050" b="18415"/>
                <wp:wrapSquare wrapText="bothSides"/>
                <wp:docPr id="53133384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5429885"/>
                        </a:xfrm>
                        <a:prstGeom prst="roundRect">
                          <a:avLst/>
                        </a:prstGeom>
                        <a:solidFill>
                          <a:schemeClr val="bg1"/>
                        </a:solidFill>
                        <a:ln w="19050">
                          <a:solidFill>
                            <a:srgbClr val="B6A04C"/>
                          </a:solidFill>
                          <a:miter lim="800000"/>
                          <a:headEnd/>
                          <a:tailEnd/>
                        </a:ln>
                      </wps:spPr>
                      <wps:txbx>
                        <w:txbxContent>
                          <w:p w14:paraId="3455A5E8" w14:textId="49C1FBE3" w:rsidR="00884BC9" w:rsidRPr="00FF67A2" w:rsidRDefault="00884BC9" w:rsidP="00FF67A2">
                            <w:pPr>
                              <w:spacing w:line="276" w:lineRule="auto"/>
                              <w:jc w:val="center"/>
                              <w:rPr>
                                <w:rFonts w:asciiTheme="minorHAnsi" w:hAnsiTheme="minorHAnsi" w:cstheme="minorHAnsi"/>
                                <w:b/>
                                <w:color w:val="B6A04C"/>
                                <w:sz w:val="20"/>
                                <w:szCs w:val="20"/>
                                <w:lang w:val="de-DE"/>
                              </w:rPr>
                            </w:pPr>
                            <w:hyperlink r:id="rId29" w:history="1">
                              <w:r w:rsidRPr="00FF67A2">
                                <w:rPr>
                                  <w:rStyle w:val="Hypertextovodkaz"/>
                                  <w:rFonts w:asciiTheme="minorHAnsi" w:hAnsiTheme="minorHAnsi" w:cstheme="minorHAnsi"/>
                                  <w:b/>
                                  <w:color w:val="B6A04C"/>
                                  <w:sz w:val="20"/>
                                  <w:szCs w:val="20"/>
                                  <w:lang w:val="de-DE"/>
                                </w:rPr>
                                <w:t>CJEU, Grd. Ch, 6 November 2018, Max-Planck-Gesellschaft zur Förderung der Wissenschaften e.V. v Tetsuji Shimizu, C-684/16, ECLI:EU: C:2018:874</w:t>
                              </w:r>
                            </w:hyperlink>
                          </w:p>
                          <w:p w14:paraId="54CA89E0" w14:textId="77777777" w:rsidR="00884BC9" w:rsidRPr="00FF67A2" w:rsidRDefault="00884BC9" w:rsidP="00884BC9">
                            <w:pPr>
                              <w:spacing w:line="276" w:lineRule="auto"/>
                              <w:jc w:val="both"/>
                              <w:rPr>
                                <w:rFonts w:asciiTheme="minorHAnsi" w:hAnsiTheme="minorHAnsi" w:cstheme="minorHAnsi"/>
                                <w:color w:val="2C2D5B"/>
                                <w:sz w:val="20"/>
                                <w:szCs w:val="20"/>
                                <w:lang w:val="de-DE"/>
                              </w:rPr>
                            </w:pPr>
                          </w:p>
                          <w:p w14:paraId="791832FC" w14:textId="2F48D36F" w:rsidR="00884BC9" w:rsidRPr="00EA18D4" w:rsidRDefault="00884BC9" w:rsidP="00884BC9">
                            <w:pPr>
                              <w:spacing w:line="276" w:lineRule="auto"/>
                              <w:jc w:val="both"/>
                              <w:rPr>
                                <w:rFonts w:asciiTheme="minorHAnsi" w:hAnsiTheme="minorHAnsi" w:cstheme="minorHAnsi"/>
                                <w:b/>
                                <w:bCs/>
                                <w:color w:val="2C2D5B"/>
                                <w:sz w:val="19"/>
                                <w:szCs w:val="19"/>
                              </w:rPr>
                            </w:pPr>
                            <w:r w:rsidRPr="00EA18D4">
                              <w:rPr>
                                <w:rFonts w:asciiTheme="minorHAnsi" w:hAnsiTheme="minorHAnsi" w:cstheme="minorHAnsi"/>
                                <w:b/>
                                <w:bCs/>
                                <w:color w:val="2C2D5B"/>
                                <w:sz w:val="19"/>
                                <w:szCs w:val="19"/>
                              </w:rPr>
                              <w:t>Facts</w:t>
                            </w:r>
                            <w:r w:rsidR="00FF67A2" w:rsidRPr="00EA18D4">
                              <w:rPr>
                                <w:rFonts w:asciiTheme="minorHAnsi" w:hAnsiTheme="minorHAnsi" w:cstheme="minorHAnsi"/>
                                <w:b/>
                                <w:bCs/>
                                <w:color w:val="2C2D5B"/>
                                <w:sz w:val="19"/>
                                <w:szCs w:val="19"/>
                              </w:rPr>
                              <w:t xml:space="preserve"> </w:t>
                            </w:r>
                            <w:r w:rsidRPr="00EA18D4">
                              <w:rPr>
                                <w:rFonts w:asciiTheme="minorHAnsi" w:hAnsiTheme="minorHAnsi" w:cstheme="minorHAnsi"/>
                                <w:b/>
                                <w:bCs/>
                                <w:color w:val="2C2D5B"/>
                                <w:sz w:val="19"/>
                                <w:szCs w:val="19"/>
                              </w:rPr>
                              <w:t xml:space="preserve">: </w:t>
                            </w:r>
                          </w:p>
                          <w:p w14:paraId="3068DADE" w14:textId="77777777" w:rsidR="00884BC9" w:rsidRPr="00EA18D4" w:rsidRDefault="00884BC9" w:rsidP="00884BC9">
                            <w:pPr>
                              <w:spacing w:line="276" w:lineRule="auto"/>
                              <w:jc w:val="both"/>
                              <w:rPr>
                                <w:rFonts w:asciiTheme="minorHAnsi" w:hAnsiTheme="minorHAnsi" w:cstheme="minorHAnsi"/>
                                <w:color w:val="2C2D5B"/>
                                <w:sz w:val="19"/>
                                <w:szCs w:val="19"/>
                              </w:rPr>
                            </w:pPr>
                            <w:r w:rsidRPr="00EA18D4">
                              <w:rPr>
                                <w:rFonts w:asciiTheme="minorHAnsi" w:hAnsiTheme="minorHAnsi" w:cstheme="minorHAnsi"/>
                                <w:color w:val="2C2D5B"/>
                                <w:sz w:val="19"/>
                                <w:szCs w:val="19"/>
                              </w:rPr>
                              <w:t xml:space="preserve">In this case, the employer refused to pay to an employe an allowance for paid annual leave not taken before the termination of their employment relationship. </w:t>
                            </w:r>
                          </w:p>
                          <w:p w14:paraId="41A15116" w14:textId="77777777" w:rsidR="00884BC9" w:rsidRPr="00EA18D4" w:rsidRDefault="00884BC9" w:rsidP="00884BC9">
                            <w:pPr>
                              <w:spacing w:line="276" w:lineRule="auto"/>
                              <w:jc w:val="both"/>
                              <w:rPr>
                                <w:rFonts w:asciiTheme="minorHAnsi" w:hAnsiTheme="minorHAnsi" w:cstheme="minorHAnsi"/>
                                <w:color w:val="2C2D5B"/>
                                <w:sz w:val="19"/>
                                <w:szCs w:val="19"/>
                              </w:rPr>
                            </w:pPr>
                          </w:p>
                          <w:p w14:paraId="64B09C0C" w14:textId="17E40E09" w:rsidR="00884BC9" w:rsidRPr="00EA18D4" w:rsidRDefault="00884BC9" w:rsidP="00884BC9">
                            <w:pPr>
                              <w:spacing w:line="276" w:lineRule="auto"/>
                              <w:jc w:val="both"/>
                              <w:rPr>
                                <w:rFonts w:asciiTheme="minorHAnsi" w:hAnsiTheme="minorHAnsi" w:cstheme="minorHAnsi"/>
                                <w:b/>
                                <w:bCs/>
                                <w:color w:val="2C2D5B"/>
                                <w:sz w:val="19"/>
                                <w:szCs w:val="19"/>
                              </w:rPr>
                            </w:pPr>
                            <w:r w:rsidRPr="00EA18D4">
                              <w:rPr>
                                <w:rFonts w:asciiTheme="minorHAnsi" w:hAnsiTheme="minorHAnsi" w:cstheme="minorHAnsi"/>
                                <w:b/>
                                <w:bCs/>
                                <w:color w:val="2C2D5B"/>
                                <w:sz w:val="19"/>
                                <w:szCs w:val="19"/>
                              </w:rPr>
                              <w:t>Key Points</w:t>
                            </w:r>
                            <w:r w:rsidR="00FF67A2" w:rsidRPr="00EA18D4">
                              <w:rPr>
                                <w:rFonts w:asciiTheme="minorHAnsi" w:hAnsiTheme="minorHAnsi" w:cstheme="minorHAnsi"/>
                                <w:b/>
                                <w:bCs/>
                                <w:color w:val="2C2D5B"/>
                                <w:sz w:val="19"/>
                                <w:szCs w:val="19"/>
                              </w:rPr>
                              <w:t xml:space="preserve"> </w:t>
                            </w:r>
                            <w:r w:rsidRPr="00EA18D4">
                              <w:rPr>
                                <w:rFonts w:asciiTheme="minorHAnsi" w:hAnsiTheme="minorHAnsi" w:cstheme="minorHAnsi"/>
                                <w:b/>
                                <w:bCs/>
                                <w:color w:val="2C2D5B"/>
                                <w:sz w:val="19"/>
                                <w:szCs w:val="19"/>
                              </w:rPr>
                              <w:t xml:space="preserve">: </w:t>
                            </w:r>
                          </w:p>
                          <w:p w14:paraId="665F5724" w14:textId="22FB3867" w:rsidR="00884BC9" w:rsidRPr="00EA18D4" w:rsidRDefault="00884BC9" w:rsidP="008B4B98">
                            <w:pPr>
                              <w:pStyle w:val="Odstavecseseznamem"/>
                              <w:numPr>
                                <w:ilvl w:val="0"/>
                                <w:numId w:val="6"/>
                              </w:numPr>
                              <w:spacing w:line="276" w:lineRule="auto"/>
                              <w:jc w:val="both"/>
                              <w:rPr>
                                <w:rFonts w:asciiTheme="minorHAnsi" w:hAnsiTheme="minorHAnsi" w:cstheme="minorHAnsi"/>
                                <w:b/>
                                <w:bCs/>
                                <w:color w:val="2C2D5B"/>
                                <w:sz w:val="19"/>
                                <w:szCs w:val="19"/>
                              </w:rPr>
                            </w:pPr>
                            <w:r w:rsidRPr="00EA18D4">
                              <w:rPr>
                                <w:rFonts w:asciiTheme="minorHAnsi" w:hAnsiTheme="minorHAnsi" w:cstheme="minorHAnsi"/>
                                <w:b/>
                                <w:bCs/>
                                <w:color w:val="2C2D5B"/>
                                <w:sz w:val="19"/>
                                <w:szCs w:val="19"/>
                              </w:rPr>
                              <w:t>Article 31(2) of the Charter</w:t>
                            </w:r>
                            <w:r w:rsidR="00FF67A2" w:rsidRPr="00EA18D4">
                              <w:rPr>
                                <w:rFonts w:asciiTheme="minorHAnsi" w:hAnsiTheme="minorHAnsi" w:cstheme="minorHAnsi"/>
                                <w:b/>
                                <w:bCs/>
                                <w:color w:val="2C2D5B"/>
                                <w:sz w:val="19"/>
                                <w:szCs w:val="19"/>
                              </w:rPr>
                              <w:t xml:space="preserve"> </w:t>
                            </w:r>
                            <w:r w:rsidRPr="00EA18D4">
                              <w:rPr>
                                <w:rFonts w:asciiTheme="minorHAnsi" w:hAnsiTheme="minorHAnsi" w:cstheme="minorHAnsi"/>
                                <w:b/>
                                <w:bCs/>
                                <w:color w:val="2C2D5B"/>
                                <w:sz w:val="19"/>
                                <w:szCs w:val="19"/>
                              </w:rPr>
                              <w:t xml:space="preserve">: </w:t>
                            </w:r>
                            <w:r w:rsidRPr="00EA18D4">
                              <w:rPr>
                                <w:rFonts w:asciiTheme="minorHAnsi" w:hAnsiTheme="minorHAnsi" w:cstheme="minorHAnsi"/>
                                <w:color w:val="2C2D5B"/>
                                <w:sz w:val="19"/>
                                <w:szCs w:val="19"/>
                              </w:rPr>
                              <w:t xml:space="preserve">This article affirms every worker’s right to paid annual leave, a right that is both mandatory and unconditional in its existence. The unconditional nature of this right does not require further definition by EU or national laws, except to set the specific duration and conditions for exercising the right to paid annual leave. </w:t>
                            </w:r>
                          </w:p>
                          <w:p w14:paraId="729EF7A9" w14:textId="1AAF85B0" w:rsidR="00884BC9" w:rsidRPr="00EA18D4" w:rsidRDefault="00884BC9" w:rsidP="008B4B98">
                            <w:pPr>
                              <w:pStyle w:val="Odstavecseseznamem"/>
                              <w:numPr>
                                <w:ilvl w:val="0"/>
                                <w:numId w:val="6"/>
                              </w:numPr>
                              <w:spacing w:line="276" w:lineRule="auto"/>
                              <w:jc w:val="both"/>
                              <w:rPr>
                                <w:rFonts w:asciiTheme="minorHAnsi" w:hAnsiTheme="minorHAnsi" w:cstheme="minorHAnsi"/>
                                <w:b/>
                                <w:bCs/>
                                <w:color w:val="2C2D5B"/>
                                <w:sz w:val="19"/>
                                <w:szCs w:val="19"/>
                              </w:rPr>
                            </w:pPr>
                            <w:r w:rsidRPr="00EA18D4">
                              <w:rPr>
                                <w:rFonts w:asciiTheme="minorHAnsi" w:hAnsiTheme="minorHAnsi" w:cstheme="minorHAnsi"/>
                                <w:b/>
                                <w:bCs/>
                                <w:color w:val="2C2D5B"/>
                                <w:sz w:val="19"/>
                                <w:szCs w:val="19"/>
                              </w:rPr>
                              <w:t>Direct applicability</w:t>
                            </w:r>
                            <w:r w:rsidR="00FF67A2" w:rsidRPr="00EA18D4">
                              <w:rPr>
                                <w:rFonts w:asciiTheme="minorHAnsi" w:hAnsiTheme="minorHAnsi" w:cstheme="minorHAnsi"/>
                                <w:b/>
                                <w:bCs/>
                                <w:color w:val="2C2D5B"/>
                                <w:sz w:val="19"/>
                                <w:szCs w:val="19"/>
                              </w:rPr>
                              <w:t xml:space="preserve"> </w:t>
                            </w:r>
                            <w:r w:rsidRPr="00EA18D4">
                              <w:rPr>
                                <w:rFonts w:asciiTheme="minorHAnsi" w:hAnsiTheme="minorHAnsi" w:cstheme="minorHAnsi"/>
                                <w:b/>
                                <w:bCs/>
                                <w:color w:val="2C2D5B"/>
                                <w:sz w:val="19"/>
                                <w:szCs w:val="19"/>
                              </w:rPr>
                              <w:t xml:space="preserve">: </w:t>
                            </w:r>
                            <w:r w:rsidRPr="00EA18D4">
                              <w:rPr>
                                <w:rFonts w:asciiTheme="minorHAnsi" w:hAnsiTheme="minorHAnsi" w:cstheme="minorHAnsi"/>
                                <w:color w:val="2C2D5B"/>
                                <w:sz w:val="19"/>
                                <w:szCs w:val="19"/>
                              </w:rPr>
                              <w:t xml:space="preserve">The provisions of Article 31(2) are sufficiently concrete to grant workers a right they can invoke in disputes with their employers within the scope of EU law. </w:t>
                            </w:r>
                          </w:p>
                          <w:p w14:paraId="57900AB3" w14:textId="77777777" w:rsidR="00884BC9" w:rsidRPr="00EA18D4" w:rsidRDefault="00884BC9" w:rsidP="00884BC9">
                            <w:pPr>
                              <w:spacing w:line="276" w:lineRule="auto"/>
                              <w:jc w:val="both"/>
                              <w:rPr>
                                <w:rFonts w:asciiTheme="minorHAnsi" w:hAnsiTheme="minorHAnsi" w:cstheme="minorHAnsi"/>
                                <w:color w:val="2C2D5B"/>
                                <w:sz w:val="19"/>
                                <w:szCs w:val="19"/>
                              </w:rPr>
                            </w:pPr>
                          </w:p>
                          <w:p w14:paraId="4BF75C0E" w14:textId="5AA8623D" w:rsidR="00884BC9" w:rsidRPr="00EA18D4" w:rsidRDefault="00884BC9" w:rsidP="00884BC9">
                            <w:pPr>
                              <w:spacing w:line="276" w:lineRule="auto"/>
                              <w:jc w:val="both"/>
                              <w:rPr>
                                <w:rFonts w:asciiTheme="minorHAnsi" w:hAnsiTheme="minorHAnsi" w:cstheme="minorHAnsi"/>
                                <w:color w:val="2C2D5B"/>
                                <w:sz w:val="19"/>
                                <w:szCs w:val="19"/>
                              </w:rPr>
                            </w:pPr>
                            <w:r w:rsidRPr="00EA18D4">
                              <w:rPr>
                                <w:rFonts w:asciiTheme="minorHAnsi" w:hAnsiTheme="minorHAnsi" w:cstheme="minorHAnsi"/>
                                <w:b/>
                                <w:bCs/>
                                <w:color w:val="2C2D5B"/>
                                <w:sz w:val="19"/>
                                <w:szCs w:val="19"/>
                              </w:rPr>
                              <w:t>Ruling</w:t>
                            </w:r>
                            <w:r w:rsidR="00FF67A2" w:rsidRPr="00EA18D4">
                              <w:rPr>
                                <w:rFonts w:asciiTheme="minorHAnsi" w:hAnsiTheme="minorHAnsi" w:cstheme="minorHAnsi"/>
                                <w:b/>
                                <w:bCs/>
                                <w:color w:val="2C2D5B"/>
                                <w:sz w:val="19"/>
                                <w:szCs w:val="19"/>
                              </w:rPr>
                              <w:t xml:space="preserve"> </w:t>
                            </w:r>
                            <w:r w:rsidRPr="00EA18D4">
                              <w:rPr>
                                <w:rFonts w:asciiTheme="minorHAnsi" w:hAnsiTheme="minorHAnsi" w:cstheme="minorHAnsi"/>
                                <w:b/>
                                <w:bCs/>
                                <w:color w:val="2C2D5B"/>
                                <w:sz w:val="19"/>
                                <w:szCs w:val="19"/>
                              </w:rPr>
                              <w:t xml:space="preserve">: </w:t>
                            </w:r>
                          </w:p>
                          <w:p w14:paraId="6B93558E" w14:textId="77777777" w:rsidR="00884BC9" w:rsidRPr="00EA18D4" w:rsidRDefault="00884BC9" w:rsidP="00884BC9">
                            <w:pPr>
                              <w:spacing w:line="276" w:lineRule="auto"/>
                              <w:jc w:val="both"/>
                              <w:rPr>
                                <w:rFonts w:asciiTheme="minorHAnsi" w:hAnsiTheme="minorHAnsi" w:cstheme="minorHAnsi"/>
                                <w:color w:val="2C2D5B"/>
                                <w:sz w:val="19"/>
                                <w:szCs w:val="19"/>
                              </w:rPr>
                            </w:pPr>
                            <w:r w:rsidRPr="00EA18D4">
                              <w:rPr>
                                <w:rFonts w:asciiTheme="minorHAnsi" w:hAnsiTheme="minorHAnsi" w:cstheme="minorHAnsi"/>
                                <w:color w:val="2C2D5B"/>
                                <w:sz w:val="19"/>
                                <w:szCs w:val="19"/>
                              </w:rPr>
                              <w:t xml:space="preserve">The CJEU concluded that, in the event that it is impossible to interpret national law consistently with Article 7 of Directive 2003/88 and Article 31(2) of the Charter, a national Court hearing a dispute between an employee and a private employer must set aside the conflicting national legislation. Specifically: </w:t>
                            </w:r>
                          </w:p>
                          <w:p w14:paraId="0E462BF0" w14:textId="77777777" w:rsidR="00884BC9" w:rsidRPr="00EA18D4" w:rsidRDefault="00884BC9" w:rsidP="008B4B98">
                            <w:pPr>
                              <w:pStyle w:val="Odstavecseseznamem"/>
                              <w:numPr>
                                <w:ilvl w:val="0"/>
                                <w:numId w:val="7"/>
                              </w:numPr>
                              <w:spacing w:line="276" w:lineRule="auto"/>
                              <w:jc w:val="both"/>
                              <w:rPr>
                                <w:rFonts w:asciiTheme="minorHAnsi" w:hAnsiTheme="minorHAnsi" w:cstheme="minorHAnsi"/>
                                <w:color w:val="2C2D5B"/>
                                <w:sz w:val="19"/>
                                <w:szCs w:val="19"/>
                              </w:rPr>
                            </w:pPr>
                            <w:r w:rsidRPr="00EA18D4">
                              <w:rPr>
                                <w:rFonts w:asciiTheme="minorHAnsi" w:hAnsiTheme="minorHAnsi" w:cstheme="minorHAnsi"/>
                                <w:color w:val="2C2D5B"/>
                                <w:sz w:val="19"/>
                                <w:szCs w:val="19"/>
                              </w:rPr>
                              <w:t xml:space="preserve">The employer must prove they exercised all due diligence to enable the worker to take the entitled paid annual leave </w:t>
                            </w:r>
                          </w:p>
                          <w:p w14:paraId="351059B3" w14:textId="77777777" w:rsidR="00884BC9" w:rsidRPr="00EA18D4" w:rsidRDefault="00884BC9" w:rsidP="008B4B98">
                            <w:pPr>
                              <w:pStyle w:val="Odstavecseseznamem"/>
                              <w:numPr>
                                <w:ilvl w:val="0"/>
                                <w:numId w:val="7"/>
                              </w:numPr>
                              <w:spacing w:line="276" w:lineRule="auto"/>
                              <w:jc w:val="both"/>
                              <w:rPr>
                                <w:rFonts w:asciiTheme="minorHAnsi" w:hAnsiTheme="minorHAnsi" w:cstheme="minorHAnsi"/>
                                <w:color w:val="2C2D5B"/>
                                <w:sz w:val="19"/>
                                <w:szCs w:val="19"/>
                              </w:rPr>
                            </w:pPr>
                            <w:r w:rsidRPr="00EA18D4">
                              <w:rPr>
                                <w:rFonts w:asciiTheme="minorHAnsi" w:hAnsiTheme="minorHAnsi" w:cstheme="minorHAnsi"/>
                                <w:color w:val="2C2D5B"/>
                                <w:sz w:val="19"/>
                                <w:szCs w:val="19"/>
                              </w:rPr>
                              <w:t xml:space="preserve">If the employer cannot demonstrate such diligence, the employee retains their right to paid annual leave. Upon termination of employment, this right translates into an entitlement of an allowance in lieu of untaken leave, which must be paid directly by the employer. </w:t>
                            </w:r>
                          </w:p>
                          <w:p w14:paraId="4F4DF4C1" w14:textId="77777777" w:rsidR="00884BC9" w:rsidRPr="00327D5A" w:rsidRDefault="00884BC9" w:rsidP="00884BC9">
                            <w:pPr>
                              <w:spacing w:line="276" w:lineRule="auto"/>
                              <w:jc w:val="both"/>
                              <w:rPr>
                                <w:rFonts w:asciiTheme="minorHAnsi" w:hAnsiTheme="minorHAnsi" w:cstheme="minorHAnsi"/>
                                <w:sz w:val="20"/>
                                <w:szCs w:val="20"/>
                              </w:rPr>
                            </w:pPr>
                          </w:p>
                          <w:p w14:paraId="7CB369F3" w14:textId="77777777" w:rsidR="00884BC9" w:rsidRPr="00B53E64" w:rsidRDefault="00884BC9" w:rsidP="00884BC9"/>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4F7E19B" id="_x0000_s1040" style="position:absolute;left:0;text-align:left;margin-left:-.65pt;margin-top:21.75pt;width:423pt;height:427.55pt;z-index:2518087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A1YIwIAAC0EAAAOAAAAZHJzL2Uyb0RvYy54bWysU8tu2zAQvBfoPxC815JdObEFy4HjNEWB&#10;9IGm/QCKpCSiFFclaUvJ13dJKY6T3orqQHC15Ozs7HBzNbSaHKV1CkxB57OUEmk4CGXqgv78cftu&#10;RYnzzAimwciCPkhHr7Zv32z6LpcLaEALaQmCGJf3XUEb77s8SRxvZMvcDDppMFmBbZnH0NaJsKxH&#10;9FYnizS9SHqworPApXP492ZM0m3EryrJ/deqctITXVDk5uNq41qGNdluWF5b1jWKTzTYP7BomTJY&#10;9AR1wzwjB6v+gmoVt+Cg8jMObQJVpbiMPWA38/RVN/cN62TsBcVx3Ukm9/9g+ZfjfffNEj9cw4AD&#10;jE247g74L0cM7BtmarmzFvpGMoGF50GypO9cPl0NUrvcBZCy/wwCh8wOHiLQUNk2qIJ9EkTHATyc&#10;RJeDJxx/Lt9fLuYppjjmltlivVotYw2WP13vrPMfJbQkbApq4WDEdxxtrMGOd84HTix/OhdKOtBK&#10;3CqtYxDsJPfakiNDI5T12MWrU9qQHhtcp8t0lOEFhK3LE8D1xS7N9hPLF5Va5dHPWrUFXaXhGx0W&#10;xPtgRHSbZ0qPe6SszaRmEHCU0g/lQJRAJlm4HNQtQTygvhZG/+J7w00D9pGSHr1bUPf7wKykRH8y&#10;OKP1PMuC2WOQLS8XGNjzTHmeYYYjVEE9JeN27+MDCcIZ2OEsKxUFfmYycUZPRt2n9xNMfx7HU8+v&#10;fPsHAAD//wMAUEsDBBQABgAIAAAAIQCNJmr03wAAAAkBAAAPAAAAZHJzL2Rvd25yZXYueG1sTI/B&#10;TsMwEETvSPyDtUjcWqc0bd0Qp4oqceHWUA7cnNiNA/E6it00/D3LCW6zmtHM2/wwu55NZgydRwmr&#10;ZQLMYON1h62E89vLQgALUaFWvUcj4dsEOBT3d7nKtL/hyUxVbBmVYMiUBBvjkHEeGmucCks/GCTv&#10;4kenIp1jy/WoblTuev6UJFvuVIe0YNVgjtY0X9XVSZjOp00pjh9pZd/55/61FLVwQsrHh7l8BhbN&#10;HP/C8ItP6FAQU+2vqAPrJSxWa0pKSNcbYOSLNN0Bq0nsxRZ4kfP/HxQ/AAAA//8DAFBLAQItABQA&#10;BgAIAAAAIQC2gziS/gAAAOEBAAATAAAAAAAAAAAAAAAAAAAAAABbQ29udGVudF9UeXBlc10ueG1s&#10;UEsBAi0AFAAGAAgAAAAhADj9If/WAAAAlAEAAAsAAAAAAAAAAAAAAAAALwEAAF9yZWxzLy5yZWxz&#10;UEsBAi0AFAAGAAgAAAAhAIN4DVgjAgAALQQAAA4AAAAAAAAAAAAAAAAALgIAAGRycy9lMm9Eb2Mu&#10;eG1sUEsBAi0AFAAGAAgAAAAhAI0mavTfAAAACQEAAA8AAAAAAAAAAAAAAAAAfQQAAGRycy9kb3du&#10;cmV2LnhtbFBLBQYAAAAABAAEAPMAAACJBQAAAAA=&#10;" fillcolor="white [3212]" strokecolor="#b6a04c" strokeweight="1.5pt">
                <v:stroke joinstyle="miter"/>
                <v:textbox>
                  <w:txbxContent>
                    <w:p w14:paraId="3455A5E8" w14:textId="49C1FBE3" w:rsidR="00884BC9" w:rsidRPr="00FF67A2" w:rsidRDefault="00884BC9" w:rsidP="00FF67A2">
                      <w:pPr>
                        <w:spacing w:line="276" w:lineRule="auto"/>
                        <w:jc w:val="center"/>
                        <w:rPr>
                          <w:rFonts w:asciiTheme="minorHAnsi" w:hAnsiTheme="minorHAnsi" w:cstheme="minorHAnsi"/>
                          <w:b/>
                          <w:color w:val="B6A04C"/>
                          <w:sz w:val="20"/>
                          <w:szCs w:val="20"/>
                          <w:lang w:val="de-DE"/>
                        </w:rPr>
                      </w:pPr>
                      <w:r>
                        <w:fldChar w:fldCharType="begin"/>
                      </w:r>
                      <w:r w:rsidRPr="00E57DB6">
                        <w:rPr>
                          <w:lang w:val="de-DE"/>
                        </w:rPr>
                        <w:instrText>HYPERLINK "https://eur-lex.europa.eu/legal-content/FR/TXT/?uri=CELEX:62016CJ0684"</w:instrText>
                      </w:r>
                      <w:r>
                        <w:fldChar w:fldCharType="separate"/>
                      </w:r>
                      <w:r w:rsidRPr="00FF67A2">
                        <w:rPr>
                          <w:rStyle w:val="Lienhypertexte"/>
                          <w:rFonts w:asciiTheme="minorHAnsi" w:hAnsiTheme="minorHAnsi" w:cstheme="minorHAnsi"/>
                          <w:b/>
                          <w:color w:val="B6A04C"/>
                          <w:sz w:val="20"/>
                          <w:szCs w:val="20"/>
                          <w:lang w:val="de-DE"/>
                        </w:rPr>
                        <w:t>CJEU, Grd. Ch, 6 November 2018, Max-Planck-Gesellschaft zur Förderung der Wissenschaften e.V. v Tetsuji Shimizu, C-684/16, ECLI:EU: C:2018:874</w:t>
                      </w:r>
                      <w:r>
                        <w:fldChar w:fldCharType="end"/>
                      </w:r>
                    </w:p>
                    <w:p w14:paraId="54CA89E0" w14:textId="77777777" w:rsidR="00884BC9" w:rsidRPr="00FF67A2" w:rsidRDefault="00884BC9" w:rsidP="00884BC9">
                      <w:pPr>
                        <w:spacing w:line="276" w:lineRule="auto"/>
                        <w:jc w:val="both"/>
                        <w:rPr>
                          <w:rFonts w:asciiTheme="minorHAnsi" w:hAnsiTheme="minorHAnsi" w:cstheme="minorHAnsi"/>
                          <w:color w:val="2C2D5B"/>
                          <w:sz w:val="20"/>
                          <w:szCs w:val="20"/>
                          <w:lang w:val="de-DE"/>
                        </w:rPr>
                      </w:pPr>
                    </w:p>
                    <w:p w14:paraId="791832FC" w14:textId="2F48D36F" w:rsidR="00884BC9" w:rsidRPr="00EA18D4" w:rsidRDefault="00884BC9" w:rsidP="00884BC9">
                      <w:pPr>
                        <w:spacing w:line="276" w:lineRule="auto"/>
                        <w:jc w:val="both"/>
                        <w:rPr>
                          <w:rFonts w:asciiTheme="minorHAnsi" w:hAnsiTheme="minorHAnsi" w:cstheme="minorHAnsi"/>
                          <w:b/>
                          <w:bCs/>
                          <w:color w:val="2C2D5B"/>
                          <w:sz w:val="19"/>
                          <w:szCs w:val="19"/>
                        </w:rPr>
                      </w:pPr>
                      <w:r w:rsidRPr="00EA18D4">
                        <w:rPr>
                          <w:rFonts w:asciiTheme="minorHAnsi" w:hAnsiTheme="minorHAnsi" w:cstheme="minorHAnsi"/>
                          <w:b/>
                          <w:bCs/>
                          <w:color w:val="2C2D5B"/>
                          <w:sz w:val="19"/>
                          <w:szCs w:val="19"/>
                        </w:rPr>
                        <w:t>Facts</w:t>
                      </w:r>
                      <w:r w:rsidR="00FF67A2" w:rsidRPr="00EA18D4">
                        <w:rPr>
                          <w:rFonts w:asciiTheme="minorHAnsi" w:hAnsiTheme="minorHAnsi" w:cstheme="minorHAnsi"/>
                          <w:b/>
                          <w:bCs/>
                          <w:color w:val="2C2D5B"/>
                          <w:sz w:val="19"/>
                          <w:szCs w:val="19"/>
                        </w:rPr>
                        <w:t xml:space="preserve"> </w:t>
                      </w:r>
                      <w:r w:rsidRPr="00EA18D4">
                        <w:rPr>
                          <w:rFonts w:asciiTheme="minorHAnsi" w:hAnsiTheme="minorHAnsi" w:cstheme="minorHAnsi"/>
                          <w:b/>
                          <w:bCs/>
                          <w:color w:val="2C2D5B"/>
                          <w:sz w:val="19"/>
                          <w:szCs w:val="19"/>
                        </w:rPr>
                        <w:t xml:space="preserve">: </w:t>
                      </w:r>
                    </w:p>
                    <w:p w14:paraId="3068DADE" w14:textId="77777777" w:rsidR="00884BC9" w:rsidRPr="00EA18D4" w:rsidRDefault="00884BC9" w:rsidP="00884BC9">
                      <w:pPr>
                        <w:spacing w:line="276" w:lineRule="auto"/>
                        <w:jc w:val="both"/>
                        <w:rPr>
                          <w:rFonts w:asciiTheme="minorHAnsi" w:hAnsiTheme="minorHAnsi" w:cstheme="minorHAnsi"/>
                          <w:color w:val="2C2D5B"/>
                          <w:sz w:val="19"/>
                          <w:szCs w:val="19"/>
                        </w:rPr>
                      </w:pPr>
                      <w:r w:rsidRPr="00EA18D4">
                        <w:rPr>
                          <w:rFonts w:asciiTheme="minorHAnsi" w:hAnsiTheme="minorHAnsi" w:cstheme="minorHAnsi"/>
                          <w:color w:val="2C2D5B"/>
                          <w:sz w:val="19"/>
                          <w:szCs w:val="19"/>
                        </w:rPr>
                        <w:t xml:space="preserve">In this case, the employer refused to pay to an employe an allowance for paid annual leave not taken before the termination of their employment relationship. </w:t>
                      </w:r>
                    </w:p>
                    <w:p w14:paraId="41A15116" w14:textId="77777777" w:rsidR="00884BC9" w:rsidRPr="00EA18D4" w:rsidRDefault="00884BC9" w:rsidP="00884BC9">
                      <w:pPr>
                        <w:spacing w:line="276" w:lineRule="auto"/>
                        <w:jc w:val="both"/>
                        <w:rPr>
                          <w:rFonts w:asciiTheme="minorHAnsi" w:hAnsiTheme="minorHAnsi" w:cstheme="minorHAnsi"/>
                          <w:color w:val="2C2D5B"/>
                          <w:sz w:val="19"/>
                          <w:szCs w:val="19"/>
                        </w:rPr>
                      </w:pPr>
                    </w:p>
                    <w:p w14:paraId="64B09C0C" w14:textId="17E40E09" w:rsidR="00884BC9" w:rsidRPr="00EA18D4" w:rsidRDefault="00884BC9" w:rsidP="00884BC9">
                      <w:pPr>
                        <w:spacing w:line="276" w:lineRule="auto"/>
                        <w:jc w:val="both"/>
                        <w:rPr>
                          <w:rFonts w:asciiTheme="minorHAnsi" w:hAnsiTheme="minorHAnsi" w:cstheme="minorHAnsi"/>
                          <w:b/>
                          <w:bCs/>
                          <w:color w:val="2C2D5B"/>
                          <w:sz w:val="19"/>
                          <w:szCs w:val="19"/>
                        </w:rPr>
                      </w:pPr>
                      <w:r w:rsidRPr="00EA18D4">
                        <w:rPr>
                          <w:rFonts w:asciiTheme="minorHAnsi" w:hAnsiTheme="minorHAnsi" w:cstheme="minorHAnsi"/>
                          <w:b/>
                          <w:bCs/>
                          <w:color w:val="2C2D5B"/>
                          <w:sz w:val="19"/>
                          <w:szCs w:val="19"/>
                        </w:rPr>
                        <w:t>Key Points</w:t>
                      </w:r>
                      <w:r w:rsidR="00FF67A2" w:rsidRPr="00EA18D4">
                        <w:rPr>
                          <w:rFonts w:asciiTheme="minorHAnsi" w:hAnsiTheme="minorHAnsi" w:cstheme="minorHAnsi"/>
                          <w:b/>
                          <w:bCs/>
                          <w:color w:val="2C2D5B"/>
                          <w:sz w:val="19"/>
                          <w:szCs w:val="19"/>
                        </w:rPr>
                        <w:t xml:space="preserve"> </w:t>
                      </w:r>
                      <w:r w:rsidRPr="00EA18D4">
                        <w:rPr>
                          <w:rFonts w:asciiTheme="minorHAnsi" w:hAnsiTheme="minorHAnsi" w:cstheme="minorHAnsi"/>
                          <w:b/>
                          <w:bCs/>
                          <w:color w:val="2C2D5B"/>
                          <w:sz w:val="19"/>
                          <w:szCs w:val="19"/>
                        </w:rPr>
                        <w:t xml:space="preserve">: </w:t>
                      </w:r>
                    </w:p>
                    <w:p w14:paraId="665F5724" w14:textId="22FB3867" w:rsidR="00884BC9" w:rsidRPr="00EA18D4" w:rsidRDefault="00884BC9" w:rsidP="008B4B98">
                      <w:pPr>
                        <w:pStyle w:val="Paragraphedeliste"/>
                        <w:numPr>
                          <w:ilvl w:val="0"/>
                          <w:numId w:val="6"/>
                        </w:numPr>
                        <w:spacing w:line="276" w:lineRule="auto"/>
                        <w:jc w:val="both"/>
                        <w:rPr>
                          <w:rFonts w:asciiTheme="minorHAnsi" w:hAnsiTheme="minorHAnsi" w:cstheme="minorHAnsi"/>
                          <w:b/>
                          <w:bCs/>
                          <w:color w:val="2C2D5B"/>
                          <w:sz w:val="19"/>
                          <w:szCs w:val="19"/>
                        </w:rPr>
                      </w:pPr>
                      <w:r w:rsidRPr="00EA18D4">
                        <w:rPr>
                          <w:rFonts w:asciiTheme="minorHAnsi" w:hAnsiTheme="minorHAnsi" w:cstheme="minorHAnsi"/>
                          <w:b/>
                          <w:bCs/>
                          <w:color w:val="2C2D5B"/>
                          <w:sz w:val="19"/>
                          <w:szCs w:val="19"/>
                        </w:rPr>
                        <w:t>Article 31(2) of the Charter</w:t>
                      </w:r>
                      <w:r w:rsidR="00FF67A2" w:rsidRPr="00EA18D4">
                        <w:rPr>
                          <w:rFonts w:asciiTheme="minorHAnsi" w:hAnsiTheme="minorHAnsi" w:cstheme="minorHAnsi"/>
                          <w:b/>
                          <w:bCs/>
                          <w:color w:val="2C2D5B"/>
                          <w:sz w:val="19"/>
                          <w:szCs w:val="19"/>
                        </w:rPr>
                        <w:t xml:space="preserve"> </w:t>
                      </w:r>
                      <w:r w:rsidRPr="00EA18D4">
                        <w:rPr>
                          <w:rFonts w:asciiTheme="minorHAnsi" w:hAnsiTheme="minorHAnsi" w:cstheme="minorHAnsi"/>
                          <w:b/>
                          <w:bCs/>
                          <w:color w:val="2C2D5B"/>
                          <w:sz w:val="19"/>
                          <w:szCs w:val="19"/>
                        </w:rPr>
                        <w:t xml:space="preserve">: </w:t>
                      </w:r>
                      <w:r w:rsidRPr="00EA18D4">
                        <w:rPr>
                          <w:rFonts w:asciiTheme="minorHAnsi" w:hAnsiTheme="minorHAnsi" w:cstheme="minorHAnsi"/>
                          <w:color w:val="2C2D5B"/>
                          <w:sz w:val="19"/>
                          <w:szCs w:val="19"/>
                        </w:rPr>
                        <w:t xml:space="preserve">This article affirms every worker’s right to paid annual leave, a right that is both mandatory and unconditional in its existence. The unconditional nature of this right does not require further definition by EU or national laws, except to set the specific duration and conditions for exercising the right to paid annual leave. </w:t>
                      </w:r>
                    </w:p>
                    <w:p w14:paraId="729EF7A9" w14:textId="1AAF85B0" w:rsidR="00884BC9" w:rsidRPr="00EA18D4" w:rsidRDefault="00884BC9" w:rsidP="008B4B98">
                      <w:pPr>
                        <w:pStyle w:val="Paragraphedeliste"/>
                        <w:numPr>
                          <w:ilvl w:val="0"/>
                          <w:numId w:val="6"/>
                        </w:numPr>
                        <w:spacing w:line="276" w:lineRule="auto"/>
                        <w:jc w:val="both"/>
                        <w:rPr>
                          <w:rFonts w:asciiTheme="minorHAnsi" w:hAnsiTheme="minorHAnsi" w:cstheme="minorHAnsi"/>
                          <w:b/>
                          <w:bCs/>
                          <w:color w:val="2C2D5B"/>
                          <w:sz w:val="19"/>
                          <w:szCs w:val="19"/>
                        </w:rPr>
                      </w:pPr>
                      <w:r w:rsidRPr="00EA18D4">
                        <w:rPr>
                          <w:rFonts w:asciiTheme="minorHAnsi" w:hAnsiTheme="minorHAnsi" w:cstheme="minorHAnsi"/>
                          <w:b/>
                          <w:bCs/>
                          <w:color w:val="2C2D5B"/>
                          <w:sz w:val="19"/>
                          <w:szCs w:val="19"/>
                        </w:rPr>
                        <w:t>Direct applicability</w:t>
                      </w:r>
                      <w:r w:rsidR="00FF67A2" w:rsidRPr="00EA18D4">
                        <w:rPr>
                          <w:rFonts w:asciiTheme="minorHAnsi" w:hAnsiTheme="minorHAnsi" w:cstheme="minorHAnsi"/>
                          <w:b/>
                          <w:bCs/>
                          <w:color w:val="2C2D5B"/>
                          <w:sz w:val="19"/>
                          <w:szCs w:val="19"/>
                        </w:rPr>
                        <w:t xml:space="preserve"> </w:t>
                      </w:r>
                      <w:r w:rsidRPr="00EA18D4">
                        <w:rPr>
                          <w:rFonts w:asciiTheme="minorHAnsi" w:hAnsiTheme="minorHAnsi" w:cstheme="minorHAnsi"/>
                          <w:b/>
                          <w:bCs/>
                          <w:color w:val="2C2D5B"/>
                          <w:sz w:val="19"/>
                          <w:szCs w:val="19"/>
                        </w:rPr>
                        <w:t xml:space="preserve">: </w:t>
                      </w:r>
                      <w:r w:rsidRPr="00EA18D4">
                        <w:rPr>
                          <w:rFonts w:asciiTheme="minorHAnsi" w:hAnsiTheme="minorHAnsi" w:cstheme="minorHAnsi"/>
                          <w:color w:val="2C2D5B"/>
                          <w:sz w:val="19"/>
                          <w:szCs w:val="19"/>
                        </w:rPr>
                        <w:t xml:space="preserve">The provisions of Article 31(2) are sufficiently concrete to grant workers a right they can invoke in disputes with their employers within the scope of EU law. </w:t>
                      </w:r>
                    </w:p>
                    <w:p w14:paraId="57900AB3" w14:textId="77777777" w:rsidR="00884BC9" w:rsidRPr="00EA18D4" w:rsidRDefault="00884BC9" w:rsidP="00884BC9">
                      <w:pPr>
                        <w:spacing w:line="276" w:lineRule="auto"/>
                        <w:jc w:val="both"/>
                        <w:rPr>
                          <w:rFonts w:asciiTheme="minorHAnsi" w:hAnsiTheme="minorHAnsi" w:cstheme="minorHAnsi"/>
                          <w:color w:val="2C2D5B"/>
                          <w:sz w:val="19"/>
                          <w:szCs w:val="19"/>
                        </w:rPr>
                      </w:pPr>
                    </w:p>
                    <w:p w14:paraId="4BF75C0E" w14:textId="5AA8623D" w:rsidR="00884BC9" w:rsidRPr="00EA18D4" w:rsidRDefault="00884BC9" w:rsidP="00884BC9">
                      <w:pPr>
                        <w:spacing w:line="276" w:lineRule="auto"/>
                        <w:jc w:val="both"/>
                        <w:rPr>
                          <w:rFonts w:asciiTheme="minorHAnsi" w:hAnsiTheme="minorHAnsi" w:cstheme="minorHAnsi"/>
                          <w:color w:val="2C2D5B"/>
                          <w:sz w:val="19"/>
                          <w:szCs w:val="19"/>
                        </w:rPr>
                      </w:pPr>
                      <w:r w:rsidRPr="00EA18D4">
                        <w:rPr>
                          <w:rFonts w:asciiTheme="minorHAnsi" w:hAnsiTheme="minorHAnsi" w:cstheme="minorHAnsi"/>
                          <w:b/>
                          <w:bCs/>
                          <w:color w:val="2C2D5B"/>
                          <w:sz w:val="19"/>
                          <w:szCs w:val="19"/>
                        </w:rPr>
                        <w:t>Ruling</w:t>
                      </w:r>
                      <w:r w:rsidR="00FF67A2" w:rsidRPr="00EA18D4">
                        <w:rPr>
                          <w:rFonts w:asciiTheme="minorHAnsi" w:hAnsiTheme="minorHAnsi" w:cstheme="minorHAnsi"/>
                          <w:b/>
                          <w:bCs/>
                          <w:color w:val="2C2D5B"/>
                          <w:sz w:val="19"/>
                          <w:szCs w:val="19"/>
                        </w:rPr>
                        <w:t xml:space="preserve"> </w:t>
                      </w:r>
                      <w:r w:rsidRPr="00EA18D4">
                        <w:rPr>
                          <w:rFonts w:asciiTheme="minorHAnsi" w:hAnsiTheme="minorHAnsi" w:cstheme="minorHAnsi"/>
                          <w:b/>
                          <w:bCs/>
                          <w:color w:val="2C2D5B"/>
                          <w:sz w:val="19"/>
                          <w:szCs w:val="19"/>
                        </w:rPr>
                        <w:t xml:space="preserve">: </w:t>
                      </w:r>
                    </w:p>
                    <w:p w14:paraId="6B93558E" w14:textId="77777777" w:rsidR="00884BC9" w:rsidRPr="00EA18D4" w:rsidRDefault="00884BC9" w:rsidP="00884BC9">
                      <w:pPr>
                        <w:spacing w:line="276" w:lineRule="auto"/>
                        <w:jc w:val="both"/>
                        <w:rPr>
                          <w:rFonts w:asciiTheme="minorHAnsi" w:hAnsiTheme="minorHAnsi" w:cstheme="minorHAnsi"/>
                          <w:color w:val="2C2D5B"/>
                          <w:sz w:val="19"/>
                          <w:szCs w:val="19"/>
                        </w:rPr>
                      </w:pPr>
                      <w:r w:rsidRPr="00EA18D4">
                        <w:rPr>
                          <w:rFonts w:asciiTheme="minorHAnsi" w:hAnsiTheme="minorHAnsi" w:cstheme="minorHAnsi"/>
                          <w:color w:val="2C2D5B"/>
                          <w:sz w:val="19"/>
                          <w:szCs w:val="19"/>
                        </w:rPr>
                        <w:t xml:space="preserve">The CJEU concluded that, in the event that it is impossible to interpret national law consistently with Article 7 of Directive 2003/88 and Article 31(2) of the Charter, a national Court hearing a dispute between an employee and a private employer must set aside the conflicting national legislation. Specifically: </w:t>
                      </w:r>
                    </w:p>
                    <w:p w14:paraId="0E462BF0" w14:textId="77777777" w:rsidR="00884BC9" w:rsidRPr="00EA18D4" w:rsidRDefault="00884BC9" w:rsidP="008B4B98">
                      <w:pPr>
                        <w:pStyle w:val="Paragraphedeliste"/>
                        <w:numPr>
                          <w:ilvl w:val="0"/>
                          <w:numId w:val="7"/>
                        </w:numPr>
                        <w:spacing w:line="276" w:lineRule="auto"/>
                        <w:jc w:val="both"/>
                        <w:rPr>
                          <w:rFonts w:asciiTheme="minorHAnsi" w:hAnsiTheme="minorHAnsi" w:cstheme="minorHAnsi"/>
                          <w:color w:val="2C2D5B"/>
                          <w:sz w:val="19"/>
                          <w:szCs w:val="19"/>
                        </w:rPr>
                      </w:pPr>
                      <w:r w:rsidRPr="00EA18D4">
                        <w:rPr>
                          <w:rFonts w:asciiTheme="minorHAnsi" w:hAnsiTheme="minorHAnsi" w:cstheme="minorHAnsi"/>
                          <w:color w:val="2C2D5B"/>
                          <w:sz w:val="19"/>
                          <w:szCs w:val="19"/>
                        </w:rPr>
                        <w:t xml:space="preserve">The employer must prove they exercised all due diligence to enable the worker to take the entitled paid annual leave </w:t>
                      </w:r>
                    </w:p>
                    <w:p w14:paraId="351059B3" w14:textId="77777777" w:rsidR="00884BC9" w:rsidRPr="00EA18D4" w:rsidRDefault="00884BC9" w:rsidP="008B4B98">
                      <w:pPr>
                        <w:pStyle w:val="Paragraphedeliste"/>
                        <w:numPr>
                          <w:ilvl w:val="0"/>
                          <w:numId w:val="7"/>
                        </w:numPr>
                        <w:spacing w:line="276" w:lineRule="auto"/>
                        <w:jc w:val="both"/>
                        <w:rPr>
                          <w:rFonts w:asciiTheme="minorHAnsi" w:hAnsiTheme="minorHAnsi" w:cstheme="minorHAnsi"/>
                          <w:color w:val="2C2D5B"/>
                          <w:sz w:val="19"/>
                          <w:szCs w:val="19"/>
                        </w:rPr>
                      </w:pPr>
                      <w:r w:rsidRPr="00EA18D4">
                        <w:rPr>
                          <w:rFonts w:asciiTheme="minorHAnsi" w:hAnsiTheme="minorHAnsi" w:cstheme="minorHAnsi"/>
                          <w:color w:val="2C2D5B"/>
                          <w:sz w:val="19"/>
                          <w:szCs w:val="19"/>
                        </w:rPr>
                        <w:t xml:space="preserve">If the employer cannot demonstrate such diligence, the employee retains their right to paid annual leave. Upon termination of employment, this right translates into an entitlement of an allowance in lieu of untaken leave, which must be paid directly by the employer. </w:t>
                      </w:r>
                    </w:p>
                    <w:p w14:paraId="4F4DF4C1" w14:textId="77777777" w:rsidR="00884BC9" w:rsidRPr="00327D5A" w:rsidRDefault="00884BC9" w:rsidP="00884BC9">
                      <w:pPr>
                        <w:spacing w:line="276" w:lineRule="auto"/>
                        <w:jc w:val="both"/>
                        <w:rPr>
                          <w:rFonts w:asciiTheme="minorHAnsi" w:hAnsiTheme="minorHAnsi" w:cstheme="minorHAnsi"/>
                          <w:sz w:val="20"/>
                          <w:szCs w:val="20"/>
                        </w:rPr>
                      </w:pPr>
                    </w:p>
                    <w:p w14:paraId="7CB369F3" w14:textId="77777777" w:rsidR="00884BC9" w:rsidRPr="00B53E64" w:rsidRDefault="00884BC9" w:rsidP="00884BC9"/>
                  </w:txbxContent>
                </v:textbox>
                <w10:wrap type="square" anchorx="margin"/>
              </v:roundrect>
            </w:pict>
          </mc:Fallback>
        </mc:AlternateContent>
      </w:r>
    </w:p>
    <w:p w14:paraId="1DBEE444" w14:textId="48AD826F" w:rsidR="00C71191" w:rsidRPr="00FF67A2" w:rsidRDefault="000D1ED9" w:rsidP="00FF67A2">
      <w:pPr>
        <w:pStyle w:val="Nadpis2"/>
        <w:ind w:left="708" w:hanging="1275"/>
        <w:rPr>
          <w:rFonts w:asciiTheme="minorHAnsi" w:hAnsiTheme="minorHAnsi" w:cstheme="minorHAnsi"/>
          <w:b/>
          <w:bCs/>
          <w:sz w:val="32"/>
          <w:szCs w:val="32"/>
        </w:rPr>
      </w:pPr>
      <w:bookmarkStart w:id="10" w:name="_Toc188457869"/>
      <w:bookmarkStart w:id="11" w:name="_Hlk187168686"/>
      <w:r w:rsidRPr="00FF67A2">
        <w:rPr>
          <w:rFonts w:asciiTheme="minorHAnsi" w:hAnsiTheme="minorHAnsi" w:cstheme="minorHAnsi"/>
          <w:b/>
          <w:bCs/>
          <w:color w:val="B6A04C"/>
          <w:sz w:val="32"/>
          <w:szCs w:val="32"/>
        </w:rPr>
        <w:t>4</w:t>
      </w:r>
      <w:r w:rsidR="00C71191" w:rsidRPr="00FF67A2">
        <w:rPr>
          <w:rFonts w:asciiTheme="minorHAnsi" w:hAnsiTheme="minorHAnsi" w:cstheme="minorHAnsi"/>
          <w:b/>
          <w:bCs/>
          <w:color w:val="B6A04C"/>
          <w:sz w:val="32"/>
          <w:szCs w:val="32"/>
        </w:rPr>
        <w:t>.</w:t>
      </w:r>
      <w:r w:rsidR="00B456EC" w:rsidRPr="00FF67A2">
        <w:rPr>
          <w:rFonts w:asciiTheme="minorHAnsi" w:hAnsiTheme="minorHAnsi" w:cstheme="minorHAnsi"/>
          <w:b/>
          <w:bCs/>
          <w:color w:val="B6A04C"/>
          <w:sz w:val="32"/>
          <w:szCs w:val="32"/>
        </w:rPr>
        <w:t xml:space="preserve">3 </w:t>
      </w:r>
      <w:r w:rsidR="00C71191" w:rsidRPr="00FF67A2">
        <w:rPr>
          <w:rFonts w:asciiTheme="minorHAnsi" w:hAnsiTheme="minorHAnsi" w:cstheme="minorHAnsi"/>
          <w:b/>
          <w:bCs/>
          <w:sz w:val="32"/>
          <w:szCs w:val="32"/>
        </w:rPr>
        <w:t>Rights vs Principles: what can be directly invoked ?</w:t>
      </w:r>
      <w:bookmarkEnd w:id="10"/>
      <w:r w:rsidR="00C71191" w:rsidRPr="00FF67A2">
        <w:rPr>
          <w:rFonts w:asciiTheme="minorHAnsi" w:hAnsiTheme="minorHAnsi" w:cstheme="minorHAnsi"/>
          <w:b/>
          <w:bCs/>
          <w:sz w:val="32"/>
          <w:szCs w:val="32"/>
        </w:rPr>
        <w:t xml:space="preserve"> </w:t>
      </w:r>
    </w:p>
    <w:bookmarkEnd w:id="11"/>
    <w:p w14:paraId="40A1E9A8" w14:textId="7AF1BE54" w:rsidR="00C71191" w:rsidRDefault="00C71191" w:rsidP="00616814">
      <w:pPr>
        <w:spacing w:line="276" w:lineRule="auto"/>
        <w:jc w:val="both"/>
        <w:rPr>
          <w:rFonts w:ascii="Calibri" w:hAnsi="Calibri" w:cs="Calibri"/>
          <w:b/>
          <w:bCs/>
        </w:rPr>
      </w:pPr>
    </w:p>
    <w:p w14:paraId="553D5F95" w14:textId="2A4AA11D" w:rsidR="00B20C69" w:rsidRPr="00FF67A2" w:rsidRDefault="0020004F" w:rsidP="00616814">
      <w:pPr>
        <w:spacing w:line="276" w:lineRule="auto"/>
        <w:jc w:val="both"/>
        <w:rPr>
          <w:rFonts w:asciiTheme="majorHAnsi" w:hAnsiTheme="majorHAnsi" w:cstheme="majorHAnsi"/>
          <w:color w:val="2C2D5B"/>
        </w:rPr>
      </w:pPr>
      <w:r w:rsidRPr="00FF67A2">
        <w:rPr>
          <w:rFonts w:asciiTheme="majorHAnsi" w:hAnsiTheme="majorHAnsi" w:cstheme="majorHAnsi"/>
          <w:color w:val="2C2D5B"/>
        </w:rPr>
        <w:t>According to the</w:t>
      </w:r>
      <w:r w:rsidRPr="00FF67A2">
        <w:rPr>
          <w:rFonts w:asciiTheme="majorHAnsi" w:hAnsiTheme="majorHAnsi" w:cstheme="majorHAnsi"/>
          <w:b/>
          <w:bCs/>
          <w:color w:val="2C2D5B"/>
        </w:rPr>
        <w:t xml:space="preserve"> direct effect principle, </w:t>
      </w:r>
      <w:r w:rsidR="00007D42" w:rsidRPr="00FF67A2">
        <w:rPr>
          <w:rFonts w:asciiTheme="majorHAnsi" w:hAnsiTheme="majorHAnsi" w:cstheme="majorHAnsi"/>
          <w:color w:val="2C2D5B"/>
        </w:rPr>
        <w:t xml:space="preserve">a </w:t>
      </w:r>
      <w:r w:rsidR="002A3051" w:rsidRPr="00FF67A2">
        <w:rPr>
          <w:rFonts w:asciiTheme="majorHAnsi" w:hAnsiTheme="majorHAnsi" w:cstheme="majorHAnsi"/>
          <w:color w:val="2C2D5B"/>
        </w:rPr>
        <w:t xml:space="preserve">provision </w:t>
      </w:r>
      <w:r w:rsidR="00EC2273" w:rsidRPr="00FF67A2">
        <w:rPr>
          <w:rFonts w:asciiTheme="majorHAnsi" w:hAnsiTheme="majorHAnsi" w:cstheme="majorHAnsi"/>
          <w:color w:val="2C2D5B"/>
        </w:rPr>
        <w:t>must be clear, precise and unconditional</w:t>
      </w:r>
      <w:r w:rsidRPr="00FF67A2">
        <w:rPr>
          <w:rFonts w:asciiTheme="majorHAnsi" w:hAnsiTheme="majorHAnsi" w:cstheme="majorHAnsi"/>
          <w:color w:val="2C2D5B"/>
        </w:rPr>
        <w:t xml:space="preserve"> </w:t>
      </w:r>
      <w:r w:rsidR="00C811AA" w:rsidRPr="00FF67A2">
        <w:rPr>
          <w:rFonts w:asciiTheme="majorHAnsi" w:hAnsiTheme="majorHAnsi" w:cstheme="majorHAnsi"/>
          <w:color w:val="2C2D5B"/>
        </w:rPr>
        <w:t xml:space="preserve">to be invoked </w:t>
      </w:r>
      <w:r w:rsidRPr="00FF67A2">
        <w:rPr>
          <w:rFonts w:asciiTheme="majorHAnsi" w:hAnsiTheme="majorHAnsi" w:cstheme="majorHAnsi"/>
          <w:color w:val="2C2D5B"/>
        </w:rPr>
        <w:t>by individual</w:t>
      </w:r>
      <w:r w:rsidR="00C811AA" w:rsidRPr="00FF67A2">
        <w:rPr>
          <w:rFonts w:asciiTheme="majorHAnsi" w:hAnsiTheme="majorHAnsi" w:cstheme="majorHAnsi"/>
          <w:color w:val="2C2D5B"/>
        </w:rPr>
        <w:t xml:space="preserve">s. </w:t>
      </w:r>
      <w:r w:rsidRPr="00FF67A2">
        <w:rPr>
          <w:rFonts w:asciiTheme="majorHAnsi" w:hAnsiTheme="majorHAnsi" w:cstheme="majorHAnsi"/>
          <w:color w:val="2C2D5B"/>
        </w:rPr>
        <w:t>T</w:t>
      </w:r>
      <w:r w:rsidR="00616814" w:rsidRPr="00FF67A2">
        <w:rPr>
          <w:rFonts w:asciiTheme="majorHAnsi" w:hAnsiTheme="majorHAnsi" w:cstheme="majorHAnsi"/>
          <w:color w:val="2C2D5B"/>
        </w:rPr>
        <w:t>herefore, rights</w:t>
      </w:r>
      <w:r w:rsidR="00007D42" w:rsidRPr="00FF67A2">
        <w:rPr>
          <w:rFonts w:asciiTheme="majorHAnsi" w:hAnsiTheme="majorHAnsi" w:cstheme="majorHAnsi"/>
          <w:color w:val="2C2D5B"/>
        </w:rPr>
        <w:t xml:space="preserve"> listed in the charter</w:t>
      </w:r>
      <w:r w:rsidR="00616814" w:rsidRPr="00FF67A2">
        <w:rPr>
          <w:rFonts w:asciiTheme="majorHAnsi" w:hAnsiTheme="majorHAnsi" w:cstheme="majorHAnsi"/>
          <w:color w:val="2C2D5B"/>
        </w:rPr>
        <w:t xml:space="preserve"> may be invoked</w:t>
      </w:r>
      <w:r w:rsidR="00A04C19" w:rsidRPr="00FF67A2">
        <w:rPr>
          <w:rFonts w:asciiTheme="majorHAnsi" w:hAnsiTheme="majorHAnsi" w:cstheme="majorHAnsi"/>
          <w:color w:val="2C2D5B"/>
        </w:rPr>
        <w:t xml:space="preserve">, but principles must be specified and developed in EU or national law. </w:t>
      </w:r>
    </w:p>
    <w:p w14:paraId="535A1292" w14:textId="77777777" w:rsidR="00B20C69" w:rsidRPr="00FF67A2" w:rsidRDefault="00B20C69" w:rsidP="00616814">
      <w:pPr>
        <w:spacing w:line="276" w:lineRule="auto"/>
        <w:jc w:val="both"/>
        <w:rPr>
          <w:rFonts w:ascii="Calibri" w:hAnsi="Calibri" w:cs="Calibri"/>
          <w:color w:val="2C2D5B"/>
        </w:rPr>
      </w:pPr>
    </w:p>
    <w:p w14:paraId="65988E6C" w14:textId="77777777" w:rsidR="00EA18D4" w:rsidRDefault="0020004F" w:rsidP="00616814">
      <w:pPr>
        <w:spacing w:line="276" w:lineRule="auto"/>
        <w:jc w:val="both"/>
        <w:rPr>
          <w:rFonts w:asciiTheme="majorHAnsi" w:hAnsiTheme="majorHAnsi" w:cstheme="majorHAnsi"/>
          <w:color w:val="2C2D5B"/>
        </w:rPr>
      </w:pPr>
      <w:r w:rsidRPr="00FF67A2">
        <w:rPr>
          <w:rFonts w:asciiTheme="majorHAnsi" w:hAnsiTheme="majorHAnsi" w:cstheme="majorHAnsi"/>
          <w:b/>
          <w:bCs/>
          <w:color w:val="2C2D5B"/>
        </w:rPr>
        <w:t>A</w:t>
      </w:r>
      <w:r w:rsidR="00616814" w:rsidRPr="00FF67A2">
        <w:rPr>
          <w:rFonts w:asciiTheme="majorHAnsi" w:hAnsiTheme="majorHAnsi" w:cstheme="majorHAnsi"/>
          <w:b/>
          <w:bCs/>
          <w:color w:val="2C2D5B"/>
        </w:rPr>
        <w:t>rticle 51(1) EChFR</w:t>
      </w:r>
      <w:r w:rsidRPr="00FF67A2">
        <w:rPr>
          <w:rFonts w:asciiTheme="majorHAnsi" w:hAnsiTheme="majorHAnsi" w:cstheme="majorHAnsi"/>
          <w:color w:val="2C2D5B"/>
        </w:rPr>
        <w:t xml:space="preserve"> points out that </w:t>
      </w:r>
      <w:r w:rsidR="00616814" w:rsidRPr="00FF67A2">
        <w:rPr>
          <w:rFonts w:asciiTheme="majorHAnsi" w:hAnsiTheme="majorHAnsi" w:cstheme="majorHAnsi"/>
          <w:color w:val="2C2D5B"/>
        </w:rPr>
        <w:t xml:space="preserve">principles </w:t>
      </w:r>
      <w:r w:rsidR="00A04C19" w:rsidRPr="00FF67A2">
        <w:rPr>
          <w:rFonts w:asciiTheme="majorHAnsi" w:hAnsiTheme="majorHAnsi" w:cstheme="majorHAnsi"/>
          <w:color w:val="2C2D5B"/>
        </w:rPr>
        <w:t xml:space="preserve">require clarification and development </w:t>
      </w:r>
      <w:r w:rsidR="00616814" w:rsidRPr="00FF67A2">
        <w:rPr>
          <w:rFonts w:asciiTheme="majorHAnsi" w:hAnsiTheme="majorHAnsi" w:cstheme="majorHAnsi"/>
          <w:color w:val="2C2D5B"/>
        </w:rPr>
        <w:t>in EU or national law</w:t>
      </w:r>
      <w:r w:rsidR="00EC2273" w:rsidRPr="00FF67A2">
        <w:rPr>
          <w:rFonts w:asciiTheme="majorHAnsi" w:hAnsiTheme="majorHAnsi" w:cstheme="majorHAnsi"/>
          <w:color w:val="2C2D5B"/>
        </w:rPr>
        <w:t xml:space="preserve">. </w:t>
      </w:r>
      <w:r w:rsidR="00A04C19" w:rsidRPr="00FF67A2">
        <w:rPr>
          <w:rFonts w:asciiTheme="majorHAnsi" w:hAnsiTheme="majorHAnsi" w:cstheme="majorHAnsi"/>
          <w:color w:val="2C2D5B"/>
        </w:rPr>
        <w:t>Similarly</w:t>
      </w:r>
      <w:r w:rsidR="00616814" w:rsidRPr="00FF67A2">
        <w:rPr>
          <w:rFonts w:asciiTheme="majorHAnsi" w:hAnsiTheme="majorHAnsi" w:cstheme="majorHAnsi"/>
          <w:color w:val="2C2D5B"/>
        </w:rPr>
        <w:t xml:space="preserve">, </w:t>
      </w:r>
      <w:r w:rsidR="00A04C19" w:rsidRPr="00FF67A2">
        <w:rPr>
          <w:rFonts w:asciiTheme="majorHAnsi" w:hAnsiTheme="majorHAnsi" w:cstheme="majorHAnsi"/>
          <w:color w:val="2C2D5B"/>
        </w:rPr>
        <w:t>A</w:t>
      </w:r>
      <w:r w:rsidR="00E010A2" w:rsidRPr="00FF67A2">
        <w:rPr>
          <w:rFonts w:asciiTheme="majorHAnsi" w:hAnsiTheme="majorHAnsi" w:cstheme="majorHAnsi"/>
          <w:color w:val="2C2D5B"/>
        </w:rPr>
        <w:t>rticle</w:t>
      </w:r>
      <w:r w:rsidR="00B65396" w:rsidRPr="00FF67A2">
        <w:rPr>
          <w:rFonts w:asciiTheme="majorHAnsi" w:hAnsiTheme="majorHAnsi" w:cstheme="majorHAnsi"/>
          <w:color w:val="2C2D5B"/>
        </w:rPr>
        <w:t xml:space="preserve"> </w:t>
      </w:r>
      <w:r w:rsidR="00091EF5" w:rsidRPr="00FF67A2">
        <w:rPr>
          <w:rFonts w:asciiTheme="majorHAnsi" w:hAnsiTheme="majorHAnsi" w:cstheme="majorHAnsi"/>
          <w:color w:val="2C2D5B"/>
        </w:rPr>
        <w:t>5</w:t>
      </w:r>
      <w:r w:rsidR="00616814" w:rsidRPr="00FF67A2">
        <w:rPr>
          <w:rFonts w:asciiTheme="majorHAnsi" w:hAnsiTheme="majorHAnsi" w:cstheme="majorHAnsi"/>
          <w:color w:val="2C2D5B"/>
        </w:rPr>
        <w:t xml:space="preserve">2(5) EChFR </w:t>
      </w:r>
      <w:r w:rsidR="00A04C19" w:rsidRPr="00FF67A2">
        <w:rPr>
          <w:rFonts w:asciiTheme="majorHAnsi" w:hAnsiTheme="majorHAnsi" w:cstheme="majorHAnsi"/>
          <w:color w:val="2C2D5B"/>
        </w:rPr>
        <w:t>emphasi</w:t>
      </w:r>
      <w:r w:rsidR="00B65396" w:rsidRPr="00FF67A2">
        <w:rPr>
          <w:rFonts w:asciiTheme="majorHAnsi" w:hAnsiTheme="majorHAnsi" w:cstheme="majorHAnsi"/>
          <w:color w:val="2C2D5B"/>
        </w:rPr>
        <w:t>s</w:t>
      </w:r>
      <w:r w:rsidR="00A04C19" w:rsidRPr="00FF67A2">
        <w:rPr>
          <w:rFonts w:asciiTheme="majorHAnsi" w:hAnsiTheme="majorHAnsi" w:cstheme="majorHAnsi"/>
          <w:color w:val="2C2D5B"/>
        </w:rPr>
        <w:t>es the</w:t>
      </w:r>
      <w:r w:rsidR="00616814" w:rsidRPr="00FF67A2">
        <w:rPr>
          <w:rFonts w:asciiTheme="majorHAnsi" w:hAnsiTheme="majorHAnsi" w:cstheme="majorHAnsi"/>
          <w:color w:val="2C2D5B"/>
        </w:rPr>
        <w:t xml:space="preserve"> central role </w:t>
      </w:r>
      <w:r w:rsidR="00A04C19" w:rsidRPr="00FF67A2">
        <w:rPr>
          <w:rFonts w:asciiTheme="majorHAnsi" w:hAnsiTheme="majorHAnsi" w:cstheme="majorHAnsi"/>
          <w:color w:val="2C2D5B"/>
        </w:rPr>
        <w:t xml:space="preserve">of principles </w:t>
      </w:r>
      <w:r w:rsidR="00616814" w:rsidRPr="00FF67A2">
        <w:rPr>
          <w:rFonts w:asciiTheme="majorHAnsi" w:hAnsiTheme="majorHAnsi" w:cstheme="majorHAnsi"/>
          <w:color w:val="2C2D5B"/>
        </w:rPr>
        <w:t xml:space="preserve">in the interpretation </w:t>
      </w:r>
      <w:r w:rsidR="00B65396" w:rsidRPr="00FF67A2">
        <w:rPr>
          <w:rFonts w:asciiTheme="majorHAnsi" w:hAnsiTheme="majorHAnsi" w:cstheme="majorHAnsi"/>
          <w:color w:val="2C2D5B"/>
        </w:rPr>
        <w:t>and the</w:t>
      </w:r>
      <w:r w:rsidR="00616814" w:rsidRPr="00FF67A2">
        <w:rPr>
          <w:rFonts w:asciiTheme="majorHAnsi" w:hAnsiTheme="majorHAnsi" w:cstheme="majorHAnsi"/>
          <w:color w:val="2C2D5B"/>
        </w:rPr>
        <w:t xml:space="preserve"> development </w:t>
      </w:r>
      <w:r w:rsidR="00B65396" w:rsidRPr="00FF67A2">
        <w:rPr>
          <w:rFonts w:asciiTheme="majorHAnsi" w:hAnsiTheme="majorHAnsi" w:cstheme="majorHAnsi"/>
          <w:color w:val="2C2D5B"/>
        </w:rPr>
        <w:t xml:space="preserve">of </w:t>
      </w:r>
      <w:r w:rsidR="00616814" w:rsidRPr="00FF67A2">
        <w:rPr>
          <w:rFonts w:asciiTheme="majorHAnsi" w:hAnsiTheme="majorHAnsi" w:cstheme="majorHAnsi"/>
          <w:color w:val="2C2D5B"/>
        </w:rPr>
        <w:t>rules.</w:t>
      </w:r>
    </w:p>
    <w:p w14:paraId="1FC83CF3" w14:textId="77777777" w:rsidR="00EA18D4" w:rsidRDefault="00EA18D4" w:rsidP="00616814">
      <w:pPr>
        <w:spacing w:line="276" w:lineRule="auto"/>
        <w:jc w:val="both"/>
        <w:rPr>
          <w:rFonts w:asciiTheme="majorHAnsi" w:hAnsiTheme="majorHAnsi" w:cstheme="majorHAnsi"/>
          <w:color w:val="2C2D5B"/>
        </w:rPr>
      </w:pPr>
    </w:p>
    <w:p w14:paraId="5641FB36" w14:textId="77777777" w:rsidR="00EA18D4" w:rsidRDefault="00EA18D4" w:rsidP="00616814">
      <w:pPr>
        <w:spacing w:line="276" w:lineRule="auto"/>
        <w:jc w:val="both"/>
        <w:rPr>
          <w:rFonts w:asciiTheme="majorHAnsi" w:hAnsiTheme="majorHAnsi" w:cstheme="majorHAnsi"/>
          <w:color w:val="2C2D5B"/>
        </w:rPr>
      </w:pPr>
    </w:p>
    <w:p w14:paraId="4349726B" w14:textId="77777777" w:rsidR="00EA18D4" w:rsidRDefault="00EA18D4" w:rsidP="00616814">
      <w:pPr>
        <w:spacing w:line="276" w:lineRule="auto"/>
        <w:jc w:val="both"/>
        <w:rPr>
          <w:rFonts w:asciiTheme="majorHAnsi" w:hAnsiTheme="majorHAnsi" w:cstheme="majorHAnsi"/>
          <w:color w:val="2C2D5B"/>
        </w:rPr>
      </w:pPr>
    </w:p>
    <w:p w14:paraId="5766120D" w14:textId="77777777" w:rsidR="00EA18D4" w:rsidRDefault="00EA18D4" w:rsidP="00616814">
      <w:pPr>
        <w:spacing w:line="276" w:lineRule="auto"/>
        <w:jc w:val="both"/>
        <w:rPr>
          <w:rFonts w:asciiTheme="majorHAnsi" w:hAnsiTheme="majorHAnsi" w:cstheme="majorHAnsi"/>
          <w:color w:val="2C2D5B"/>
        </w:rPr>
      </w:pPr>
    </w:p>
    <w:p w14:paraId="0AF09BB6" w14:textId="77777777" w:rsidR="00EA18D4" w:rsidRDefault="00EA18D4" w:rsidP="00616814">
      <w:pPr>
        <w:spacing w:line="276" w:lineRule="auto"/>
        <w:jc w:val="both"/>
        <w:rPr>
          <w:rFonts w:asciiTheme="majorHAnsi" w:hAnsiTheme="majorHAnsi" w:cstheme="majorHAnsi"/>
          <w:color w:val="2C2D5B"/>
        </w:rPr>
      </w:pPr>
    </w:p>
    <w:p w14:paraId="469E9062" w14:textId="77777777" w:rsidR="00EA18D4" w:rsidRPr="004B2B84" w:rsidRDefault="00EA18D4" w:rsidP="00616814">
      <w:pPr>
        <w:spacing w:line="276" w:lineRule="auto"/>
        <w:jc w:val="both"/>
        <w:rPr>
          <w:rFonts w:asciiTheme="majorHAnsi" w:hAnsiTheme="majorHAnsi" w:cstheme="majorHAnsi"/>
          <w:color w:val="2C2D5B"/>
          <w:sz w:val="16"/>
          <w:szCs w:val="16"/>
        </w:rPr>
      </w:pPr>
    </w:p>
    <w:p w14:paraId="04FEC5F3" w14:textId="2B8939A0" w:rsidR="00FF67A2" w:rsidRDefault="00616814" w:rsidP="00EA18D4">
      <w:pPr>
        <w:spacing w:line="276" w:lineRule="auto"/>
        <w:jc w:val="both"/>
        <w:rPr>
          <w:rFonts w:asciiTheme="majorHAnsi" w:hAnsiTheme="majorHAnsi" w:cstheme="majorHAnsi"/>
          <w:color w:val="2C2D5B"/>
        </w:rPr>
      </w:pPr>
      <w:r w:rsidRPr="00FF67A2">
        <w:rPr>
          <w:rFonts w:asciiTheme="majorHAnsi" w:hAnsiTheme="majorHAnsi" w:cstheme="majorHAnsi"/>
          <w:color w:val="2C2D5B"/>
        </w:rPr>
        <w:t xml:space="preserve"> </w:t>
      </w:r>
      <w:r w:rsidR="00EC2273" w:rsidRPr="00FF67A2">
        <w:rPr>
          <w:rFonts w:asciiTheme="majorHAnsi" w:hAnsiTheme="majorHAnsi" w:cstheme="majorHAnsi"/>
          <w:color w:val="2C2D5B"/>
        </w:rPr>
        <w:t xml:space="preserve">However, the definition of rights and principles and the distinction between these two concepts have not been </w:t>
      </w:r>
      <w:r w:rsidRPr="00FF67A2">
        <w:rPr>
          <w:rFonts w:asciiTheme="majorHAnsi" w:hAnsiTheme="majorHAnsi" w:cstheme="majorHAnsi"/>
          <w:color w:val="2C2D5B"/>
        </w:rPr>
        <w:t xml:space="preserve">yet </w:t>
      </w:r>
      <w:r w:rsidR="00EC2273" w:rsidRPr="00FF67A2">
        <w:rPr>
          <w:rFonts w:asciiTheme="majorHAnsi" w:hAnsiTheme="majorHAnsi" w:cstheme="majorHAnsi"/>
          <w:color w:val="2C2D5B"/>
        </w:rPr>
        <w:t xml:space="preserve">clarified by the </w:t>
      </w:r>
      <w:r w:rsidRPr="00FF67A2">
        <w:rPr>
          <w:rFonts w:asciiTheme="majorHAnsi" w:hAnsiTheme="majorHAnsi" w:cstheme="majorHAnsi"/>
          <w:color w:val="2C2D5B"/>
        </w:rPr>
        <w:t>CJEU</w:t>
      </w:r>
      <w:r w:rsidR="00EC2273" w:rsidRPr="00FF67A2">
        <w:rPr>
          <w:rFonts w:asciiTheme="majorHAnsi" w:hAnsiTheme="majorHAnsi" w:cstheme="majorHAnsi"/>
          <w:color w:val="2C2D5B"/>
        </w:rPr>
        <w:t xml:space="preserve">. </w:t>
      </w:r>
    </w:p>
    <w:p w14:paraId="4402A835" w14:textId="16227FEF" w:rsidR="00FF67A2" w:rsidRPr="00FF67A2" w:rsidRDefault="004B2B84" w:rsidP="00616814">
      <w:pPr>
        <w:spacing w:line="276" w:lineRule="auto"/>
        <w:jc w:val="both"/>
        <w:rPr>
          <w:rFonts w:asciiTheme="majorHAnsi" w:hAnsiTheme="majorHAnsi" w:cstheme="majorHAnsi"/>
          <w:color w:val="2C2D5B"/>
          <w:sz w:val="16"/>
          <w:szCs w:val="16"/>
        </w:rPr>
      </w:pPr>
      <w:r w:rsidRPr="005A6959">
        <w:rPr>
          <w:rFonts w:ascii="Calibri" w:hAnsi="Calibri" w:cs="Calibri"/>
          <w:noProof/>
          <w:lang w:eastAsia="ca-ES"/>
          <w14:ligatures w14:val="standardContextual"/>
        </w:rPr>
        <w:drawing>
          <wp:inline distT="0" distB="0" distL="0" distR="0" wp14:anchorId="7C658DCF" wp14:editId="498B4BCD">
            <wp:extent cx="5372100" cy="1940534"/>
            <wp:effectExtent l="0" t="0" r="0" b="3175"/>
            <wp:docPr id="1" name="Diagrama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62CD0DDC" w14:textId="4492A6B3" w:rsidR="00EC2273" w:rsidRPr="004B2B84" w:rsidRDefault="004B2B84" w:rsidP="00EC2273">
      <w:pPr>
        <w:spacing w:line="276" w:lineRule="auto"/>
        <w:jc w:val="both"/>
        <w:rPr>
          <w:rFonts w:ascii="Calibri" w:hAnsi="Calibri" w:cs="Calibri"/>
          <w:sz w:val="14"/>
          <w:szCs w:val="14"/>
        </w:rPr>
      </w:pPr>
      <w:r w:rsidRPr="005A6959">
        <w:rPr>
          <w:rFonts w:ascii="Calibri" w:hAnsi="Calibri" w:cs="Calibri"/>
          <w:noProof/>
        </w:rPr>
        <mc:AlternateContent>
          <mc:Choice Requires="wps">
            <w:drawing>
              <wp:anchor distT="45720" distB="45720" distL="114300" distR="114300" simplePos="0" relativeHeight="251734016" behindDoc="0" locked="0" layoutInCell="1" allowOverlap="1" wp14:anchorId="1771B784" wp14:editId="1A300870">
                <wp:simplePos x="0" y="0"/>
                <wp:positionH relativeFrom="margin">
                  <wp:posOffset>-8255</wp:posOffset>
                </wp:positionH>
                <wp:positionV relativeFrom="paragraph">
                  <wp:posOffset>161925</wp:posOffset>
                </wp:positionV>
                <wp:extent cx="5381625" cy="1173480"/>
                <wp:effectExtent l="0" t="0" r="28575" b="26670"/>
                <wp:wrapSquare wrapText="bothSides"/>
                <wp:docPr id="113422929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1625" cy="1173480"/>
                        </a:xfrm>
                        <a:prstGeom prst="roundRect">
                          <a:avLst/>
                        </a:prstGeom>
                        <a:solidFill>
                          <a:schemeClr val="accent4">
                            <a:lumMod val="20000"/>
                            <a:lumOff val="80000"/>
                          </a:schemeClr>
                        </a:solidFill>
                        <a:ln w="9525">
                          <a:solidFill>
                            <a:schemeClr val="accent2">
                              <a:lumMod val="20000"/>
                              <a:lumOff val="80000"/>
                            </a:schemeClr>
                          </a:solidFill>
                          <a:miter lim="800000"/>
                          <a:headEnd/>
                          <a:tailEnd/>
                        </a:ln>
                      </wps:spPr>
                      <wps:txbx>
                        <w:txbxContent>
                          <w:p w14:paraId="55B9716F" w14:textId="4A195F22" w:rsidR="00C96319" w:rsidRPr="002473AB" w:rsidRDefault="00C96319" w:rsidP="002473AB">
                            <w:pPr>
                              <w:jc w:val="center"/>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How should National Courts interpret EU law</w:t>
                            </w:r>
                            <w:r w:rsidR="002473AB">
                              <w:rPr>
                                <w:rFonts w:asciiTheme="minorHAnsi" w:hAnsiTheme="minorHAnsi" w:cstheme="minorHAnsi"/>
                                <w:b/>
                                <w:bCs/>
                                <w:color w:val="2C2D5B"/>
                                <w:sz w:val="20"/>
                                <w:szCs w:val="20"/>
                              </w:rPr>
                              <w:t xml:space="preserve"> </w:t>
                            </w:r>
                            <w:r w:rsidRPr="002473AB">
                              <w:rPr>
                                <w:rFonts w:asciiTheme="minorHAnsi" w:hAnsiTheme="minorHAnsi" w:cstheme="minorHAnsi"/>
                                <w:b/>
                                <w:bCs/>
                                <w:color w:val="2C2D5B"/>
                                <w:sz w:val="20"/>
                                <w:szCs w:val="20"/>
                              </w:rPr>
                              <w:t>?</w:t>
                            </w:r>
                          </w:p>
                          <w:p w14:paraId="537C7EFE" w14:textId="77777777" w:rsidR="00C96319" w:rsidRPr="002473AB" w:rsidRDefault="00C96319">
                            <w:pPr>
                              <w:rPr>
                                <w:rFonts w:asciiTheme="minorHAnsi" w:hAnsiTheme="minorHAnsi" w:cstheme="minorHAnsi"/>
                                <w:b/>
                                <w:bCs/>
                                <w:color w:val="2C2D5B"/>
                                <w:sz w:val="20"/>
                                <w:szCs w:val="20"/>
                              </w:rPr>
                            </w:pPr>
                          </w:p>
                          <w:p w14:paraId="3711DA52" w14:textId="1FBEBADE" w:rsidR="00C96319" w:rsidRPr="002473AB" w:rsidRDefault="00C96319" w:rsidP="008B4B98">
                            <w:pPr>
                              <w:pStyle w:val="Odstavecseseznamem"/>
                              <w:numPr>
                                <w:ilvl w:val="0"/>
                                <w:numId w:val="8"/>
                              </w:numPr>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Interpretation in Conformity</w:t>
                            </w:r>
                            <w:r w:rsidR="00FF67A2" w:rsidRPr="002473AB">
                              <w:rPr>
                                <w:rFonts w:asciiTheme="minorHAnsi" w:hAnsiTheme="minorHAnsi" w:cstheme="minorHAnsi"/>
                                <w:b/>
                                <w:bCs/>
                                <w:color w:val="2C2D5B"/>
                                <w:sz w:val="20"/>
                                <w:szCs w:val="20"/>
                              </w:rPr>
                              <w:t xml:space="preserve"> </w:t>
                            </w:r>
                            <w:r w:rsidRPr="002473AB">
                              <w:rPr>
                                <w:rFonts w:asciiTheme="minorHAnsi" w:hAnsiTheme="minorHAnsi" w:cstheme="minorHAnsi"/>
                                <w:b/>
                                <w:bCs/>
                                <w:color w:val="2C2D5B"/>
                                <w:sz w:val="20"/>
                                <w:szCs w:val="20"/>
                              </w:rPr>
                              <w:t xml:space="preserve">: </w:t>
                            </w:r>
                            <w:r w:rsidRPr="002473AB">
                              <w:rPr>
                                <w:rFonts w:asciiTheme="minorHAnsi" w:hAnsiTheme="minorHAnsi" w:cstheme="minorHAnsi"/>
                                <w:color w:val="2C2D5B"/>
                                <w:sz w:val="20"/>
                                <w:szCs w:val="20"/>
                              </w:rPr>
                              <w:t xml:space="preserve">National courts should interpret national laws in a way that aligns </w:t>
                            </w:r>
                            <w:r w:rsidR="001C7F81" w:rsidRPr="002473AB">
                              <w:rPr>
                                <w:rFonts w:asciiTheme="minorHAnsi" w:hAnsiTheme="minorHAnsi" w:cstheme="minorHAnsi"/>
                                <w:color w:val="2C2D5B"/>
                                <w:sz w:val="20"/>
                                <w:szCs w:val="20"/>
                              </w:rPr>
                              <w:t xml:space="preserve"> with </w:t>
                            </w:r>
                            <w:r w:rsidRPr="002473AB">
                              <w:rPr>
                                <w:rFonts w:asciiTheme="minorHAnsi" w:hAnsiTheme="minorHAnsi" w:cstheme="minorHAnsi"/>
                                <w:color w:val="2C2D5B"/>
                                <w:sz w:val="20"/>
                                <w:szCs w:val="20"/>
                              </w:rPr>
                              <w:t xml:space="preserve">EU principles. </w:t>
                            </w:r>
                          </w:p>
                          <w:p w14:paraId="11804C1A" w14:textId="731391D7" w:rsidR="00C96319" w:rsidRPr="002473AB" w:rsidRDefault="00C96319" w:rsidP="008B4B98">
                            <w:pPr>
                              <w:pStyle w:val="Odstavecseseznamem"/>
                              <w:numPr>
                                <w:ilvl w:val="0"/>
                                <w:numId w:val="8"/>
                              </w:numPr>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Primacy of EU law</w:t>
                            </w:r>
                            <w:r w:rsidR="00FF67A2" w:rsidRPr="002473AB">
                              <w:rPr>
                                <w:rFonts w:asciiTheme="minorHAnsi" w:hAnsiTheme="minorHAnsi" w:cstheme="minorHAnsi"/>
                                <w:b/>
                                <w:bCs/>
                                <w:color w:val="2C2D5B"/>
                                <w:sz w:val="20"/>
                                <w:szCs w:val="20"/>
                              </w:rPr>
                              <w:t xml:space="preserve"> </w:t>
                            </w:r>
                            <w:r w:rsidRPr="002473AB">
                              <w:rPr>
                                <w:rFonts w:asciiTheme="minorHAnsi" w:hAnsiTheme="minorHAnsi" w:cstheme="minorHAnsi"/>
                                <w:b/>
                                <w:bCs/>
                                <w:color w:val="2C2D5B"/>
                                <w:sz w:val="20"/>
                                <w:szCs w:val="20"/>
                              </w:rPr>
                              <w:t xml:space="preserve">: </w:t>
                            </w:r>
                            <w:r w:rsidRPr="002473AB">
                              <w:rPr>
                                <w:rFonts w:asciiTheme="minorHAnsi" w:hAnsiTheme="minorHAnsi" w:cstheme="minorHAnsi"/>
                                <w:color w:val="2C2D5B"/>
                                <w:sz w:val="20"/>
                                <w:szCs w:val="20"/>
                              </w:rPr>
                              <w:t>If a national law conflicts with EU law and cannot be harmoni</w:t>
                            </w:r>
                            <w:r w:rsidR="00145404" w:rsidRPr="002473AB">
                              <w:rPr>
                                <w:rFonts w:asciiTheme="minorHAnsi" w:hAnsiTheme="minorHAnsi" w:cstheme="minorHAnsi"/>
                                <w:color w:val="2C2D5B"/>
                                <w:sz w:val="20"/>
                                <w:szCs w:val="20"/>
                              </w:rPr>
                              <w:t>s</w:t>
                            </w:r>
                            <w:r w:rsidRPr="002473AB">
                              <w:rPr>
                                <w:rFonts w:asciiTheme="minorHAnsi" w:hAnsiTheme="minorHAnsi" w:cstheme="minorHAnsi"/>
                                <w:color w:val="2C2D5B"/>
                                <w:sz w:val="20"/>
                                <w:szCs w:val="20"/>
                              </w:rPr>
                              <w:t>ed, EU law takes precedence</w:t>
                            </w:r>
                            <w:r w:rsidR="00FF67A2" w:rsidRPr="002473AB">
                              <w:rPr>
                                <w:rFonts w:asciiTheme="minorHAnsi" w:hAnsiTheme="minorHAnsi" w:cstheme="minorHAnsi"/>
                                <w:color w:val="2C2D5B"/>
                                <w:sz w:val="20"/>
                                <w:szCs w:val="20"/>
                              </w:rPr>
                              <w:t>.</w:t>
                            </w:r>
                          </w:p>
                          <w:p w14:paraId="4FAB6B9F" w14:textId="77777777" w:rsidR="00C96319" w:rsidRPr="00B53E64" w:rsidRDefault="00C96319">
                            <w:pPr>
                              <w:rPr>
                                <w:rFonts w:asciiTheme="minorHAnsi" w:hAnsiTheme="minorHAnsi" w:cstheme="minorHAnsi"/>
                                <w:b/>
                                <w:bCs/>
                                <w:sz w:val="20"/>
                                <w:szCs w:val="20"/>
                              </w:rPr>
                            </w:pPr>
                          </w:p>
                          <w:p w14:paraId="40F1FE41" w14:textId="77777777" w:rsidR="00C96319" w:rsidRPr="00327D5A" w:rsidRDefault="00C96319">
                            <w:pPr>
                              <w:rPr>
                                <w:rFonts w:asciiTheme="minorHAnsi" w:hAnsiTheme="minorHAnsi" w:cstheme="minorHAnsi"/>
                                <w:b/>
                                <w:bCs/>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1771B784" id="_x0000_s1041" style="position:absolute;left:0;text-align:left;margin-left:-.65pt;margin-top:12.75pt;width:423.75pt;height:92.4pt;z-index:2517340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4PMpNQIAAKkEAAAOAAAAZHJzL2Uyb0RvYy54bWysVNtu2zAMfR+wfxD0vjpOkzY14hRdug4D&#10;ugvW7QMUSY6FSaImKbHbrx8lO2m2vQxDXwSRtA4PeUgvr3ujyV76oMDWtDybUCItB6Hstqbfv929&#10;WVASIrOCabCypo8y0OvV61fLzlVyCi1oIT1BEBuqztW0jdFVRRF4Kw0LZ+CkxWAD3rCIpt8WwrMO&#10;0Y0uppPJRdGBF84DlyGg93YI0lXGbxrJ4+emCTISXVPkFvPp87lJZ7FasmrrmWsVH2mw/2BhmLKY&#10;9Ah1yyIjO6/+gjKKewjQxDMOpoCmUVzmGrCacvJHNQ8tczLXgs0J7tim8HKw/NP+wX3xJPZvoUcB&#10;cxHB3QP/EYiFdcvsVt54D10rmcDEZWpZ0blQjU9Tq0MVEsim+wgCRWa7CBmob7xJXcE6CaKjAI/H&#10;pss+Eo7O+fmivJjOKeEYK8vL89kiy1Kw6vDc+RDfSzAkXWrqYWfFV5Q252D7+xATJ1YdvkspA2gl&#10;7pTW2UjjJNfakz3DQWCcSxtn+bneGSQ9+HGgJuNIoBsHZ3AvDm5MkQczIeWEvyXRlnQ1vZpjLf9G&#10;YPrCBIyKuEtamZpmymMpSbh3VuRJj0zp4Y61aDsqmcQbZIz9pidKoBDzpHNSdgPiEbX1MOwO7jpe&#10;WvBPlHS4NzUNP3fMS0r0B4vzcVXOZmnRsjGbX07R8KeRzWmEWY5QNY2UDNd1zMuZGmjhBueoUVnc&#10;ZyYjZ9yHLMG4u2nhTu381fMfZvULAAD//wMAUEsDBBQABgAIAAAAIQDsIO4h4AAAAAkBAAAPAAAA&#10;ZHJzL2Rvd25yZXYueG1sTI/BasMwEETvhf6D2EJviWQnMcGxHEqhUHoIJCmlx421sU2slbHkxO3X&#10;Vz21x9kZZt4W28l24kqDbx1rSOYKBHHlTMu1hvfjy2wNwgdkg51j0vBFHrbl/V2BuXE33tP1EGoR&#10;S9jnqKEJoc+l9FVDFv3c9cTRO7vBYohyqKUZ8BbLbSdTpTJpseW40GBPzw1Vl8NoNajl/pIcv11i&#10;XrPwme368e0Dd1o/PkxPGxCBpvAXhl/8iA5lZDq5kY0XnYZZsohJDelqBSL662WWgjjFQ6IWIMtC&#10;/v+g/AEAAP//AwBQSwECLQAUAAYACAAAACEAtoM4kv4AAADhAQAAEwAAAAAAAAAAAAAAAAAAAAAA&#10;W0NvbnRlbnRfVHlwZXNdLnhtbFBLAQItABQABgAIAAAAIQA4/SH/1gAAAJQBAAALAAAAAAAAAAAA&#10;AAAAAC8BAABfcmVscy8ucmVsc1BLAQItABQABgAIAAAAIQAy4PMpNQIAAKkEAAAOAAAAAAAAAAAA&#10;AAAAAC4CAABkcnMvZTJvRG9jLnhtbFBLAQItABQABgAIAAAAIQDsIO4h4AAAAAkBAAAPAAAAAAAA&#10;AAAAAAAAAI8EAABkcnMvZG93bnJldi54bWxQSwUGAAAAAAQABADzAAAAnAUAAAAA&#10;" fillcolor="#fff2cc [663]" strokecolor="#fbe4d5 [661]">
                <v:stroke joinstyle="miter"/>
                <v:textbox>
                  <w:txbxContent>
                    <w:p w14:paraId="55B9716F" w14:textId="4A195F22" w:rsidR="00C96319" w:rsidRPr="002473AB" w:rsidRDefault="00C96319" w:rsidP="002473AB">
                      <w:pPr>
                        <w:jc w:val="center"/>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How should National Courts interpret EU law</w:t>
                      </w:r>
                      <w:r w:rsidR="002473AB">
                        <w:rPr>
                          <w:rFonts w:asciiTheme="minorHAnsi" w:hAnsiTheme="minorHAnsi" w:cstheme="minorHAnsi"/>
                          <w:b/>
                          <w:bCs/>
                          <w:color w:val="2C2D5B"/>
                          <w:sz w:val="20"/>
                          <w:szCs w:val="20"/>
                        </w:rPr>
                        <w:t xml:space="preserve"> </w:t>
                      </w:r>
                      <w:r w:rsidRPr="002473AB">
                        <w:rPr>
                          <w:rFonts w:asciiTheme="minorHAnsi" w:hAnsiTheme="minorHAnsi" w:cstheme="minorHAnsi"/>
                          <w:b/>
                          <w:bCs/>
                          <w:color w:val="2C2D5B"/>
                          <w:sz w:val="20"/>
                          <w:szCs w:val="20"/>
                        </w:rPr>
                        <w:t>?</w:t>
                      </w:r>
                    </w:p>
                    <w:p w14:paraId="537C7EFE" w14:textId="77777777" w:rsidR="00C96319" w:rsidRPr="002473AB" w:rsidRDefault="00C96319">
                      <w:pPr>
                        <w:rPr>
                          <w:rFonts w:asciiTheme="minorHAnsi" w:hAnsiTheme="minorHAnsi" w:cstheme="minorHAnsi"/>
                          <w:b/>
                          <w:bCs/>
                          <w:color w:val="2C2D5B"/>
                          <w:sz w:val="20"/>
                          <w:szCs w:val="20"/>
                        </w:rPr>
                      </w:pPr>
                    </w:p>
                    <w:p w14:paraId="3711DA52" w14:textId="1FBEBADE" w:rsidR="00C96319" w:rsidRPr="002473AB" w:rsidRDefault="00C96319" w:rsidP="008B4B98">
                      <w:pPr>
                        <w:pStyle w:val="Paragraphedeliste"/>
                        <w:numPr>
                          <w:ilvl w:val="0"/>
                          <w:numId w:val="8"/>
                        </w:numPr>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Interpretation in Conformity</w:t>
                      </w:r>
                      <w:r w:rsidR="00FF67A2" w:rsidRPr="002473AB">
                        <w:rPr>
                          <w:rFonts w:asciiTheme="minorHAnsi" w:hAnsiTheme="minorHAnsi" w:cstheme="minorHAnsi"/>
                          <w:b/>
                          <w:bCs/>
                          <w:color w:val="2C2D5B"/>
                          <w:sz w:val="20"/>
                          <w:szCs w:val="20"/>
                        </w:rPr>
                        <w:t xml:space="preserve"> </w:t>
                      </w:r>
                      <w:r w:rsidRPr="002473AB">
                        <w:rPr>
                          <w:rFonts w:asciiTheme="minorHAnsi" w:hAnsiTheme="minorHAnsi" w:cstheme="minorHAnsi"/>
                          <w:b/>
                          <w:bCs/>
                          <w:color w:val="2C2D5B"/>
                          <w:sz w:val="20"/>
                          <w:szCs w:val="20"/>
                        </w:rPr>
                        <w:t xml:space="preserve">: </w:t>
                      </w:r>
                      <w:r w:rsidRPr="002473AB">
                        <w:rPr>
                          <w:rFonts w:asciiTheme="minorHAnsi" w:hAnsiTheme="minorHAnsi" w:cstheme="minorHAnsi"/>
                          <w:color w:val="2C2D5B"/>
                          <w:sz w:val="20"/>
                          <w:szCs w:val="20"/>
                        </w:rPr>
                        <w:t xml:space="preserve">National courts should interpret national laws in a way that aligns </w:t>
                      </w:r>
                      <w:r w:rsidR="001C7F81" w:rsidRPr="002473AB">
                        <w:rPr>
                          <w:rFonts w:asciiTheme="minorHAnsi" w:hAnsiTheme="minorHAnsi" w:cstheme="minorHAnsi"/>
                          <w:color w:val="2C2D5B"/>
                          <w:sz w:val="20"/>
                          <w:szCs w:val="20"/>
                        </w:rPr>
                        <w:t xml:space="preserve"> with </w:t>
                      </w:r>
                      <w:r w:rsidRPr="002473AB">
                        <w:rPr>
                          <w:rFonts w:asciiTheme="minorHAnsi" w:hAnsiTheme="minorHAnsi" w:cstheme="minorHAnsi"/>
                          <w:color w:val="2C2D5B"/>
                          <w:sz w:val="20"/>
                          <w:szCs w:val="20"/>
                        </w:rPr>
                        <w:t xml:space="preserve">EU principles. </w:t>
                      </w:r>
                    </w:p>
                    <w:p w14:paraId="11804C1A" w14:textId="731391D7" w:rsidR="00C96319" w:rsidRPr="002473AB" w:rsidRDefault="00C96319" w:rsidP="008B4B98">
                      <w:pPr>
                        <w:pStyle w:val="Paragraphedeliste"/>
                        <w:numPr>
                          <w:ilvl w:val="0"/>
                          <w:numId w:val="8"/>
                        </w:numPr>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Primacy of EU law</w:t>
                      </w:r>
                      <w:r w:rsidR="00FF67A2" w:rsidRPr="002473AB">
                        <w:rPr>
                          <w:rFonts w:asciiTheme="minorHAnsi" w:hAnsiTheme="minorHAnsi" w:cstheme="minorHAnsi"/>
                          <w:b/>
                          <w:bCs/>
                          <w:color w:val="2C2D5B"/>
                          <w:sz w:val="20"/>
                          <w:szCs w:val="20"/>
                        </w:rPr>
                        <w:t xml:space="preserve"> </w:t>
                      </w:r>
                      <w:r w:rsidRPr="002473AB">
                        <w:rPr>
                          <w:rFonts w:asciiTheme="minorHAnsi" w:hAnsiTheme="minorHAnsi" w:cstheme="minorHAnsi"/>
                          <w:b/>
                          <w:bCs/>
                          <w:color w:val="2C2D5B"/>
                          <w:sz w:val="20"/>
                          <w:szCs w:val="20"/>
                        </w:rPr>
                        <w:t xml:space="preserve">: </w:t>
                      </w:r>
                      <w:r w:rsidRPr="002473AB">
                        <w:rPr>
                          <w:rFonts w:asciiTheme="minorHAnsi" w:hAnsiTheme="minorHAnsi" w:cstheme="minorHAnsi"/>
                          <w:color w:val="2C2D5B"/>
                          <w:sz w:val="20"/>
                          <w:szCs w:val="20"/>
                        </w:rPr>
                        <w:t>If a national law conflicts with EU law and cannot be harmoni</w:t>
                      </w:r>
                      <w:r w:rsidR="00145404" w:rsidRPr="002473AB">
                        <w:rPr>
                          <w:rFonts w:asciiTheme="minorHAnsi" w:hAnsiTheme="minorHAnsi" w:cstheme="minorHAnsi"/>
                          <w:color w:val="2C2D5B"/>
                          <w:sz w:val="20"/>
                          <w:szCs w:val="20"/>
                        </w:rPr>
                        <w:t>s</w:t>
                      </w:r>
                      <w:r w:rsidRPr="002473AB">
                        <w:rPr>
                          <w:rFonts w:asciiTheme="minorHAnsi" w:hAnsiTheme="minorHAnsi" w:cstheme="minorHAnsi"/>
                          <w:color w:val="2C2D5B"/>
                          <w:sz w:val="20"/>
                          <w:szCs w:val="20"/>
                        </w:rPr>
                        <w:t>ed, EU law takes precedence</w:t>
                      </w:r>
                      <w:r w:rsidR="00FF67A2" w:rsidRPr="002473AB">
                        <w:rPr>
                          <w:rFonts w:asciiTheme="minorHAnsi" w:hAnsiTheme="minorHAnsi" w:cstheme="minorHAnsi"/>
                          <w:color w:val="2C2D5B"/>
                          <w:sz w:val="20"/>
                          <w:szCs w:val="20"/>
                        </w:rPr>
                        <w:t>.</w:t>
                      </w:r>
                    </w:p>
                    <w:p w14:paraId="4FAB6B9F" w14:textId="77777777" w:rsidR="00C96319" w:rsidRPr="00B53E64" w:rsidRDefault="00C96319">
                      <w:pPr>
                        <w:rPr>
                          <w:rFonts w:asciiTheme="minorHAnsi" w:hAnsiTheme="minorHAnsi" w:cstheme="minorHAnsi"/>
                          <w:b/>
                          <w:bCs/>
                          <w:sz w:val="20"/>
                          <w:szCs w:val="20"/>
                        </w:rPr>
                      </w:pPr>
                    </w:p>
                    <w:p w14:paraId="40F1FE41" w14:textId="77777777" w:rsidR="00C96319" w:rsidRPr="00327D5A" w:rsidRDefault="00C96319">
                      <w:pPr>
                        <w:rPr>
                          <w:rFonts w:asciiTheme="minorHAnsi" w:hAnsiTheme="minorHAnsi" w:cstheme="minorHAnsi"/>
                          <w:b/>
                          <w:bCs/>
                          <w:sz w:val="20"/>
                          <w:szCs w:val="20"/>
                        </w:rPr>
                      </w:pPr>
                    </w:p>
                  </w:txbxContent>
                </v:textbox>
                <w10:wrap type="square" anchorx="margin"/>
              </v:roundrect>
            </w:pict>
          </mc:Fallback>
        </mc:AlternateContent>
      </w:r>
      <w:r w:rsidRPr="007A6459">
        <w:rPr>
          <w:rFonts w:asciiTheme="majorHAnsi" w:hAnsiTheme="majorHAnsi" w:cstheme="majorHAnsi"/>
          <w:noProof/>
          <w:color w:val="000000"/>
        </w:rPr>
        <w:drawing>
          <wp:anchor distT="0" distB="0" distL="114300" distR="114300" simplePos="0" relativeHeight="251925504" behindDoc="0" locked="0" layoutInCell="1" allowOverlap="1" wp14:anchorId="30B44EAF" wp14:editId="6E69C3B0">
            <wp:simplePos x="0" y="0"/>
            <wp:positionH relativeFrom="column">
              <wp:posOffset>5057775</wp:posOffset>
            </wp:positionH>
            <wp:positionV relativeFrom="paragraph">
              <wp:posOffset>13476</wp:posOffset>
            </wp:positionV>
            <wp:extent cx="518795" cy="514350"/>
            <wp:effectExtent l="0" t="0" r="0" b="0"/>
            <wp:wrapNone/>
            <wp:docPr id="863504006" name="Image 1" descr="Une image contenant dessin humoristique, Silhouette d’animal, clipart, coch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876948" name="Image 1" descr="Une image contenant dessin humoristique, Silhouette d’animal, clipart, cochon&#10;&#10;Description générée automatiquement"/>
                    <pic:cNvPicPr/>
                  </pic:nvPicPr>
                  <pic:blipFill>
                    <a:blip r:embed="rId21">
                      <a:extLst>
                        <a:ext uri="{28A0092B-C50C-407E-A947-70E740481C1C}">
                          <a14:useLocalDpi xmlns:a14="http://schemas.microsoft.com/office/drawing/2010/main" val="0"/>
                        </a:ext>
                      </a:extLst>
                    </a:blip>
                    <a:stretch>
                      <a:fillRect/>
                    </a:stretch>
                  </pic:blipFill>
                  <pic:spPr>
                    <a:xfrm>
                      <a:off x="0" y="0"/>
                      <a:ext cx="518795" cy="514350"/>
                    </a:xfrm>
                    <a:prstGeom prst="rect">
                      <a:avLst/>
                    </a:prstGeom>
                  </pic:spPr>
                </pic:pic>
              </a:graphicData>
            </a:graphic>
            <wp14:sizeRelH relativeFrom="page">
              <wp14:pctWidth>0</wp14:pctWidth>
            </wp14:sizeRelH>
            <wp14:sizeRelV relativeFrom="page">
              <wp14:pctHeight>0</wp14:pctHeight>
            </wp14:sizeRelV>
          </wp:anchor>
        </w:drawing>
      </w:r>
      <w:r>
        <w:rPr>
          <w:rFonts w:asciiTheme="majorHAnsi" w:hAnsiTheme="majorHAnsi" w:cstheme="majorHAnsi"/>
          <w:noProof/>
          <w:color w:val="000000"/>
          <w14:ligatures w14:val="standardContextual"/>
        </w:rPr>
        <mc:AlternateContent>
          <mc:Choice Requires="wps">
            <w:drawing>
              <wp:anchor distT="0" distB="0" distL="114300" distR="114300" simplePos="0" relativeHeight="251924480" behindDoc="0" locked="0" layoutInCell="1" allowOverlap="1" wp14:anchorId="0ED7330D" wp14:editId="71014372">
                <wp:simplePos x="0" y="0"/>
                <wp:positionH relativeFrom="column">
                  <wp:posOffset>4978400</wp:posOffset>
                </wp:positionH>
                <wp:positionV relativeFrom="paragraph">
                  <wp:posOffset>29210</wp:posOffset>
                </wp:positionV>
                <wp:extent cx="670560" cy="620395"/>
                <wp:effectExtent l="0" t="0" r="0" b="8255"/>
                <wp:wrapNone/>
                <wp:docPr id="484058844" name="Ellipse 68"/>
                <wp:cNvGraphicFramePr/>
                <a:graphic xmlns:a="http://schemas.openxmlformats.org/drawingml/2006/main">
                  <a:graphicData uri="http://schemas.microsoft.com/office/word/2010/wordprocessingShape">
                    <wps:wsp>
                      <wps:cNvSpPr/>
                      <wps:spPr>
                        <a:xfrm>
                          <a:off x="0" y="0"/>
                          <a:ext cx="670560" cy="620395"/>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485D9556" id="Ellipse 68" o:spid="_x0000_s1026" style="position:absolute;margin-left:392pt;margin-top:2.3pt;width:52.8pt;height:48.85pt;z-index:251924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urfAIAAGAFAAAOAAAAZHJzL2Uyb0RvYy54bWysVFFv2yAQfp+0/4B4X21nSbpGcaooVadJ&#10;VVutnfpMMMRImGNA4mS/fgd2nHSt9jDtBQN3993d5++YX+8bTXbCeQWmpMVFTokwHCplNiX98Xz7&#10;6QslPjBTMQ1GlPQgPL1efPwwb+1MjKAGXQlHEMT4WWtLWodgZ1nmeS0a5i/ACoNGCa5hAY9uk1WO&#10;tYje6GyU59OsBVdZB1x4j7c3nZEuEr6UgocHKb0IRJcUawtpdWldxzVbzNls45itFe/LYP9QRcOU&#10;waQD1A0LjGydegPVKO7AgwwXHJoMpFRcpB6wmyL/o5unmlmRekFyvB1o8v8Plt/vnuyjQxpa62ce&#10;t7GLvXRN/GJ9ZJ/IOgxkiX0gHC+nl/lkipRyNE1H+eerSSQzOwVb58NXAQ2Jm5IKrZX1sR02Y7s7&#10;Hzrvo1e89qBVdau0TocoAbHSjuwY/rz1pujxX3lpE30NxKgOMN5kp2bSLhy0iH7afBeSqArLH6VC&#10;ks5OSRjnwoSiM9WsEl3uYpLnSSrY3RCRek2AEVli/gG7B3jdwBG7q7L3j6EiyXQIzv9WWBc8RKTM&#10;YMIQ3CgD7j0AjV31mTv/I0kdNZGlNVSHR0ccdEPiLb9V+OfumA+PzOFU4M/GSQ8PuEgNbUmh31FS&#10;g/v13n30R7GilZIWp6yk/ueWOUGJ/mZQxlfFeBzHMh3Gk8sRHty5ZX1uMdtmBaiFAt8Uy9M2+gd9&#10;3EoHzQs+CMuYFU3McMxdUh7c8bAK3fTjk8LFcpnccBQtC3fmyfIIHlmNsnzevzBne/kG1P09HCfy&#10;jYQ73xhpYLkNIFXS94nXnm8c4ySc/smJ78T5OXmdHsbFbwAAAP//AwBQSwMEFAAGAAgAAAAhACrh&#10;FVzhAAAACQEAAA8AAABkcnMvZG93bnJldi54bWxMj0tPwzAQhO9I/AdrkbhRm6YtIcSpEK9LeYiA&#10;hLi58ZJEjddR7Dbh37Oc4LajGc1+k68n14kDDqH1pOF8pkAgVd62VGt4f7s/S0GEaMiazhNq+MYA&#10;6+L4KDeZ9SO94qGMteASCpnR0MTYZ1KGqkFnwsz3SOx9+cGZyHKopR3MyOWuk3OlVtKZlvhDY3q8&#10;abDalXun4fHjeZcMy4fbl6e7zViqZNmWm0+tT0+m6ysQEaf4F4ZffEaHgpm2fk82iE7DRbrgLVHD&#10;YgWC/TS95GPLQTVPQBa5/L+g+AEAAP//AwBQSwECLQAUAAYACAAAACEAtoM4kv4AAADhAQAAEwAA&#10;AAAAAAAAAAAAAAAAAAAAW0NvbnRlbnRfVHlwZXNdLnhtbFBLAQItABQABgAIAAAAIQA4/SH/1gAA&#10;AJQBAAALAAAAAAAAAAAAAAAAAC8BAABfcmVscy8ucmVsc1BLAQItABQABgAIAAAAIQA/U9urfAIA&#10;AGAFAAAOAAAAAAAAAAAAAAAAAC4CAABkcnMvZTJvRG9jLnhtbFBLAQItABQABgAIAAAAIQAq4RVc&#10;4QAAAAkBAAAPAAAAAAAAAAAAAAAAANYEAABkcnMvZG93bnJldi54bWxQSwUGAAAAAAQABADzAAAA&#10;5AUAAAAA&#10;" fillcolor="white [3212]" stroked="f" strokeweight="1pt">
                <v:stroke joinstyle="miter"/>
              </v:oval>
            </w:pict>
          </mc:Fallback>
        </mc:AlternateContent>
      </w:r>
    </w:p>
    <w:p w14:paraId="53BD7234" w14:textId="67078771" w:rsidR="004B2B84" w:rsidRPr="004B2B84" w:rsidRDefault="004B2B84" w:rsidP="00447E92">
      <w:pPr>
        <w:spacing w:line="276" w:lineRule="auto"/>
        <w:jc w:val="both"/>
        <w:rPr>
          <w:rFonts w:asciiTheme="majorHAnsi" w:hAnsiTheme="majorHAnsi" w:cstheme="majorHAnsi"/>
          <w:color w:val="2C2D5B"/>
          <w:sz w:val="16"/>
          <w:szCs w:val="16"/>
        </w:rPr>
      </w:pPr>
    </w:p>
    <w:p w14:paraId="4CB52F58" w14:textId="6430E7AB" w:rsidR="00447E92" w:rsidRPr="004B2B84" w:rsidRDefault="004B2B84" w:rsidP="00447E92">
      <w:pPr>
        <w:spacing w:line="276" w:lineRule="auto"/>
        <w:jc w:val="both"/>
        <w:rPr>
          <w:rFonts w:ascii="Calibri" w:hAnsi="Calibri" w:cs="Calibri"/>
          <w:b/>
          <w:bCs/>
          <w:i/>
          <w:iCs/>
          <w:color w:val="2F5496" w:themeColor="accent1" w:themeShade="BF"/>
          <w:sz w:val="26"/>
          <w:szCs w:val="26"/>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27552" behindDoc="0" locked="0" layoutInCell="1" allowOverlap="1" wp14:anchorId="04161FC5" wp14:editId="3985B7FD">
            <wp:simplePos x="0" y="0"/>
            <wp:positionH relativeFrom="column">
              <wp:posOffset>5032516</wp:posOffset>
            </wp:positionH>
            <wp:positionV relativeFrom="paragraph">
              <wp:posOffset>344170</wp:posOffset>
            </wp:positionV>
            <wp:extent cx="713105" cy="575310"/>
            <wp:effectExtent l="0" t="0" r="0" b="0"/>
            <wp:wrapNone/>
            <wp:docPr id="2113096793"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Pr="002473AB">
        <w:rPr>
          <w:rFonts w:ascii="Calibri" w:hAnsi="Calibri" w:cs="Calibri"/>
          <w:noProof/>
          <w:color w:val="2C2D5B"/>
        </w:rPr>
        <mc:AlternateContent>
          <mc:Choice Requires="wps">
            <w:drawing>
              <wp:anchor distT="45720" distB="45720" distL="114300" distR="114300" simplePos="0" relativeHeight="251826176" behindDoc="0" locked="0" layoutInCell="1" allowOverlap="1" wp14:anchorId="6C91FC49" wp14:editId="433468A2">
                <wp:simplePos x="0" y="0"/>
                <wp:positionH relativeFrom="margin">
                  <wp:posOffset>26035</wp:posOffset>
                </wp:positionH>
                <wp:positionV relativeFrom="paragraph">
                  <wp:posOffset>631614</wp:posOffset>
                </wp:positionV>
                <wp:extent cx="5353050" cy="3115310"/>
                <wp:effectExtent l="0" t="0" r="19050" b="27940"/>
                <wp:wrapSquare wrapText="bothSides"/>
                <wp:docPr id="12228043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53050" cy="3115310"/>
                        </a:xfrm>
                        <a:prstGeom prst="roundRect">
                          <a:avLst/>
                        </a:prstGeom>
                        <a:solidFill>
                          <a:schemeClr val="bg1"/>
                        </a:solidFill>
                        <a:ln w="19050">
                          <a:solidFill>
                            <a:srgbClr val="B6A04C"/>
                          </a:solidFill>
                          <a:miter lim="800000"/>
                          <a:headEnd/>
                          <a:tailEnd/>
                        </a:ln>
                      </wps:spPr>
                      <wps:txbx>
                        <w:txbxContent>
                          <w:p w14:paraId="515A8C54" w14:textId="77777777" w:rsidR="00447E92" w:rsidRPr="002473AB" w:rsidRDefault="00447E92" w:rsidP="002473AB">
                            <w:pPr>
                              <w:spacing w:line="276" w:lineRule="auto"/>
                              <w:jc w:val="center"/>
                              <w:rPr>
                                <w:rStyle w:val="Hypertextovodkaz"/>
                                <w:rFonts w:asciiTheme="minorHAnsi" w:hAnsiTheme="minorHAnsi" w:cstheme="minorHAnsi"/>
                                <w:b/>
                                <w:color w:val="B6A04C"/>
                                <w:sz w:val="20"/>
                                <w:szCs w:val="20"/>
                                <w:u w:val="none"/>
                              </w:rPr>
                            </w:pPr>
                            <w:r w:rsidRPr="002473AB">
                              <w:rPr>
                                <w:rFonts w:asciiTheme="minorHAnsi" w:hAnsiTheme="minorHAnsi" w:cstheme="minorHAnsi"/>
                                <w:b/>
                                <w:color w:val="B6A04C"/>
                                <w:sz w:val="20"/>
                                <w:szCs w:val="20"/>
                              </w:rPr>
                              <w:fldChar w:fldCharType="begin"/>
                            </w:r>
                            <w:r w:rsidRPr="002473AB">
                              <w:rPr>
                                <w:rFonts w:asciiTheme="minorHAnsi" w:hAnsiTheme="minorHAnsi" w:cstheme="minorHAnsi"/>
                                <w:b/>
                                <w:color w:val="B6A04C"/>
                                <w:sz w:val="20"/>
                                <w:szCs w:val="20"/>
                              </w:rPr>
                              <w:instrText>HYPERLINK "https://eur-lex.europa.eu/legal-content/fr/TXT/?uri=CELEX%3A62007CJ0555"</w:instrText>
                            </w:r>
                            <w:r w:rsidRPr="002473AB">
                              <w:rPr>
                                <w:rFonts w:asciiTheme="minorHAnsi" w:hAnsiTheme="minorHAnsi" w:cstheme="minorHAnsi"/>
                                <w:b/>
                                <w:color w:val="B6A04C"/>
                                <w:sz w:val="20"/>
                                <w:szCs w:val="20"/>
                              </w:rPr>
                            </w:r>
                            <w:r w:rsidRPr="002473AB">
                              <w:rPr>
                                <w:rFonts w:asciiTheme="minorHAnsi" w:hAnsiTheme="minorHAnsi" w:cstheme="minorHAnsi"/>
                                <w:b/>
                                <w:color w:val="B6A04C"/>
                                <w:sz w:val="20"/>
                                <w:szCs w:val="20"/>
                              </w:rPr>
                              <w:fldChar w:fldCharType="separate"/>
                            </w:r>
                            <w:r w:rsidRPr="002473AB">
                              <w:rPr>
                                <w:rStyle w:val="Hypertextovodkaz"/>
                                <w:rFonts w:asciiTheme="minorHAnsi" w:hAnsiTheme="minorHAnsi" w:cstheme="minorHAnsi"/>
                                <w:b/>
                                <w:color w:val="B6A04C"/>
                                <w:sz w:val="20"/>
                                <w:szCs w:val="20"/>
                                <w:u w:val="none"/>
                              </w:rPr>
                              <w:t>CJEU, Grd. Ch., 19 january 2010, Seda Kucukdeveci v Swedex Gmbh &amp; Co. KG, C-555/07,</w:t>
                            </w:r>
                          </w:p>
                          <w:p w14:paraId="19C66618" w14:textId="77777777" w:rsidR="00447E92" w:rsidRPr="002473AB" w:rsidRDefault="00447E92" w:rsidP="002473AB">
                            <w:pPr>
                              <w:spacing w:line="276" w:lineRule="auto"/>
                              <w:jc w:val="center"/>
                              <w:rPr>
                                <w:rFonts w:asciiTheme="minorHAnsi" w:hAnsiTheme="minorHAnsi" w:cstheme="minorHAnsi"/>
                                <w:b/>
                                <w:color w:val="B6A04C"/>
                                <w:sz w:val="20"/>
                                <w:szCs w:val="20"/>
                              </w:rPr>
                            </w:pPr>
                            <w:r w:rsidRPr="002473AB">
                              <w:rPr>
                                <w:rStyle w:val="Hypertextovodkaz"/>
                                <w:rFonts w:asciiTheme="minorHAnsi" w:hAnsiTheme="minorHAnsi" w:cstheme="minorHAnsi"/>
                                <w:b/>
                                <w:color w:val="B6A04C"/>
                                <w:sz w:val="20"/>
                                <w:szCs w:val="20"/>
                                <w:u w:val="none"/>
                              </w:rPr>
                              <w:t>ECLI:EU: C:2010:21</w:t>
                            </w:r>
                            <w:r w:rsidRPr="002473AB">
                              <w:rPr>
                                <w:rStyle w:val="Hypertextovodkaz"/>
                                <w:rFonts w:asciiTheme="minorHAnsi" w:hAnsiTheme="minorHAnsi" w:cstheme="minorHAnsi"/>
                                <w:b/>
                                <w:color w:val="B6A04C"/>
                                <w:sz w:val="20"/>
                                <w:szCs w:val="20"/>
                              </w:rPr>
                              <w:t>.</w:t>
                            </w:r>
                            <w:r w:rsidRPr="002473AB">
                              <w:rPr>
                                <w:rFonts w:asciiTheme="minorHAnsi" w:hAnsiTheme="minorHAnsi" w:cstheme="minorHAnsi"/>
                                <w:b/>
                                <w:color w:val="B6A04C"/>
                                <w:sz w:val="20"/>
                                <w:szCs w:val="20"/>
                              </w:rPr>
                              <w:fldChar w:fldCharType="end"/>
                            </w:r>
                          </w:p>
                          <w:p w14:paraId="6B477458" w14:textId="77777777" w:rsidR="00447E92" w:rsidRPr="004B2B84" w:rsidRDefault="00447E92" w:rsidP="00447E92">
                            <w:pPr>
                              <w:spacing w:line="276" w:lineRule="auto"/>
                              <w:jc w:val="both"/>
                              <w:rPr>
                                <w:rFonts w:asciiTheme="minorHAnsi" w:hAnsiTheme="minorHAnsi" w:cstheme="minorHAnsi"/>
                                <w:b/>
                                <w:sz w:val="10"/>
                                <w:szCs w:val="10"/>
                              </w:rPr>
                            </w:pPr>
                          </w:p>
                          <w:p w14:paraId="2F4734B4" w14:textId="0D4D1801" w:rsidR="00447E92" w:rsidRPr="004B2B84" w:rsidRDefault="00447E92" w:rsidP="00447E92">
                            <w:pPr>
                              <w:spacing w:line="276" w:lineRule="auto"/>
                              <w:jc w:val="both"/>
                              <w:rPr>
                                <w:rFonts w:asciiTheme="minorHAnsi" w:hAnsiTheme="minorHAnsi" w:cstheme="minorHAnsi"/>
                                <w:b/>
                                <w:bCs/>
                                <w:color w:val="2C2D5B"/>
                                <w:sz w:val="19"/>
                                <w:szCs w:val="19"/>
                              </w:rPr>
                            </w:pPr>
                            <w:r w:rsidRPr="004B2B84">
                              <w:rPr>
                                <w:rFonts w:asciiTheme="minorHAnsi" w:hAnsiTheme="minorHAnsi" w:cstheme="minorHAnsi"/>
                                <w:b/>
                                <w:bCs/>
                                <w:color w:val="2C2D5B"/>
                                <w:sz w:val="19"/>
                                <w:szCs w:val="19"/>
                              </w:rPr>
                              <w:t>Facts</w:t>
                            </w:r>
                            <w:r w:rsidR="002473AB" w:rsidRPr="004B2B84">
                              <w:rPr>
                                <w:rFonts w:asciiTheme="minorHAnsi" w:hAnsiTheme="minorHAnsi" w:cstheme="minorHAnsi"/>
                                <w:b/>
                                <w:bCs/>
                                <w:color w:val="2C2D5B"/>
                                <w:sz w:val="19"/>
                                <w:szCs w:val="19"/>
                              </w:rPr>
                              <w:t xml:space="preserve"> </w:t>
                            </w:r>
                            <w:r w:rsidRPr="004B2B84">
                              <w:rPr>
                                <w:rFonts w:asciiTheme="minorHAnsi" w:hAnsiTheme="minorHAnsi" w:cstheme="minorHAnsi"/>
                                <w:b/>
                                <w:bCs/>
                                <w:color w:val="2C2D5B"/>
                                <w:sz w:val="19"/>
                                <w:szCs w:val="19"/>
                              </w:rPr>
                              <w:t xml:space="preserve">: </w:t>
                            </w:r>
                          </w:p>
                          <w:p w14:paraId="59BDA40C" w14:textId="77777777" w:rsidR="00447E92" w:rsidRPr="004B2B84" w:rsidRDefault="00447E92" w:rsidP="00447E92">
                            <w:pPr>
                              <w:spacing w:line="276" w:lineRule="auto"/>
                              <w:jc w:val="both"/>
                              <w:rPr>
                                <w:rFonts w:asciiTheme="minorHAnsi" w:hAnsiTheme="minorHAnsi" w:cstheme="minorHAnsi"/>
                                <w:color w:val="2C2D5B"/>
                                <w:sz w:val="19"/>
                                <w:szCs w:val="19"/>
                              </w:rPr>
                            </w:pPr>
                            <w:r w:rsidRPr="004B2B84">
                              <w:rPr>
                                <w:rFonts w:asciiTheme="minorHAnsi" w:hAnsiTheme="minorHAnsi" w:cstheme="minorHAnsi"/>
                                <w:color w:val="2C2D5B"/>
                                <w:sz w:val="19"/>
                                <w:szCs w:val="19"/>
                              </w:rPr>
                              <w:t xml:space="preserve">This case concerned a claim regarding a measure which allegedly discriminated on grounds of age. German national law provided that periods of employment completed before the age of 25 would not be taken into account when calculating the notice period for dismissal. </w:t>
                            </w:r>
                          </w:p>
                          <w:p w14:paraId="5B4B4536" w14:textId="77777777" w:rsidR="00447E92" w:rsidRPr="004B2B84" w:rsidRDefault="00447E92" w:rsidP="00447E92">
                            <w:pPr>
                              <w:spacing w:line="276" w:lineRule="auto"/>
                              <w:jc w:val="both"/>
                              <w:rPr>
                                <w:rFonts w:asciiTheme="minorHAnsi" w:hAnsiTheme="minorHAnsi" w:cstheme="minorHAnsi"/>
                                <w:color w:val="2C2D5B"/>
                                <w:sz w:val="19"/>
                                <w:szCs w:val="19"/>
                              </w:rPr>
                            </w:pPr>
                            <w:r w:rsidRPr="004B2B84">
                              <w:rPr>
                                <w:rFonts w:asciiTheme="minorHAnsi" w:hAnsiTheme="minorHAnsi" w:cstheme="minorHAnsi"/>
                                <w:color w:val="2C2D5B"/>
                                <w:sz w:val="19"/>
                                <w:szCs w:val="19"/>
                              </w:rPr>
                              <w:t xml:space="preserve">Ms Kücükdeveci was dismissed by her employer, Swedex by letter dated December 19, 2006. The employer calculated her notice period based on three years of service, despite her actual ten years with the company, leading her to argue that this law constituted age discrimination contrary to EU law. </w:t>
                            </w:r>
                          </w:p>
                          <w:p w14:paraId="71AB1530" w14:textId="77777777" w:rsidR="00447E92" w:rsidRPr="004B2B84" w:rsidRDefault="00447E92" w:rsidP="00447E92">
                            <w:pPr>
                              <w:spacing w:line="276" w:lineRule="auto"/>
                              <w:jc w:val="both"/>
                              <w:rPr>
                                <w:rFonts w:asciiTheme="minorHAnsi" w:hAnsiTheme="minorHAnsi" w:cstheme="minorHAnsi"/>
                                <w:color w:val="2C2D5B"/>
                                <w:sz w:val="10"/>
                                <w:szCs w:val="10"/>
                              </w:rPr>
                            </w:pPr>
                          </w:p>
                          <w:p w14:paraId="4B58B3D8" w14:textId="619E8865" w:rsidR="00447E92" w:rsidRPr="004B2B84" w:rsidRDefault="00447E92" w:rsidP="00447E92">
                            <w:pPr>
                              <w:spacing w:line="276" w:lineRule="auto"/>
                              <w:jc w:val="both"/>
                              <w:rPr>
                                <w:rFonts w:asciiTheme="minorHAnsi" w:hAnsiTheme="minorHAnsi" w:cstheme="minorHAnsi"/>
                                <w:b/>
                                <w:bCs/>
                                <w:color w:val="2C2D5B"/>
                                <w:sz w:val="19"/>
                                <w:szCs w:val="19"/>
                              </w:rPr>
                            </w:pPr>
                            <w:r w:rsidRPr="004B2B84">
                              <w:rPr>
                                <w:rFonts w:asciiTheme="minorHAnsi" w:hAnsiTheme="minorHAnsi" w:cstheme="minorHAnsi"/>
                                <w:b/>
                                <w:bCs/>
                                <w:color w:val="2C2D5B"/>
                                <w:sz w:val="19"/>
                                <w:szCs w:val="19"/>
                              </w:rPr>
                              <w:t>Ruling</w:t>
                            </w:r>
                            <w:r w:rsidR="002473AB" w:rsidRPr="004B2B84">
                              <w:rPr>
                                <w:rFonts w:asciiTheme="minorHAnsi" w:hAnsiTheme="minorHAnsi" w:cstheme="minorHAnsi"/>
                                <w:b/>
                                <w:bCs/>
                                <w:color w:val="2C2D5B"/>
                                <w:sz w:val="19"/>
                                <w:szCs w:val="19"/>
                              </w:rPr>
                              <w:t xml:space="preserve"> </w:t>
                            </w:r>
                            <w:r w:rsidRPr="004B2B84">
                              <w:rPr>
                                <w:rFonts w:asciiTheme="minorHAnsi" w:hAnsiTheme="minorHAnsi" w:cstheme="minorHAnsi"/>
                                <w:b/>
                                <w:bCs/>
                                <w:color w:val="2C2D5B"/>
                                <w:sz w:val="19"/>
                                <w:szCs w:val="19"/>
                              </w:rPr>
                              <w:t xml:space="preserve">: </w:t>
                            </w:r>
                          </w:p>
                          <w:p w14:paraId="24F84468" w14:textId="77777777" w:rsidR="00447E92" w:rsidRPr="004B2B84" w:rsidRDefault="00447E92" w:rsidP="00447E92">
                            <w:pPr>
                              <w:spacing w:line="276" w:lineRule="auto"/>
                              <w:jc w:val="both"/>
                              <w:rPr>
                                <w:rFonts w:asciiTheme="minorHAnsi" w:hAnsiTheme="minorHAnsi" w:cstheme="minorHAnsi"/>
                                <w:color w:val="2C2D5B"/>
                                <w:sz w:val="19"/>
                                <w:szCs w:val="19"/>
                              </w:rPr>
                            </w:pPr>
                            <w:r w:rsidRPr="004B2B84">
                              <w:rPr>
                                <w:rFonts w:asciiTheme="minorHAnsi" w:hAnsiTheme="minorHAnsi" w:cstheme="minorHAnsi"/>
                                <w:color w:val="2C2D5B"/>
                                <w:sz w:val="19"/>
                                <w:szCs w:val="19"/>
                              </w:rPr>
                              <w:t xml:space="preserve">The CJEU held that the </w:t>
                            </w:r>
                            <w:r w:rsidRPr="004B2B84">
                              <w:rPr>
                                <w:rFonts w:asciiTheme="minorHAnsi" w:hAnsiTheme="minorHAnsi" w:cstheme="minorHAnsi"/>
                                <w:b/>
                                <w:bCs/>
                                <w:color w:val="2C2D5B"/>
                                <w:sz w:val="19"/>
                                <w:szCs w:val="19"/>
                              </w:rPr>
                              <w:t>principle of non-discrimination on grounds of age</w:t>
                            </w:r>
                            <w:r w:rsidRPr="004B2B84">
                              <w:rPr>
                                <w:rFonts w:asciiTheme="minorHAnsi" w:hAnsiTheme="minorHAnsi" w:cstheme="minorHAnsi"/>
                                <w:color w:val="2C2D5B"/>
                                <w:sz w:val="19"/>
                                <w:szCs w:val="19"/>
                              </w:rPr>
                              <w:t xml:space="preserve">, as given expression by Directive 2000/78, precludes national legislation which provides that periods of employment completed by an employee before reaching the age of 25 are not taken into account in calculating the notice period for dismissal. </w:t>
                            </w:r>
                          </w:p>
                          <w:p w14:paraId="63650293" w14:textId="77777777" w:rsidR="00447E92" w:rsidRPr="00327D5A" w:rsidRDefault="00447E92" w:rsidP="00447E92">
                            <w:pPr>
                              <w:spacing w:line="276" w:lineRule="auto"/>
                              <w:jc w:val="both"/>
                              <w:rPr>
                                <w:rFonts w:asciiTheme="minorHAnsi" w:hAnsiTheme="minorHAnsi" w:cstheme="minorHAnsi"/>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6C91FC49" id="_x0000_s1042" style="position:absolute;left:0;text-align:left;margin-left:2.05pt;margin-top:49.75pt;width:421.5pt;height:245.3pt;z-index:2518261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6pfIAIAAC0EAAAOAAAAZHJzL2Uyb0RvYy54bWysU8tu2zAQvBfoPxC815L8aiJYDhynKQqk&#10;DzTtB1AkZRGluCxJW0q/vkvKcQznVlQHgqslh7Ozs6ubodPkIJ1XYCpaTHJKpOEglNlV9OeP+3dX&#10;lPjAjGAajKzok/T0Zv32zaq3pZxCC1pIRxDE+LK3FW1DsGWWed7KjvkJWGkw2YDrWMDQ7TLhWI/o&#10;nc6meb7MenDCOuDSe/x7NybpOuE3jeTha9N4GYiuKHILaXVpreOarVes3DlmW8WPNNg/sOiYMvjo&#10;CeqOBUb2Tr2C6hR34KEJEw5dBk2juEw1YDVFflHNY8usTLWgON6eZPL/D5Z/OTzab46E4RYGbGAq&#10;wtsH4L88MbBtmdnJjXPQt5IJfLiIkmW99eXxapTalz6C1P1nENhktg+QgIbGdVEVrJMgOjbg6SS6&#10;HALh+HMxW8zyBaY45mZFsZgVqS0ZK5+vW+fDRwkdiZuKOtgb8R1bm95ghwcfIidWPp+LT3rQStwr&#10;rVMQ7SS32pEDQyPUu7GKi1PakB4LvI5sXkO4XX0CuF1u8vk2KXGB0amAftaqq+hVHr/RYVG8D0Yk&#10;twWm9LhHytoc1YwCjlKGoR6IEshkGS9HdWsQT6ivg9G/OG+4acH9oaRH71bU/94zJynRnwz26LqY&#10;z6PZUzBfvJ9i4M4z9XmGGY5QFQ2UjNttSAMSJTCwwV42Kgn8wuTIGT2ZdD/OTzT9eZxOvUz5+i8A&#10;AAD//wMAUEsDBBQABgAIAAAAIQASFnFO3AAAAAgBAAAPAAAAZHJzL2Rvd25yZXYueG1sTI9BT4Qw&#10;EIXvJv6HZky8uQUDWpBhQzbx4m1xPXgrtFKUtoR2Wfz3jic9vnkv731T7Tc7sVUvYfQOId0lwLTr&#10;vRrdgHB6fb4TwEKUTsnJO43wrQPs6+urSpbKX9xRr20cGJW4UEoEE+Ncch56o60MOz9rR96HX6yM&#10;JJeBq0VeqNxO/D5JHriVo6MFI2d9MLr/as8WYT0d80Yc3rPWvPHP4qURnbAC8fZma56ARb3FvzD8&#10;4hM61MTU+bNTgU0IWUpBhKLIgZEtskc6dAh5kaTA64r/f6D+AQAA//8DAFBLAQItABQABgAIAAAA&#10;IQC2gziS/gAAAOEBAAATAAAAAAAAAAAAAAAAAAAAAABbQ29udGVudF9UeXBlc10ueG1sUEsBAi0A&#10;FAAGAAgAAAAhADj9If/WAAAAlAEAAAsAAAAAAAAAAAAAAAAALwEAAF9yZWxzLy5yZWxzUEsBAi0A&#10;FAAGAAgAAAAhAIs7ql8gAgAALQQAAA4AAAAAAAAAAAAAAAAALgIAAGRycy9lMm9Eb2MueG1sUEsB&#10;Ai0AFAAGAAgAAAAhABIWcU7cAAAACAEAAA8AAAAAAAAAAAAAAAAAegQAAGRycy9kb3ducmV2Lnht&#10;bFBLBQYAAAAABAAEAPMAAACDBQAAAAA=&#10;" fillcolor="white [3212]" strokecolor="#b6a04c" strokeweight="1.5pt">
                <v:stroke joinstyle="miter"/>
                <v:textbox>
                  <w:txbxContent>
                    <w:proofErr w:type="spellStart"/>
                    <w:p w14:paraId="515A8C54" w14:textId="77777777" w:rsidR="00447E92" w:rsidRPr="002473AB" w:rsidRDefault="00447E92" w:rsidP="002473AB">
                      <w:pPr>
                        <w:spacing w:line="276" w:lineRule="auto"/>
                        <w:jc w:val="center"/>
                        <w:rPr>
                          <w:rStyle w:val="Lienhypertexte"/>
                          <w:rFonts w:asciiTheme="minorHAnsi" w:hAnsiTheme="minorHAnsi" w:cstheme="minorHAnsi"/>
                          <w:b/>
                          <w:color w:val="B6A04C"/>
                          <w:sz w:val="20"/>
                          <w:szCs w:val="20"/>
                          <w:u w:val="none"/>
                        </w:rPr>
                      </w:pPr>
                      <w:r w:rsidRPr="002473AB">
                        <w:rPr>
                          <w:rFonts w:asciiTheme="minorHAnsi" w:hAnsiTheme="minorHAnsi" w:cstheme="minorHAnsi"/>
                          <w:b/>
                          <w:color w:val="B6A04C"/>
                          <w:sz w:val="20"/>
                          <w:szCs w:val="20"/>
                        </w:rPr>
                        <w:fldChar w:fldCharType="begin"/>
                      </w:r>
                      <w:r w:rsidRPr="002473AB">
                        <w:rPr>
                          <w:rFonts w:asciiTheme="minorHAnsi" w:hAnsiTheme="minorHAnsi" w:cstheme="minorHAnsi"/>
                          <w:b/>
                          <w:color w:val="B6A04C"/>
                          <w:sz w:val="20"/>
                          <w:szCs w:val="20"/>
                        </w:rPr>
                        <w:instrText>HYPERLINK "https://eur-lex.europa.eu/legal-content/fr/TXT/?uri=CELEX%3A62007CJ0555"</w:instrText>
                      </w:r>
                      <w:r w:rsidRPr="002473AB">
                        <w:rPr>
                          <w:rFonts w:asciiTheme="minorHAnsi" w:hAnsiTheme="minorHAnsi" w:cstheme="minorHAnsi"/>
                          <w:b/>
                          <w:color w:val="B6A04C"/>
                          <w:sz w:val="20"/>
                          <w:szCs w:val="20"/>
                        </w:rPr>
                      </w:r>
                      <w:r w:rsidRPr="002473AB">
                        <w:rPr>
                          <w:rFonts w:asciiTheme="minorHAnsi" w:hAnsiTheme="minorHAnsi" w:cstheme="minorHAnsi"/>
                          <w:b/>
                          <w:color w:val="B6A04C"/>
                          <w:sz w:val="20"/>
                          <w:szCs w:val="20"/>
                        </w:rPr>
                        <w:fldChar w:fldCharType="separate"/>
                      </w:r>
                      <w:r w:rsidRPr="002473AB">
                        <w:rPr>
                          <w:rStyle w:val="Lienhypertexte"/>
                          <w:rFonts w:asciiTheme="minorHAnsi" w:hAnsiTheme="minorHAnsi" w:cstheme="minorHAnsi"/>
                          <w:b/>
                          <w:color w:val="B6A04C"/>
                          <w:sz w:val="20"/>
                          <w:szCs w:val="20"/>
                          <w:u w:val="none"/>
                        </w:rPr>
                        <w:t>CJEU, Grd. Ch., 19 january 2010, Seda Kucukdeveci v Swedex Gmbh &amp; Co. KG, C-555/07,</w:t>
                      </w:r>
                    </w:p>
                    <w:p w14:paraId="19C66618" w14:textId="77777777" w:rsidR="00447E92" w:rsidRPr="002473AB" w:rsidRDefault="00447E92" w:rsidP="002473AB">
                      <w:pPr>
                        <w:spacing w:line="276" w:lineRule="auto"/>
                        <w:jc w:val="center"/>
                        <w:rPr>
                          <w:rFonts w:asciiTheme="minorHAnsi" w:hAnsiTheme="minorHAnsi" w:cstheme="minorHAnsi"/>
                          <w:b/>
                          <w:color w:val="B6A04C"/>
                          <w:sz w:val="20"/>
                          <w:szCs w:val="20"/>
                        </w:rPr>
                      </w:pPr>
                      <w:r w:rsidRPr="002473AB">
                        <w:rPr>
                          <w:rStyle w:val="Lienhypertexte"/>
                          <w:rFonts w:asciiTheme="minorHAnsi" w:hAnsiTheme="minorHAnsi" w:cstheme="minorHAnsi"/>
                          <w:b/>
                          <w:color w:val="B6A04C"/>
                          <w:sz w:val="20"/>
                          <w:szCs w:val="20"/>
                          <w:u w:val="none"/>
                        </w:rPr>
                        <w:t>ECLI:EU: C:2010:21</w:t>
                      </w:r>
                      <w:r w:rsidRPr="002473AB">
                        <w:rPr>
                          <w:rStyle w:val="Lienhypertexte"/>
                          <w:rFonts w:asciiTheme="minorHAnsi" w:hAnsiTheme="minorHAnsi" w:cstheme="minorHAnsi"/>
                          <w:b/>
                          <w:color w:val="B6A04C"/>
                          <w:sz w:val="20"/>
                          <w:szCs w:val="20"/>
                        </w:rPr>
                        <w:t>.</w:t>
                      </w:r>
                      <w:r w:rsidRPr="002473AB">
                        <w:rPr>
                          <w:rFonts w:asciiTheme="minorHAnsi" w:hAnsiTheme="minorHAnsi" w:cstheme="minorHAnsi"/>
                          <w:b/>
                          <w:color w:val="B6A04C"/>
                          <w:sz w:val="20"/>
                          <w:szCs w:val="20"/>
                        </w:rPr>
                        <w:fldChar w:fldCharType="end"/>
                      </w:r>
                      <w:proofErr w:type="spellEnd"/>
                    </w:p>
                    <w:p w14:paraId="6B477458" w14:textId="77777777" w:rsidR="00447E92" w:rsidRPr="004B2B84" w:rsidRDefault="00447E92" w:rsidP="00447E92">
                      <w:pPr>
                        <w:spacing w:line="276" w:lineRule="auto"/>
                        <w:jc w:val="both"/>
                        <w:rPr>
                          <w:rFonts w:asciiTheme="minorHAnsi" w:hAnsiTheme="minorHAnsi" w:cstheme="minorHAnsi"/>
                          <w:b/>
                          <w:sz w:val="10"/>
                          <w:szCs w:val="10"/>
                        </w:rPr>
                      </w:pPr>
                    </w:p>
                    <w:p w14:paraId="2F4734B4" w14:textId="0D4D1801" w:rsidR="00447E92" w:rsidRPr="004B2B84" w:rsidRDefault="00447E92" w:rsidP="00447E92">
                      <w:pPr>
                        <w:spacing w:line="276" w:lineRule="auto"/>
                        <w:jc w:val="both"/>
                        <w:rPr>
                          <w:rFonts w:asciiTheme="minorHAnsi" w:hAnsiTheme="minorHAnsi" w:cstheme="minorHAnsi"/>
                          <w:b/>
                          <w:bCs/>
                          <w:color w:val="2C2D5B"/>
                          <w:sz w:val="19"/>
                          <w:szCs w:val="19"/>
                        </w:rPr>
                      </w:pPr>
                      <w:r w:rsidRPr="004B2B84">
                        <w:rPr>
                          <w:rFonts w:asciiTheme="minorHAnsi" w:hAnsiTheme="minorHAnsi" w:cstheme="minorHAnsi"/>
                          <w:b/>
                          <w:bCs/>
                          <w:color w:val="2C2D5B"/>
                          <w:sz w:val="19"/>
                          <w:szCs w:val="19"/>
                        </w:rPr>
                        <w:t>Facts</w:t>
                      </w:r>
                      <w:r w:rsidR="002473AB" w:rsidRPr="004B2B84">
                        <w:rPr>
                          <w:rFonts w:asciiTheme="minorHAnsi" w:hAnsiTheme="minorHAnsi" w:cstheme="minorHAnsi"/>
                          <w:b/>
                          <w:bCs/>
                          <w:color w:val="2C2D5B"/>
                          <w:sz w:val="19"/>
                          <w:szCs w:val="19"/>
                        </w:rPr>
                        <w:t xml:space="preserve"> </w:t>
                      </w:r>
                      <w:r w:rsidRPr="004B2B84">
                        <w:rPr>
                          <w:rFonts w:asciiTheme="minorHAnsi" w:hAnsiTheme="minorHAnsi" w:cstheme="minorHAnsi"/>
                          <w:b/>
                          <w:bCs/>
                          <w:color w:val="2C2D5B"/>
                          <w:sz w:val="19"/>
                          <w:szCs w:val="19"/>
                        </w:rPr>
                        <w:t xml:space="preserve">: </w:t>
                      </w:r>
                    </w:p>
                    <w:p w14:paraId="59BDA40C" w14:textId="77777777" w:rsidR="00447E92" w:rsidRPr="004B2B84" w:rsidRDefault="00447E92" w:rsidP="00447E92">
                      <w:pPr>
                        <w:spacing w:line="276" w:lineRule="auto"/>
                        <w:jc w:val="both"/>
                        <w:rPr>
                          <w:rFonts w:asciiTheme="minorHAnsi" w:hAnsiTheme="minorHAnsi" w:cstheme="minorHAnsi"/>
                          <w:color w:val="2C2D5B"/>
                          <w:sz w:val="19"/>
                          <w:szCs w:val="19"/>
                        </w:rPr>
                      </w:pPr>
                      <w:r w:rsidRPr="004B2B84">
                        <w:rPr>
                          <w:rFonts w:asciiTheme="minorHAnsi" w:hAnsiTheme="minorHAnsi" w:cstheme="minorHAnsi"/>
                          <w:color w:val="2C2D5B"/>
                          <w:sz w:val="19"/>
                          <w:szCs w:val="19"/>
                        </w:rPr>
                        <w:t xml:space="preserve">This case concerned a claim regarding a measure which allegedly discriminated on grounds of age. German national law provided that periods of employment completed before the age of 25 would not be taken into account when calculating the notice period for dismissal. </w:t>
                      </w:r>
                    </w:p>
                    <w:p w14:paraId="5B4B4536" w14:textId="77777777" w:rsidR="00447E92" w:rsidRPr="004B2B84" w:rsidRDefault="00447E92" w:rsidP="00447E92">
                      <w:pPr>
                        <w:spacing w:line="276" w:lineRule="auto"/>
                        <w:jc w:val="both"/>
                        <w:rPr>
                          <w:rFonts w:asciiTheme="minorHAnsi" w:hAnsiTheme="minorHAnsi" w:cstheme="minorHAnsi"/>
                          <w:color w:val="2C2D5B"/>
                          <w:sz w:val="19"/>
                          <w:szCs w:val="19"/>
                        </w:rPr>
                      </w:pPr>
                      <w:r w:rsidRPr="004B2B84">
                        <w:rPr>
                          <w:rFonts w:asciiTheme="minorHAnsi" w:hAnsiTheme="minorHAnsi" w:cstheme="minorHAnsi"/>
                          <w:color w:val="2C2D5B"/>
                          <w:sz w:val="19"/>
                          <w:szCs w:val="19"/>
                        </w:rPr>
                        <w:t xml:space="preserve">Ms </w:t>
                      </w:r>
                      <w:proofErr w:type="spellStart"/>
                      <w:r w:rsidRPr="004B2B84">
                        <w:rPr>
                          <w:rFonts w:asciiTheme="minorHAnsi" w:hAnsiTheme="minorHAnsi" w:cstheme="minorHAnsi"/>
                          <w:color w:val="2C2D5B"/>
                          <w:sz w:val="19"/>
                          <w:szCs w:val="19"/>
                        </w:rPr>
                        <w:t>Kücükdeveci</w:t>
                      </w:r>
                      <w:proofErr w:type="spellEnd"/>
                      <w:r w:rsidRPr="004B2B84">
                        <w:rPr>
                          <w:rFonts w:asciiTheme="minorHAnsi" w:hAnsiTheme="minorHAnsi" w:cstheme="minorHAnsi"/>
                          <w:color w:val="2C2D5B"/>
                          <w:sz w:val="19"/>
                          <w:szCs w:val="19"/>
                        </w:rPr>
                        <w:t xml:space="preserve"> was dismissed by her employer, </w:t>
                      </w:r>
                      <w:proofErr w:type="spellStart"/>
                      <w:r w:rsidRPr="004B2B84">
                        <w:rPr>
                          <w:rFonts w:asciiTheme="minorHAnsi" w:hAnsiTheme="minorHAnsi" w:cstheme="minorHAnsi"/>
                          <w:color w:val="2C2D5B"/>
                          <w:sz w:val="19"/>
                          <w:szCs w:val="19"/>
                        </w:rPr>
                        <w:t>Swedex</w:t>
                      </w:r>
                      <w:proofErr w:type="spellEnd"/>
                      <w:r w:rsidRPr="004B2B84">
                        <w:rPr>
                          <w:rFonts w:asciiTheme="minorHAnsi" w:hAnsiTheme="minorHAnsi" w:cstheme="minorHAnsi"/>
                          <w:color w:val="2C2D5B"/>
                          <w:sz w:val="19"/>
                          <w:szCs w:val="19"/>
                        </w:rPr>
                        <w:t xml:space="preserve"> by letter dated December 19, 2006. The employer calculated her notice period based on three years of service, despite her actual ten years with the company, leading her to argue that this law constituted age discrimination contrary to EU law. </w:t>
                      </w:r>
                    </w:p>
                    <w:p w14:paraId="71AB1530" w14:textId="77777777" w:rsidR="00447E92" w:rsidRPr="004B2B84" w:rsidRDefault="00447E92" w:rsidP="00447E92">
                      <w:pPr>
                        <w:spacing w:line="276" w:lineRule="auto"/>
                        <w:jc w:val="both"/>
                        <w:rPr>
                          <w:rFonts w:asciiTheme="minorHAnsi" w:hAnsiTheme="minorHAnsi" w:cstheme="minorHAnsi"/>
                          <w:color w:val="2C2D5B"/>
                          <w:sz w:val="10"/>
                          <w:szCs w:val="10"/>
                        </w:rPr>
                      </w:pPr>
                    </w:p>
                    <w:p w14:paraId="4B58B3D8" w14:textId="619E8865" w:rsidR="00447E92" w:rsidRPr="004B2B84" w:rsidRDefault="00447E92" w:rsidP="00447E92">
                      <w:pPr>
                        <w:spacing w:line="276" w:lineRule="auto"/>
                        <w:jc w:val="both"/>
                        <w:rPr>
                          <w:rFonts w:asciiTheme="minorHAnsi" w:hAnsiTheme="minorHAnsi" w:cstheme="minorHAnsi"/>
                          <w:b/>
                          <w:bCs/>
                          <w:color w:val="2C2D5B"/>
                          <w:sz w:val="19"/>
                          <w:szCs w:val="19"/>
                        </w:rPr>
                      </w:pPr>
                      <w:r w:rsidRPr="004B2B84">
                        <w:rPr>
                          <w:rFonts w:asciiTheme="minorHAnsi" w:hAnsiTheme="minorHAnsi" w:cstheme="minorHAnsi"/>
                          <w:b/>
                          <w:bCs/>
                          <w:color w:val="2C2D5B"/>
                          <w:sz w:val="19"/>
                          <w:szCs w:val="19"/>
                        </w:rPr>
                        <w:t>Ruling</w:t>
                      </w:r>
                      <w:r w:rsidR="002473AB" w:rsidRPr="004B2B84">
                        <w:rPr>
                          <w:rFonts w:asciiTheme="minorHAnsi" w:hAnsiTheme="minorHAnsi" w:cstheme="minorHAnsi"/>
                          <w:b/>
                          <w:bCs/>
                          <w:color w:val="2C2D5B"/>
                          <w:sz w:val="19"/>
                          <w:szCs w:val="19"/>
                        </w:rPr>
                        <w:t xml:space="preserve"> </w:t>
                      </w:r>
                      <w:r w:rsidRPr="004B2B84">
                        <w:rPr>
                          <w:rFonts w:asciiTheme="minorHAnsi" w:hAnsiTheme="minorHAnsi" w:cstheme="minorHAnsi"/>
                          <w:b/>
                          <w:bCs/>
                          <w:color w:val="2C2D5B"/>
                          <w:sz w:val="19"/>
                          <w:szCs w:val="19"/>
                        </w:rPr>
                        <w:t xml:space="preserve">: </w:t>
                      </w:r>
                    </w:p>
                    <w:p w14:paraId="24F84468" w14:textId="77777777" w:rsidR="00447E92" w:rsidRPr="004B2B84" w:rsidRDefault="00447E92" w:rsidP="00447E92">
                      <w:pPr>
                        <w:spacing w:line="276" w:lineRule="auto"/>
                        <w:jc w:val="both"/>
                        <w:rPr>
                          <w:rFonts w:asciiTheme="minorHAnsi" w:hAnsiTheme="minorHAnsi" w:cstheme="minorHAnsi"/>
                          <w:color w:val="2C2D5B"/>
                          <w:sz w:val="19"/>
                          <w:szCs w:val="19"/>
                        </w:rPr>
                      </w:pPr>
                      <w:r w:rsidRPr="004B2B84">
                        <w:rPr>
                          <w:rFonts w:asciiTheme="minorHAnsi" w:hAnsiTheme="minorHAnsi" w:cstheme="minorHAnsi"/>
                          <w:color w:val="2C2D5B"/>
                          <w:sz w:val="19"/>
                          <w:szCs w:val="19"/>
                        </w:rPr>
                        <w:t xml:space="preserve">The CJEU held that the </w:t>
                      </w:r>
                      <w:r w:rsidRPr="004B2B84">
                        <w:rPr>
                          <w:rFonts w:asciiTheme="minorHAnsi" w:hAnsiTheme="minorHAnsi" w:cstheme="minorHAnsi"/>
                          <w:b/>
                          <w:bCs/>
                          <w:color w:val="2C2D5B"/>
                          <w:sz w:val="19"/>
                          <w:szCs w:val="19"/>
                        </w:rPr>
                        <w:t>principle of non-discrimination on grounds of age</w:t>
                      </w:r>
                      <w:r w:rsidRPr="004B2B84">
                        <w:rPr>
                          <w:rFonts w:asciiTheme="minorHAnsi" w:hAnsiTheme="minorHAnsi" w:cstheme="minorHAnsi"/>
                          <w:color w:val="2C2D5B"/>
                          <w:sz w:val="19"/>
                          <w:szCs w:val="19"/>
                        </w:rPr>
                        <w:t xml:space="preserve">, as given expression by Directive 2000/78, precludes national legislation which provides that periods of employment completed by an employee before reaching the age of 25 are not taken into account in calculating the notice period for dismissal. </w:t>
                      </w:r>
                    </w:p>
                    <w:p w14:paraId="63650293" w14:textId="77777777" w:rsidR="00447E92" w:rsidRPr="00327D5A" w:rsidRDefault="00447E92" w:rsidP="00447E92">
                      <w:pPr>
                        <w:spacing w:line="276" w:lineRule="auto"/>
                        <w:jc w:val="both"/>
                        <w:rPr>
                          <w:rFonts w:asciiTheme="minorHAnsi" w:hAnsiTheme="minorHAnsi" w:cstheme="minorHAnsi"/>
                          <w:sz w:val="20"/>
                          <w:szCs w:val="20"/>
                        </w:rPr>
                      </w:pPr>
                    </w:p>
                  </w:txbxContent>
                </v:textbox>
                <w10:wrap type="square" anchorx="margin"/>
              </v:roundrect>
            </w:pict>
          </mc:Fallback>
        </mc:AlternateContent>
      </w:r>
      <w:r w:rsidRPr="002473AB">
        <w:rPr>
          <w:rFonts w:asciiTheme="majorHAnsi" w:hAnsiTheme="majorHAnsi" w:cstheme="majorHAnsi"/>
          <w:color w:val="2C2D5B"/>
        </w:rPr>
        <w:t>Even before the Charter entered into force, the CJEU used general principles of European Union law as guidance  for national judges in disputes  between  private parties.</w:t>
      </w:r>
    </w:p>
    <w:p w14:paraId="79C9C5C6" w14:textId="64951A10" w:rsidR="00447E92" w:rsidRDefault="00447E92" w:rsidP="00EC2273">
      <w:pPr>
        <w:spacing w:line="276" w:lineRule="auto"/>
        <w:jc w:val="both"/>
        <w:rPr>
          <w:rFonts w:ascii="Calibri" w:hAnsi="Calibri" w:cs="Calibri"/>
          <w:b/>
          <w:bCs/>
          <w:i/>
          <w:iCs/>
          <w:color w:val="BF8F00" w:themeColor="accent4" w:themeShade="BF"/>
          <w:sz w:val="26"/>
          <w:szCs w:val="26"/>
        </w:rPr>
      </w:pPr>
    </w:p>
    <w:p w14:paraId="248BD2CA" w14:textId="09C2E885" w:rsidR="00447E92" w:rsidRDefault="00447E92" w:rsidP="00EC2273">
      <w:pPr>
        <w:spacing w:line="276" w:lineRule="auto"/>
        <w:jc w:val="both"/>
        <w:rPr>
          <w:rFonts w:ascii="Calibri" w:hAnsi="Calibri" w:cs="Calibri"/>
          <w:b/>
          <w:bCs/>
          <w:i/>
          <w:iCs/>
          <w:color w:val="BF8F00" w:themeColor="accent4" w:themeShade="BF"/>
          <w:sz w:val="26"/>
          <w:szCs w:val="26"/>
        </w:rPr>
      </w:pPr>
    </w:p>
    <w:p w14:paraId="3C4F828E" w14:textId="459E07B1" w:rsidR="00447E92" w:rsidRDefault="00447E92" w:rsidP="00EC2273">
      <w:pPr>
        <w:spacing w:line="276" w:lineRule="auto"/>
        <w:jc w:val="both"/>
        <w:rPr>
          <w:rFonts w:ascii="Calibri" w:hAnsi="Calibri" w:cs="Calibri"/>
          <w:b/>
          <w:bCs/>
          <w:i/>
          <w:iCs/>
          <w:color w:val="BF8F00" w:themeColor="accent4" w:themeShade="BF"/>
          <w:sz w:val="26"/>
          <w:szCs w:val="26"/>
        </w:rPr>
      </w:pPr>
    </w:p>
    <w:p w14:paraId="2F3781CB" w14:textId="527506A0" w:rsidR="002473AB" w:rsidRDefault="002473AB" w:rsidP="00EC2273">
      <w:pPr>
        <w:spacing w:line="276" w:lineRule="auto"/>
        <w:jc w:val="both"/>
        <w:rPr>
          <w:rFonts w:ascii="Calibri" w:hAnsi="Calibri" w:cs="Calibri"/>
          <w:b/>
          <w:bCs/>
          <w:i/>
          <w:iCs/>
          <w:color w:val="BF8F00" w:themeColor="accent4" w:themeShade="BF"/>
          <w:sz w:val="26"/>
          <w:szCs w:val="26"/>
        </w:rPr>
      </w:pPr>
    </w:p>
    <w:p w14:paraId="7B37873C" w14:textId="4E5944F2" w:rsidR="002473AB" w:rsidRDefault="002473AB" w:rsidP="00EC2273">
      <w:pPr>
        <w:spacing w:line="276" w:lineRule="auto"/>
        <w:jc w:val="both"/>
        <w:rPr>
          <w:rFonts w:ascii="Calibri" w:hAnsi="Calibri" w:cs="Calibri"/>
          <w:b/>
          <w:bCs/>
          <w:i/>
          <w:iCs/>
          <w:color w:val="BF8F00" w:themeColor="accent4" w:themeShade="BF"/>
          <w:sz w:val="26"/>
          <w:szCs w:val="26"/>
        </w:rPr>
      </w:pPr>
    </w:p>
    <w:p w14:paraId="75EAEE98" w14:textId="6C72459B" w:rsidR="00A04C19" w:rsidRPr="00DB4562" w:rsidRDefault="002A3051" w:rsidP="00EC2273">
      <w:pPr>
        <w:spacing w:line="276" w:lineRule="auto"/>
        <w:jc w:val="both"/>
        <w:rPr>
          <w:rFonts w:ascii="Calibri" w:hAnsi="Calibri" w:cs="Calibri"/>
          <w:b/>
          <w:bCs/>
          <w:i/>
          <w:iCs/>
          <w:color w:val="BF8F00" w:themeColor="accent4" w:themeShade="BF"/>
          <w:sz w:val="26"/>
          <w:szCs w:val="26"/>
        </w:rPr>
      </w:pPr>
      <w:r w:rsidRPr="00DB4562">
        <w:rPr>
          <w:rFonts w:ascii="Calibri" w:hAnsi="Calibri" w:cs="Calibri"/>
          <w:b/>
          <w:bCs/>
          <w:i/>
          <w:iCs/>
          <w:color w:val="BF8F00" w:themeColor="accent4" w:themeShade="BF"/>
          <w:sz w:val="26"/>
          <w:szCs w:val="26"/>
        </w:rPr>
        <w:t>Test your understanding</w:t>
      </w:r>
    </w:p>
    <w:p w14:paraId="1443E557" w14:textId="54A01344" w:rsidR="00E23232" w:rsidRPr="002A3051" w:rsidRDefault="002A3051" w:rsidP="002A3051">
      <w:pPr>
        <w:spacing w:before="100" w:beforeAutospacing="1" w:after="100" w:afterAutospacing="1"/>
        <w:jc w:val="both"/>
        <w:rPr>
          <w:rFonts w:ascii="Calibri Light" w:hAnsi="Calibri Light" w:cs="Calibri Light"/>
          <w:lang w:eastAsia="fr-FR"/>
        </w:rPr>
      </w:pPr>
      <w:r w:rsidRPr="002A3051">
        <w:rPr>
          <w:rFonts w:ascii="Calibri Light" w:hAnsi="Calibri Light" w:cs="Calibri Light"/>
          <w:b/>
          <w:bCs/>
          <w:color w:val="002060"/>
          <w:lang w:eastAsia="fr-FR"/>
        </w:rPr>
        <w:t>Situation</w:t>
      </w:r>
      <w:r w:rsidR="002473AB">
        <w:rPr>
          <w:rFonts w:ascii="Calibri Light" w:hAnsi="Calibri Light" w:cs="Calibri Light"/>
          <w:b/>
          <w:bCs/>
          <w:color w:val="002060"/>
          <w:lang w:eastAsia="fr-FR"/>
        </w:rPr>
        <w:t xml:space="preserve"> </w:t>
      </w:r>
      <w:r w:rsidRPr="002A3051">
        <w:rPr>
          <w:rFonts w:ascii="Calibri Light" w:hAnsi="Calibri Light" w:cs="Calibri Light"/>
          <w:color w:val="002060"/>
          <w:lang w:eastAsia="fr-FR"/>
        </w:rPr>
        <w:t xml:space="preserve">: </w:t>
      </w:r>
      <w:r w:rsidR="00E23232" w:rsidRPr="002473AB">
        <w:rPr>
          <w:rFonts w:ascii="Calibri Light" w:hAnsi="Calibri Light" w:cs="Calibri Light"/>
          <w:color w:val="2C2D5B"/>
          <w:lang w:eastAsia="fr-FR"/>
        </w:rPr>
        <w:t>A non-governmental organization (NGO) advocates for stronger environmental protections in a Member State. The NGO bases its argument on Article 37 of the Charter, which states that a high level of environmental protection and improvement of environmental quality must be integrated into EU policies. A local administrative authority denies their request to block a project that allegedly harms the environment, arguing that Article 37 is not directly enforceable and cannot be invoked in court.</w:t>
      </w:r>
    </w:p>
    <w:p w14:paraId="2D6F43EB" w14:textId="77777777" w:rsidR="00E23232" w:rsidRPr="002473AB" w:rsidRDefault="00E23232" w:rsidP="002A3051">
      <w:pPr>
        <w:numPr>
          <w:ilvl w:val="0"/>
          <w:numId w:val="56"/>
        </w:numPr>
        <w:spacing w:before="100" w:beforeAutospacing="1" w:after="100" w:afterAutospacing="1"/>
        <w:jc w:val="both"/>
        <w:rPr>
          <w:rFonts w:ascii="Calibri Light" w:hAnsi="Calibri Light" w:cs="Calibri Light"/>
          <w:color w:val="2C2D5B"/>
          <w:lang w:eastAsia="fr-FR"/>
        </w:rPr>
      </w:pPr>
      <w:r w:rsidRPr="002473AB">
        <w:rPr>
          <w:rFonts w:ascii="Calibri Light" w:hAnsi="Calibri Light" w:cs="Calibri Light"/>
          <w:color w:val="2C2D5B"/>
          <w:lang w:eastAsia="fr-FR"/>
        </w:rPr>
        <w:t xml:space="preserve">Is Article 37 a </w:t>
      </w:r>
      <w:r w:rsidRPr="002473AB">
        <w:rPr>
          <w:rFonts w:ascii="Calibri Light" w:hAnsi="Calibri Light" w:cs="Calibri Light"/>
          <w:b/>
          <w:bCs/>
          <w:color w:val="2C2D5B"/>
          <w:lang w:eastAsia="fr-FR"/>
        </w:rPr>
        <w:t>right</w:t>
      </w:r>
      <w:r w:rsidRPr="002473AB">
        <w:rPr>
          <w:rFonts w:ascii="Calibri Light" w:hAnsi="Calibri Light" w:cs="Calibri Light"/>
          <w:color w:val="2C2D5B"/>
          <w:lang w:eastAsia="fr-FR"/>
        </w:rPr>
        <w:t xml:space="preserve"> or a </w:t>
      </w:r>
      <w:r w:rsidRPr="002473AB">
        <w:rPr>
          <w:rFonts w:ascii="Calibri Light" w:hAnsi="Calibri Light" w:cs="Calibri Light"/>
          <w:b/>
          <w:bCs/>
          <w:color w:val="2C2D5B"/>
          <w:lang w:eastAsia="fr-FR"/>
        </w:rPr>
        <w:t>principle</w:t>
      </w:r>
      <w:r w:rsidRPr="002473AB">
        <w:rPr>
          <w:rFonts w:ascii="Calibri Light" w:hAnsi="Calibri Light" w:cs="Calibri Light"/>
          <w:color w:val="2C2D5B"/>
          <w:lang w:eastAsia="fr-FR"/>
        </w:rPr>
        <w:t>, and how does this affect its enforceability?</w:t>
      </w:r>
    </w:p>
    <w:p w14:paraId="208D5960" w14:textId="2E000D29" w:rsidR="00E23232" w:rsidRPr="002473AB" w:rsidRDefault="00E23232" w:rsidP="002A3051">
      <w:pPr>
        <w:numPr>
          <w:ilvl w:val="0"/>
          <w:numId w:val="56"/>
        </w:numPr>
        <w:spacing w:before="100" w:beforeAutospacing="1" w:after="100" w:afterAutospacing="1"/>
        <w:jc w:val="both"/>
        <w:rPr>
          <w:rFonts w:ascii="Calibri Light" w:hAnsi="Calibri Light" w:cs="Calibri Light"/>
          <w:color w:val="2C2D5B"/>
          <w:lang w:eastAsia="fr-FR"/>
        </w:rPr>
      </w:pPr>
      <w:r w:rsidRPr="002473AB">
        <w:rPr>
          <w:rFonts w:ascii="Calibri Light" w:hAnsi="Calibri Light" w:cs="Calibri Light"/>
          <w:color w:val="2C2D5B"/>
          <w:lang w:eastAsia="fr-FR"/>
        </w:rPr>
        <w:t>What steps can the NGO take to strengthen its legal argument using the Charter?</w:t>
      </w:r>
    </w:p>
    <w:p w14:paraId="4E9F56EC" w14:textId="1C0FF96A" w:rsidR="00E23232" w:rsidRPr="002473AB" w:rsidRDefault="00E23232" w:rsidP="00E23232">
      <w:pPr>
        <w:numPr>
          <w:ilvl w:val="0"/>
          <w:numId w:val="56"/>
        </w:numPr>
        <w:spacing w:before="100" w:beforeAutospacing="1" w:after="100" w:afterAutospacing="1"/>
        <w:jc w:val="both"/>
        <w:rPr>
          <w:rFonts w:ascii="Calibri Light" w:hAnsi="Calibri Light" w:cs="Calibri Light"/>
          <w:color w:val="2C2D5B"/>
          <w:lang w:eastAsia="fr-FR"/>
        </w:rPr>
      </w:pPr>
      <w:r w:rsidRPr="002473AB">
        <w:rPr>
          <w:rFonts w:ascii="Calibri Light" w:hAnsi="Calibri Light" w:cs="Calibri Light"/>
          <w:color w:val="2C2D5B"/>
          <w:lang w:eastAsia="fr-FR"/>
        </w:rPr>
        <w:t>What distinction should the court make when interpreting rights and principles under the Charter</w:t>
      </w:r>
      <w:r w:rsidR="002473AB" w:rsidRPr="002473AB">
        <w:rPr>
          <w:rFonts w:ascii="Calibri Light" w:hAnsi="Calibri Light" w:cs="Calibri Light"/>
          <w:color w:val="2C2D5B"/>
          <w:lang w:eastAsia="fr-FR"/>
        </w:rPr>
        <w:t xml:space="preserve"> </w:t>
      </w:r>
      <w:r w:rsidRPr="002473AB">
        <w:rPr>
          <w:rFonts w:ascii="Calibri Light" w:hAnsi="Calibri Light" w:cs="Calibri Light"/>
          <w:color w:val="2C2D5B"/>
          <w:lang w:eastAsia="fr-FR"/>
        </w:rPr>
        <w:t>?</w:t>
      </w:r>
    </w:p>
    <w:p w14:paraId="51D66C82" w14:textId="5F8E4E8A" w:rsidR="00E23232" w:rsidRPr="002473AB" w:rsidRDefault="00E23232" w:rsidP="002A3051">
      <w:pPr>
        <w:jc w:val="both"/>
        <w:outlineLvl w:val="3"/>
        <w:rPr>
          <w:rFonts w:ascii="Calibri Light" w:hAnsi="Calibri Light" w:cs="Calibri Light"/>
          <w:b/>
          <w:bCs/>
          <w:color w:val="6C6EB8"/>
          <w:sz w:val="22"/>
          <w:szCs w:val="22"/>
          <w:lang w:eastAsia="fr-FR"/>
        </w:rPr>
      </w:pPr>
      <w:r w:rsidRPr="002473AB">
        <w:rPr>
          <w:rFonts w:ascii="Calibri Light" w:hAnsi="Calibri Light" w:cs="Calibri Light"/>
          <w:b/>
          <w:bCs/>
          <w:color w:val="6C6EB8"/>
          <w:sz w:val="22"/>
          <w:szCs w:val="22"/>
          <w:lang w:eastAsia="fr-FR"/>
        </w:rPr>
        <w:t>Analysis</w:t>
      </w:r>
      <w:r w:rsidR="002473AB" w:rsidRPr="002473AB">
        <w:rPr>
          <w:rFonts w:ascii="Calibri Light" w:hAnsi="Calibri Light" w:cs="Calibri Light"/>
          <w:b/>
          <w:bCs/>
          <w:color w:val="6C6EB8"/>
          <w:sz w:val="22"/>
          <w:szCs w:val="22"/>
          <w:lang w:eastAsia="fr-FR"/>
        </w:rPr>
        <w:t xml:space="preserve"> </w:t>
      </w:r>
      <w:r w:rsidRPr="002473AB">
        <w:rPr>
          <w:rFonts w:ascii="Calibri Light" w:hAnsi="Calibri Light" w:cs="Calibri Light"/>
          <w:b/>
          <w:bCs/>
          <w:color w:val="6C6EB8"/>
          <w:sz w:val="22"/>
          <w:szCs w:val="22"/>
          <w:lang w:eastAsia="fr-FR"/>
        </w:rPr>
        <w:t>:</w:t>
      </w:r>
    </w:p>
    <w:p w14:paraId="2823AB57" w14:textId="143B6CD6" w:rsidR="002A3051" w:rsidRPr="002473AB" w:rsidRDefault="002A3051" w:rsidP="002A3051">
      <w:pPr>
        <w:jc w:val="both"/>
        <w:outlineLvl w:val="3"/>
        <w:rPr>
          <w:rFonts w:ascii="Calibri Light" w:hAnsi="Calibri Light" w:cs="Calibri Light"/>
          <w:b/>
          <w:bCs/>
          <w:color w:val="6C6EB8"/>
          <w:sz w:val="22"/>
          <w:szCs w:val="22"/>
          <w:lang w:eastAsia="fr-FR"/>
        </w:rPr>
      </w:pPr>
    </w:p>
    <w:p w14:paraId="2A0D89B9" w14:textId="7167DD4B" w:rsidR="00E23232" w:rsidRPr="002473AB" w:rsidRDefault="00E23232" w:rsidP="002A3051">
      <w:pPr>
        <w:numPr>
          <w:ilvl w:val="0"/>
          <w:numId w:val="57"/>
        </w:numPr>
        <w:jc w:val="both"/>
        <w:rPr>
          <w:rFonts w:ascii="Calibri Light" w:hAnsi="Calibri Light" w:cs="Calibri Light"/>
          <w:color w:val="6C6EB8"/>
          <w:sz w:val="22"/>
          <w:szCs w:val="22"/>
          <w:lang w:eastAsia="fr-FR"/>
        </w:rPr>
      </w:pPr>
      <w:r w:rsidRPr="002473AB">
        <w:rPr>
          <w:rFonts w:ascii="Calibri Light" w:hAnsi="Calibri Light" w:cs="Calibri Light"/>
          <w:b/>
          <w:bCs/>
          <w:color w:val="6C6EB8"/>
          <w:sz w:val="22"/>
          <w:szCs w:val="22"/>
          <w:lang w:eastAsia="fr-FR"/>
        </w:rPr>
        <w:t>Rights vs. Principles</w:t>
      </w:r>
      <w:r w:rsidR="002473AB" w:rsidRPr="002473AB">
        <w:rPr>
          <w:rFonts w:ascii="Calibri Light" w:hAnsi="Calibri Light" w:cs="Calibri Light"/>
          <w:b/>
          <w:bCs/>
          <w:color w:val="6C6EB8"/>
          <w:sz w:val="22"/>
          <w:szCs w:val="22"/>
          <w:lang w:eastAsia="fr-FR"/>
        </w:rPr>
        <w:t xml:space="preserve"> </w:t>
      </w:r>
      <w:r w:rsidRPr="002473AB">
        <w:rPr>
          <w:rFonts w:ascii="Calibri Light" w:hAnsi="Calibri Light" w:cs="Calibri Light"/>
          <w:color w:val="6C6EB8"/>
          <w:sz w:val="22"/>
          <w:szCs w:val="22"/>
          <w:lang w:eastAsia="fr-FR"/>
        </w:rPr>
        <w:t>:</w:t>
      </w:r>
    </w:p>
    <w:p w14:paraId="64695785" w14:textId="760143CC" w:rsidR="00E23232" w:rsidRPr="002473AB" w:rsidRDefault="00E23232" w:rsidP="002A3051">
      <w:pPr>
        <w:numPr>
          <w:ilvl w:val="1"/>
          <w:numId w:val="57"/>
        </w:numPr>
        <w:jc w:val="both"/>
        <w:rPr>
          <w:rFonts w:ascii="Calibri Light" w:hAnsi="Calibri Light" w:cs="Calibri Light"/>
          <w:color w:val="6C6EB8"/>
          <w:sz w:val="22"/>
          <w:szCs w:val="22"/>
          <w:lang w:eastAsia="fr-FR"/>
        </w:rPr>
      </w:pPr>
      <w:r w:rsidRPr="002473AB">
        <w:rPr>
          <w:rFonts w:ascii="Calibri Light" w:hAnsi="Calibri Light" w:cs="Calibri Light"/>
          <w:b/>
          <w:bCs/>
          <w:color w:val="6C6EB8"/>
          <w:sz w:val="22"/>
          <w:szCs w:val="22"/>
          <w:lang w:eastAsia="fr-FR"/>
        </w:rPr>
        <w:t>Rights</w:t>
      </w:r>
      <w:r w:rsidRPr="002473AB">
        <w:rPr>
          <w:rFonts w:ascii="Calibri Light" w:hAnsi="Calibri Light" w:cs="Calibri Light"/>
          <w:color w:val="6C6EB8"/>
          <w:sz w:val="22"/>
          <w:szCs w:val="22"/>
          <w:lang w:eastAsia="fr-FR"/>
        </w:rPr>
        <w:t xml:space="preserve"> under the Charter (e.g., Article 8 on data protection or Article 21 on non-discrimination) are </w:t>
      </w:r>
      <w:r w:rsidRPr="002473AB">
        <w:rPr>
          <w:rFonts w:ascii="Calibri Light" w:hAnsi="Calibri Light" w:cs="Calibri Light"/>
          <w:b/>
          <w:bCs/>
          <w:color w:val="6C6EB8"/>
          <w:sz w:val="22"/>
          <w:szCs w:val="22"/>
          <w:lang w:eastAsia="fr-FR"/>
        </w:rPr>
        <w:t>clear, precise, and unconditional</w:t>
      </w:r>
      <w:r w:rsidRPr="002473AB">
        <w:rPr>
          <w:rFonts w:ascii="Calibri Light" w:hAnsi="Calibri Light" w:cs="Calibri Light"/>
          <w:color w:val="6C6EB8"/>
          <w:sz w:val="22"/>
          <w:szCs w:val="22"/>
          <w:lang w:eastAsia="fr-FR"/>
        </w:rPr>
        <w:t>, making them directly enforceable in legal proceedings.</w:t>
      </w:r>
    </w:p>
    <w:p w14:paraId="384F76F0" w14:textId="684B36EB" w:rsidR="00E23232" w:rsidRPr="002473AB" w:rsidRDefault="00E23232" w:rsidP="002A3051">
      <w:pPr>
        <w:numPr>
          <w:ilvl w:val="1"/>
          <w:numId w:val="57"/>
        </w:numPr>
        <w:jc w:val="both"/>
        <w:rPr>
          <w:rFonts w:ascii="Calibri Light" w:hAnsi="Calibri Light" w:cs="Calibri Light"/>
          <w:color w:val="6C6EB8"/>
          <w:sz w:val="22"/>
          <w:szCs w:val="22"/>
          <w:lang w:eastAsia="fr-FR"/>
        </w:rPr>
      </w:pPr>
      <w:r w:rsidRPr="002473AB">
        <w:rPr>
          <w:rFonts w:ascii="Calibri Light" w:hAnsi="Calibri Light" w:cs="Calibri Light"/>
          <w:b/>
          <w:bCs/>
          <w:color w:val="6C6EB8"/>
          <w:sz w:val="22"/>
          <w:szCs w:val="22"/>
          <w:lang w:eastAsia="fr-FR"/>
        </w:rPr>
        <w:t>Principles</w:t>
      </w:r>
      <w:r w:rsidRPr="002473AB">
        <w:rPr>
          <w:rFonts w:ascii="Calibri Light" w:hAnsi="Calibri Light" w:cs="Calibri Light"/>
          <w:color w:val="6C6EB8"/>
          <w:sz w:val="22"/>
          <w:szCs w:val="22"/>
          <w:lang w:eastAsia="fr-FR"/>
        </w:rPr>
        <w:t xml:space="preserve">, such as Article 37 on environmental protection, serve as </w:t>
      </w:r>
      <w:r w:rsidRPr="002473AB">
        <w:rPr>
          <w:rFonts w:ascii="Calibri Light" w:hAnsi="Calibri Light" w:cs="Calibri Light"/>
          <w:b/>
          <w:bCs/>
          <w:color w:val="6C6EB8"/>
          <w:sz w:val="22"/>
          <w:szCs w:val="22"/>
          <w:lang w:eastAsia="fr-FR"/>
        </w:rPr>
        <w:t>guidelines</w:t>
      </w:r>
      <w:r w:rsidRPr="002473AB">
        <w:rPr>
          <w:rFonts w:ascii="Calibri Light" w:hAnsi="Calibri Light" w:cs="Calibri Light"/>
          <w:color w:val="6C6EB8"/>
          <w:sz w:val="22"/>
          <w:szCs w:val="22"/>
          <w:lang w:eastAsia="fr-FR"/>
        </w:rPr>
        <w:t xml:space="preserve"> for EU institutions and Member States when implementing EU law. They require legislative or regulatory measures to give them effect and cannot, on their own, confer direct rights to individuals.</w:t>
      </w:r>
    </w:p>
    <w:p w14:paraId="5B92A50F" w14:textId="38A18C4B" w:rsidR="00E23232" w:rsidRPr="002473AB" w:rsidRDefault="00E23232" w:rsidP="002A3051">
      <w:pPr>
        <w:numPr>
          <w:ilvl w:val="0"/>
          <w:numId w:val="57"/>
        </w:numPr>
        <w:jc w:val="both"/>
        <w:rPr>
          <w:rFonts w:ascii="Calibri Light" w:hAnsi="Calibri Light" w:cs="Calibri Light"/>
          <w:color w:val="6C6EB8"/>
          <w:sz w:val="22"/>
          <w:szCs w:val="22"/>
          <w:lang w:eastAsia="fr-FR"/>
        </w:rPr>
      </w:pPr>
      <w:r w:rsidRPr="002473AB">
        <w:rPr>
          <w:rFonts w:ascii="Calibri Light" w:hAnsi="Calibri Light" w:cs="Calibri Light"/>
          <w:b/>
          <w:bCs/>
          <w:color w:val="6C6EB8"/>
          <w:sz w:val="22"/>
          <w:szCs w:val="22"/>
          <w:lang w:eastAsia="fr-FR"/>
        </w:rPr>
        <w:t>Applicability of Article 37</w:t>
      </w:r>
      <w:r w:rsidR="002473AB" w:rsidRPr="002473AB">
        <w:rPr>
          <w:rFonts w:ascii="Calibri Light" w:hAnsi="Calibri Light" w:cs="Calibri Light"/>
          <w:b/>
          <w:bCs/>
          <w:color w:val="6C6EB8"/>
          <w:sz w:val="22"/>
          <w:szCs w:val="22"/>
          <w:lang w:eastAsia="fr-FR"/>
        </w:rPr>
        <w:t xml:space="preserve"> </w:t>
      </w:r>
      <w:r w:rsidRPr="002473AB">
        <w:rPr>
          <w:rFonts w:ascii="Calibri Light" w:hAnsi="Calibri Light" w:cs="Calibri Light"/>
          <w:color w:val="6C6EB8"/>
          <w:sz w:val="22"/>
          <w:szCs w:val="22"/>
          <w:lang w:eastAsia="fr-FR"/>
        </w:rPr>
        <w:t>:</w:t>
      </w:r>
    </w:p>
    <w:p w14:paraId="23D3226B" w14:textId="16F98569" w:rsidR="00E23232" w:rsidRPr="002473AB" w:rsidRDefault="00E23232" w:rsidP="002A3051">
      <w:pPr>
        <w:numPr>
          <w:ilvl w:val="1"/>
          <w:numId w:val="57"/>
        </w:numPr>
        <w:jc w:val="both"/>
        <w:rPr>
          <w:rFonts w:ascii="Calibri Light" w:hAnsi="Calibri Light" w:cs="Calibri Light"/>
          <w:color w:val="6C6EB8"/>
          <w:sz w:val="22"/>
          <w:szCs w:val="22"/>
          <w:lang w:eastAsia="fr-FR"/>
        </w:rPr>
      </w:pPr>
      <w:r w:rsidRPr="002473AB">
        <w:rPr>
          <w:rFonts w:ascii="Calibri Light" w:hAnsi="Calibri Light" w:cs="Calibri Light"/>
          <w:color w:val="6C6EB8"/>
          <w:sz w:val="22"/>
          <w:szCs w:val="22"/>
          <w:lang w:eastAsia="fr-FR"/>
        </w:rPr>
        <w:t xml:space="preserve">The NGO cannot directly invoke Article 37 to block the project. However, they can argue that the </w:t>
      </w:r>
      <w:r w:rsidRPr="002473AB">
        <w:rPr>
          <w:rFonts w:ascii="Calibri Light" w:hAnsi="Calibri Light" w:cs="Calibri Light"/>
          <w:b/>
          <w:bCs/>
          <w:color w:val="6C6EB8"/>
          <w:sz w:val="22"/>
          <w:szCs w:val="22"/>
          <w:lang w:eastAsia="fr-FR"/>
        </w:rPr>
        <w:t>principle of environmental protection</w:t>
      </w:r>
      <w:r w:rsidRPr="002473AB">
        <w:rPr>
          <w:rFonts w:ascii="Calibri Light" w:hAnsi="Calibri Light" w:cs="Calibri Light"/>
          <w:color w:val="6C6EB8"/>
          <w:sz w:val="22"/>
          <w:szCs w:val="22"/>
          <w:lang w:eastAsia="fr-FR"/>
        </w:rPr>
        <w:t xml:space="preserve"> should guide the interpretation and implementation of relevant EU law, such as the </w:t>
      </w:r>
      <w:r w:rsidRPr="002473AB">
        <w:rPr>
          <w:rFonts w:ascii="Calibri Light" w:hAnsi="Calibri Light" w:cs="Calibri Light"/>
          <w:b/>
          <w:bCs/>
          <w:color w:val="6C6EB8"/>
          <w:sz w:val="22"/>
          <w:szCs w:val="22"/>
          <w:lang w:eastAsia="fr-FR"/>
        </w:rPr>
        <w:t>Environmental Impact Assessment Directive (Directive 2011/92/EU)</w:t>
      </w:r>
      <w:r w:rsidRPr="002473AB">
        <w:rPr>
          <w:rFonts w:ascii="Calibri Light" w:hAnsi="Calibri Light" w:cs="Calibri Light"/>
          <w:color w:val="6C6EB8"/>
          <w:sz w:val="22"/>
          <w:szCs w:val="22"/>
          <w:lang w:eastAsia="fr-FR"/>
        </w:rPr>
        <w:t>.</w:t>
      </w:r>
    </w:p>
    <w:p w14:paraId="75DC20E9" w14:textId="3DCE7147" w:rsidR="00E23232" w:rsidRPr="002473AB" w:rsidRDefault="00E23232" w:rsidP="002A3051">
      <w:pPr>
        <w:numPr>
          <w:ilvl w:val="1"/>
          <w:numId w:val="57"/>
        </w:numPr>
        <w:jc w:val="both"/>
        <w:rPr>
          <w:rFonts w:ascii="Calibri Light" w:hAnsi="Calibri Light" w:cs="Calibri Light"/>
          <w:color w:val="6C6EB8"/>
          <w:sz w:val="22"/>
          <w:szCs w:val="22"/>
          <w:lang w:eastAsia="fr-FR"/>
        </w:rPr>
      </w:pPr>
      <w:r w:rsidRPr="002473AB">
        <w:rPr>
          <w:rFonts w:ascii="Calibri Light" w:hAnsi="Calibri Light" w:cs="Calibri Light"/>
          <w:color w:val="6C6EB8"/>
          <w:sz w:val="22"/>
          <w:szCs w:val="22"/>
          <w:lang w:eastAsia="fr-FR"/>
        </w:rPr>
        <w:t>If the Member State has transposed the directive inadequately, or the project fails to comply with its provisions, the NGO may argue that Article 37 requires national authorities to ensure compliance with the directive.</w:t>
      </w:r>
    </w:p>
    <w:p w14:paraId="18E773C6" w14:textId="34AFF79F" w:rsidR="00E23232" w:rsidRPr="002473AB" w:rsidRDefault="00E23232" w:rsidP="002A3051">
      <w:pPr>
        <w:numPr>
          <w:ilvl w:val="0"/>
          <w:numId w:val="57"/>
        </w:numPr>
        <w:jc w:val="both"/>
        <w:rPr>
          <w:rFonts w:ascii="Calibri Light" w:hAnsi="Calibri Light" w:cs="Calibri Light"/>
          <w:color w:val="6C6EB8"/>
          <w:sz w:val="22"/>
          <w:szCs w:val="22"/>
          <w:lang w:eastAsia="fr-FR"/>
        </w:rPr>
      </w:pPr>
      <w:r w:rsidRPr="002473AB">
        <w:rPr>
          <w:rFonts w:ascii="Calibri Light" w:hAnsi="Calibri Light" w:cs="Calibri Light"/>
          <w:b/>
          <w:bCs/>
          <w:color w:val="6C6EB8"/>
          <w:sz w:val="22"/>
          <w:szCs w:val="22"/>
          <w:lang w:eastAsia="fr-FR"/>
        </w:rPr>
        <w:t>Court’s Role</w:t>
      </w:r>
      <w:r w:rsidRPr="002473AB">
        <w:rPr>
          <w:rFonts w:ascii="Calibri Light" w:hAnsi="Calibri Light" w:cs="Calibri Light"/>
          <w:color w:val="6C6EB8"/>
          <w:sz w:val="22"/>
          <w:szCs w:val="22"/>
          <w:lang w:eastAsia="fr-FR"/>
        </w:rPr>
        <w:t>:</w:t>
      </w:r>
    </w:p>
    <w:p w14:paraId="0251206A" w14:textId="562567D0" w:rsidR="00E23232" w:rsidRPr="002473AB" w:rsidRDefault="00E23232" w:rsidP="002A3051">
      <w:pPr>
        <w:numPr>
          <w:ilvl w:val="1"/>
          <w:numId w:val="57"/>
        </w:numPr>
        <w:jc w:val="both"/>
        <w:rPr>
          <w:rFonts w:ascii="Calibri Light" w:hAnsi="Calibri Light" w:cs="Calibri Light"/>
          <w:color w:val="6C6EB8"/>
          <w:sz w:val="22"/>
          <w:szCs w:val="22"/>
          <w:lang w:eastAsia="fr-FR"/>
        </w:rPr>
      </w:pPr>
      <w:r w:rsidRPr="002473AB">
        <w:rPr>
          <w:rFonts w:ascii="Calibri Light" w:hAnsi="Calibri Light" w:cs="Calibri Light"/>
          <w:color w:val="6C6EB8"/>
          <w:sz w:val="22"/>
          <w:szCs w:val="22"/>
          <w:lang w:eastAsia="fr-FR"/>
        </w:rPr>
        <w:t>The court must determine whether the principle in Article 37 can be used to interpret national or EU legislation in line with the Charter.</w:t>
      </w:r>
    </w:p>
    <w:p w14:paraId="4E50A980" w14:textId="17D82218" w:rsidR="002A3051" w:rsidRPr="002473AB" w:rsidRDefault="002A3051" w:rsidP="002A3051">
      <w:pPr>
        <w:ind w:left="1440"/>
        <w:jc w:val="both"/>
        <w:rPr>
          <w:rFonts w:ascii="Calibri Light" w:hAnsi="Calibri Light" w:cs="Calibri Light"/>
          <w:color w:val="6C6EB8"/>
          <w:sz w:val="22"/>
          <w:szCs w:val="22"/>
          <w:lang w:eastAsia="fr-FR"/>
        </w:rPr>
      </w:pPr>
    </w:p>
    <w:p w14:paraId="4A7D6547" w14:textId="554E9A80" w:rsidR="00E23232" w:rsidRPr="002473AB" w:rsidRDefault="00E23232" w:rsidP="002A3051">
      <w:pPr>
        <w:numPr>
          <w:ilvl w:val="1"/>
          <w:numId w:val="57"/>
        </w:numPr>
        <w:jc w:val="both"/>
        <w:rPr>
          <w:rFonts w:ascii="Calibri Light" w:hAnsi="Calibri Light" w:cs="Calibri Light"/>
          <w:color w:val="6C6EB8"/>
          <w:sz w:val="22"/>
          <w:szCs w:val="22"/>
          <w:lang w:eastAsia="fr-FR"/>
        </w:rPr>
      </w:pPr>
      <w:r w:rsidRPr="002473AB">
        <w:rPr>
          <w:rFonts w:ascii="Calibri Light" w:hAnsi="Calibri Light" w:cs="Calibri Light"/>
          <w:color w:val="6C6EB8"/>
          <w:sz w:val="22"/>
          <w:szCs w:val="22"/>
          <w:lang w:eastAsia="fr-FR"/>
        </w:rPr>
        <w:t xml:space="preserve">The </w:t>
      </w:r>
      <w:r w:rsidRPr="002473AB">
        <w:rPr>
          <w:rFonts w:ascii="Calibri Light" w:hAnsi="Calibri Light" w:cs="Calibri Light"/>
          <w:b/>
          <w:bCs/>
          <w:color w:val="6C6EB8"/>
          <w:sz w:val="22"/>
          <w:szCs w:val="22"/>
          <w:lang w:eastAsia="fr-FR"/>
        </w:rPr>
        <w:t>principle of harmonious interpretation</w:t>
      </w:r>
      <w:r w:rsidRPr="002473AB">
        <w:rPr>
          <w:rFonts w:ascii="Calibri Light" w:hAnsi="Calibri Light" w:cs="Calibri Light"/>
          <w:color w:val="6C6EB8"/>
          <w:sz w:val="22"/>
          <w:szCs w:val="22"/>
          <w:lang w:eastAsia="fr-FR"/>
        </w:rPr>
        <w:t xml:space="preserve"> obliges national courts to interpret laws in a way that aligns with EU objectives, including environmental protection.</w:t>
      </w:r>
    </w:p>
    <w:p w14:paraId="7E1D91ED" w14:textId="77777777" w:rsidR="002473AB" w:rsidRDefault="002473AB" w:rsidP="002A3051">
      <w:pPr>
        <w:jc w:val="both"/>
        <w:outlineLvl w:val="3"/>
        <w:rPr>
          <w:rFonts w:ascii="Calibri Light" w:hAnsi="Calibri Light" w:cs="Calibri Light"/>
          <w:b/>
          <w:bCs/>
          <w:color w:val="6C6EB8"/>
          <w:sz w:val="22"/>
          <w:szCs w:val="22"/>
          <w:lang w:eastAsia="fr-FR"/>
        </w:rPr>
      </w:pPr>
    </w:p>
    <w:p w14:paraId="3427703D" w14:textId="77777777" w:rsidR="002473AB" w:rsidRDefault="002473AB" w:rsidP="002A3051">
      <w:pPr>
        <w:jc w:val="both"/>
        <w:outlineLvl w:val="3"/>
        <w:rPr>
          <w:rFonts w:ascii="Calibri Light" w:hAnsi="Calibri Light" w:cs="Calibri Light"/>
          <w:b/>
          <w:bCs/>
          <w:color w:val="6C6EB8"/>
          <w:sz w:val="22"/>
          <w:szCs w:val="22"/>
          <w:lang w:eastAsia="fr-FR"/>
        </w:rPr>
      </w:pPr>
    </w:p>
    <w:p w14:paraId="570EA00A" w14:textId="77777777" w:rsidR="002473AB" w:rsidRDefault="002473AB" w:rsidP="002A3051">
      <w:pPr>
        <w:jc w:val="both"/>
        <w:outlineLvl w:val="3"/>
        <w:rPr>
          <w:rFonts w:ascii="Calibri Light" w:hAnsi="Calibri Light" w:cs="Calibri Light"/>
          <w:b/>
          <w:bCs/>
          <w:color w:val="6C6EB8"/>
          <w:sz w:val="22"/>
          <w:szCs w:val="22"/>
          <w:lang w:eastAsia="fr-FR"/>
        </w:rPr>
      </w:pPr>
    </w:p>
    <w:p w14:paraId="1AE41D91" w14:textId="77777777" w:rsidR="002473AB" w:rsidRDefault="002473AB" w:rsidP="002A3051">
      <w:pPr>
        <w:jc w:val="both"/>
        <w:outlineLvl w:val="3"/>
        <w:rPr>
          <w:rFonts w:ascii="Calibri Light" w:hAnsi="Calibri Light" w:cs="Calibri Light"/>
          <w:b/>
          <w:bCs/>
          <w:color w:val="6C6EB8"/>
          <w:sz w:val="22"/>
          <w:szCs w:val="22"/>
          <w:lang w:eastAsia="fr-FR"/>
        </w:rPr>
      </w:pPr>
    </w:p>
    <w:p w14:paraId="3DAB767C" w14:textId="77777777" w:rsidR="002473AB" w:rsidRDefault="002473AB" w:rsidP="002A3051">
      <w:pPr>
        <w:jc w:val="both"/>
        <w:outlineLvl w:val="3"/>
        <w:rPr>
          <w:rFonts w:ascii="Calibri Light" w:hAnsi="Calibri Light" w:cs="Calibri Light"/>
          <w:b/>
          <w:bCs/>
          <w:color w:val="6C6EB8"/>
          <w:sz w:val="22"/>
          <w:szCs w:val="22"/>
          <w:lang w:eastAsia="fr-FR"/>
        </w:rPr>
      </w:pPr>
    </w:p>
    <w:p w14:paraId="2C0A4DDF" w14:textId="77777777" w:rsidR="002473AB" w:rsidRDefault="002473AB" w:rsidP="002A3051">
      <w:pPr>
        <w:jc w:val="both"/>
        <w:outlineLvl w:val="3"/>
        <w:rPr>
          <w:rFonts w:ascii="Calibri Light" w:hAnsi="Calibri Light" w:cs="Calibri Light"/>
          <w:b/>
          <w:bCs/>
          <w:color w:val="6C6EB8"/>
          <w:sz w:val="22"/>
          <w:szCs w:val="22"/>
          <w:lang w:eastAsia="fr-FR"/>
        </w:rPr>
      </w:pPr>
    </w:p>
    <w:p w14:paraId="77D34A98" w14:textId="77777777" w:rsidR="002473AB" w:rsidRDefault="002473AB" w:rsidP="002A3051">
      <w:pPr>
        <w:jc w:val="both"/>
        <w:outlineLvl w:val="3"/>
        <w:rPr>
          <w:rFonts w:ascii="Calibri Light" w:hAnsi="Calibri Light" w:cs="Calibri Light"/>
          <w:b/>
          <w:bCs/>
          <w:color w:val="6C6EB8"/>
          <w:sz w:val="22"/>
          <w:szCs w:val="22"/>
          <w:lang w:eastAsia="fr-FR"/>
        </w:rPr>
      </w:pPr>
    </w:p>
    <w:p w14:paraId="0C47C75A" w14:textId="77777777" w:rsidR="002473AB" w:rsidRDefault="002473AB" w:rsidP="002A3051">
      <w:pPr>
        <w:jc w:val="both"/>
        <w:outlineLvl w:val="3"/>
        <w:rPr>
          <w:rFonts w:ascii="Calibri Light" w:hAnsi="Calibri Light" w:cs="Calibri Light"/>
          <w:b/>
          <w:bCs/>
          <w:color w:val="6C6EB8"/>
          <w:sz w:val="22"/>
          <w:szCs w:val="22"/>
          <w:lang w:eastAsia="fr-FR"/>
        </w:rPr>
      </w:pPr>
    </w:p>
    <w:p w14:paraId="71566028" w14:textId="77777777" w:rsidR="002473AB" w:rsidRDefault="002473AB" w:rsidP="002A3051">
      <w:pPr>
        <w:jc w:val="both"/>
        <w:outlineLvl w:val="3"/>
        <w:rPr>
          <w:rFonts w:ascii="Calibri Light" w:hAnsi="Calibri Light" w:cs="Calibri Light"/>
          <w:b/>
          <w:bCs/>
          <w:color w:val="6C6EB8"/>
          <w:sz w:val="22"/>
          <w:szCs w:val="22"/>
          <w:lang w:eastAsia="fr-FR"/>
        </w:rPr>
      </w:pPr>
    </w:p>
    <w:p w14:paraId="1FF6D7C7" w14:textId="77777777" w:rsidR="002473AB" w:rsidRDefault="002473AB" w:rsidP="002A3051">
      <w:pPr>
        <w:jc w:val="both"/>
        <w:outlineLvl w:val="3"/>
        <w:rPr>
          <w:rFonts w:ascii="Calibri Light" w:hAnsi="Calibri Light" w:cs="Calibri Light"/>
          <w:b/>
          <w:bCs/>
          <w:color w:val="6C6EB8"/>
          <w:sz w:val="22"/>
          <w:szCs w:val="22"/>
          <w:lang w:eastAsia="fr-FR"/>
        </w:rPr>
      </w:pPr>
    </w:p>
    <w:p w14:paraId="08B08E0F" w14:textId="77777777" w:rsidR="002473AB" w:rsidRDefault="002473AB" w:rsidP="002A3051">
      <w:pPr>
        <w:jc w:val="both"/>
        <w:outlineLvl w:val="3"/>
        <w:rPr>
          <w:rFonts w:ascii="Calibri Light" w:hAnsi="Calibri Light" w:cs="Calibri Light"/>
          <w:b/>
          <w:bCs/>
          <w:color w:val="6C6EB8"/>
          <w:sz w:val="22"/>
          <w:szCs w:val="22"/>
          <w:lang w:eastAsia="fr-FR"/>
        </w:rPr>
      </w:pPr>
    </w:p>
    <w:p w14:paraId="4C56E789" w14:textId="5BC0A616" w:rsidR="002A3051" w:rsidRPr="002473AB" w:rsidRDefault="00E23232" w:rsidP="002A3051">
      <w:pPr>
        <w:jc w:val="both"/>
        <w:outlineLvl w:val="3"/>
        <w:rPr>
          <w:rFonts w:ascii="Calibri Light" w:hAnsi="Calibri Light" w:cs="Calibri Light"/>
          <w:b/>
          <w:bCs/>
          <w:color w:val="6C6EB8"/>
          <w:sz w:val="22"/>
          <w:szCs w:val="22"/>
          <w:lang w:eastAsia="fr-FR"/>
        </w:rPr>
      </w:pPr>
      <w:r w:rsidRPr="002473AB">
        <w:rPr>
          <w:rFonts w:ascii="Calibri Light" w:hAnsi="Calibri Light" w:cs="Calibri Light"/>
          <w:b/>
          <w:bCs/>
          <w:color w:val="6C6EB8"/>
          <w:sz w:val="22"/>
          <w:szCs w:val="22"/>
          <w:lang w:eastAsia="fr-FR"/>
        </w:rPr>
        <w:t>Solution</w:t>
      </w:r>
      <w:r w:rsidR="002473AB" w:rsidRPr="002473AB">
        <w:rPr>
          <w:rFonts w:ascii="Calibri Light" w:hAnsi="Calibri Light" w:cs="Calibri Light"/>
          <w:b/>
          <w:bCs/>
          <w:color w:val="6C6EB8"/>
          <w:sz w:val="22"/>
          <w:szCs w:val="22"/>
          <w:lang w:eastAsia="fr-FR"/>
        </w:rPr>
        <w:t xml:space="preserve"> </w:t>
      </w:r>
      <w:r w:rsidRPr="002473AB">
        <w:rPr>
          <w:rFonts w:ascii="Calibri Light" w:hAnsi="Calibri Light" w:cs="Calibri Light"/>
          <w:b/>
          <w:bCs/>
          <w:color w:val="6C6EB8"/>
          <w:sz w:val="22"/>
          <w:szCs w:val="22"/>
          <w:lang w:eastAsia="fr-FR"/>
        </w:rPr>
        <w:t>:</w:t>
      </w:r>
    </w:p>
    <w:p w14:paraId="5F1B9E89" w14:textId="77777777" w:rsidR="002A3051" w:rsidRPr="002473AB" w:rsidRDefault="002A3051" w:rsidP="002A3051">
      <w:pPr>
        <w:jc w:val="both"/>
        <w:outlineLvl w:val="3"/>
        <w:rPr>
          <w:rFonts w:ascii="Calibri Light" w:hAnsi="Calibri Light" w:cs="Calibri Light"/>
          <w:color w:val="6C6EB8"/>
          <w:sz w:val="22"/>
          <w:szCs w:val="22"/>
          <w:lang w:eastAsia="fr-FR"/>
        </w:rPr>
      </w:pPr>
    </w:p>
    <w:p w14:paraId="5D37AC61" w14:textId="3182475D" w:rsidR="00E23232" w:rsidRPr="002473AB" w:rsidRDefault="00E23232" w:rsidP="002A3051">
      <w:pPr>
        <w:jc w:val="both"/>
        <w:outlineLvl w:val="3"/>
        <w:rPr>
          <w:rFonts w:ascii="Calibri Light" w:hAnsi="Calibri Light" w:cs="Calibri Light"/>
          <w:b/>
          <w:bCs/>
          <w:color w:val="6C6EB8"/>
          <w:sz w:val="22"/>
          <w:szCs w:val="22"/>
          <w:lang w:eastAsia="fr-FR"/>
        </w:rPr>
      </w:pPr>
      <w:r w:rsidRPr="002473AB">
        <w:rPr>
          <w:rFonts w:ascii="Calibri Light" w:hAnsi="Calibri Light" w:cs="Calibri Light"/>
          <w:color w:val="6C6EB8"/>
          <w:sz w:val="22"/>
          <w:szCs w:val="22"/>
          <w:lang w:eastAsia="fr-FR"/>
        </w:rPr>
        <w:t>The NGO should</w:t>
      </w:r>
      <w:r w:rsidR="002473AB">
        <w:rPr>
          <w:rFonts w:ascii="Calibri Light" w:hAnsi="Calibri Light" w:cs="Calibri Light"/>
          <w:color w:val="6C6EB8"/>
          <w:sz w:val="22"/>
          <w:szCs w:val="22"/>
          <w:lang w:eastAsia="fr-FR"/>
        </w:rPr>
        <w:t xml:space="preserve"> </w:t>
      </w:r>
      <w:r w:rsidRPr="002473AB">
        <w:rPr>
          <w:rFonts w:ascii="Calibri Light" w:hAnsi="Calibri Light" w:cs="Calibri Light"/>
          <w:color w:val="6C6EB8"/>
          <w:sz w:val="22"/>
          <w:szCs w:val="22"/>
          <w:lang w:eastAsia="fr-FR"/>
        </w:rPr>
        <w:t>:</w:t>
      </w:r>
    </w:p>
    <w:p w14:paraId="76436856" w14:textId="473DCF60" w:rsidR="002473AB" w:rsidRPr="002473AB" w:rsidRDefault="00E23232" w:rsidP="002473AB">
      <w:pPr>
        <w:numPr>
          <w:ilvl w:val="0"/>
          <w:numId w:val="58"/>
        </w:numPr>
        <w:jc w:val="both"/>
        <w:rPr>
          <w:rFonts w:ascii="Calibri Light" w:hAnsi="Calibri Light" w:cs="Calibri Light"/>
          <w:color w:val="6C6EB8"/>
          <w:sz w:val="22"/>
          <w:szCs w:val="22"/>
          <w:lang w:eastAsia="fr-FR"/>
        </w:rPr>
      </w:pPr>
      <w:r w:rsidRPr="002473AB">
        <w:rPr>
          <w:rFonts w:ascii="Calibri Light" w:hAnsi="Calibri Light" w:cs="Calibri Light"/>
          <w:b/>
          <w:bCs/>
          <w:color w:val="6C6EB8"/>
          <w:sz w:val="22"/>
          <w:szCs w:val="22"/>
          <w:lang w:eastAsia="fr-FR"/>
        </w:rPr>
        <w:t>Demonstrate a Link to EU Law</w:t>
      </w:r>
      <w:r w:rsidR="002473AB">
        <w:rPr>
          <w:rFonts w:ascii="Calibri Light" w:hAnsi="Calibri Light" w:cs="Calibri Light"/>
          <w:b/>
          <w:bCs/>
          <w:color w:val="6C6EB8"/>
          <w:sz w:val="22"/>
          <w:szCs w:val="22"/>
          <w:lang w:eastAsia="fr-FR"/>
        </w:rPr>
        <w:t xml:space="preserve"> </w:t>
      </w:r>
      <w:r w:rsidRPr="002473AB">
        <w:rPr>
          <w:rFonts w:ascii="Calibri Light" w:hAnsi="Calibri Light" w:cs="Calibri Light"/>
          <w:color w:val="6C6EB8"/>
          <w:sz w:val="22"/>
          <w:szCs w:val="22"/>
          <w:lang w:eastAsia="fr-FR"/>
        </w:rPr>
        <w:t>:</w:t>
      </w:r>
    </w:p>
    <w:p w14:paraId="27046A4C" w14:textId="12F1AD4E" w:rsidR="00E23232" w:rsidRPr="002473AB" w:rsidRDefault="00E23232" w:rsidP="002A3051">
      <w:pPr>
        <w:numPr>
          <w:ilvl w:val="1"/>
          <w:numId w:val="58"/>
        </w:numPr>
        <w:jc w:val="both"/>
        <w:rPr>
          <w:rFonts w:ascii="Calibri Light" w:hAnsi="Calibri Light" w:cs="Calibri Light"/>
          <w:color w:val="6C6EB8"/>
          <w:sz w:val="22"/>
          <w:szCs w:val="22"/>
          <w:lang w:eastAsia="fr-FR"/>
        </w:rPr>
      </w:pPr>
      <w:r w:rsidRPr="002473AB">
        <w:rPr>
          <w:rFonts w:ascii="Calibri Light" w:hAnsi="Calibri Light" w:cs="Calibri Light"/>
          <w:color w:val="6C6EB8"/>
          <w:sz w:val="22"/>
          <w:szCs w:val="22"/>
          <w:lang w:eastAsia="fr-FR"/>
        </w:rPr>
        <w:t>Argue that the project falls under the scope of the Environmental Impact Assessment Directive, which integrates environmental protection into its framework.</w:t>
      </w:r>
    </w:p>
    <w:p w14:paraId="6F6EA85E" w14:textId="29497EB4" w:rsidR="00E23232" w:rsidRPr="002473AB" w:rsidRDefault="00E23232" w:rsidP="002A3051">
      <w:pPr>
        <w:numPr>
          <w:ilvl w:val="0"/>
          <w:numId w:val="58"/>
        </w:numPr>
        <w:jc w:val="both"/>
        <w:rPr>
          <w:rFonts w:ascii="Calibri Light" w:hAnsi="Calibri Light" w:cs="Calibri Light"/>
          <w:color w:val="6C6EB8"/>
          <w:sz w:val="22"/>
          <w:szCs w:val="22"/>
          <w:lang w:eastAsia="fr-FR"/>
        </w:rPr>
      </w:pPr>
      <w:r w:rsidRPr="002473AB">
        <w:rPr>
          <w:rFonts w:ascii="Calibri Light" w:hAnsi="Calibri Light" w:cs="Calibri Light"/>
          <w:b/>
          <w:bCs/>
          <w:color w:val="6C6EB8"/>
          <w:sz w:val="22"/>
          <w:szCs w:val="22"/>
          <w:lang w:eastAsia="fr-FR"/>
        </w:rPr>
        <w:t>Rely on the Principle of Consistent Interpretation</w:t>
      </w:r>
      <w:r w:rsidR="002473AB" w:rsidRPr="002473AB">
        <w:rPr>
          <w:rFonts w:ascii="Calibri Light" w:hAnsi="Calibri Light" w:cs="Calibri Light"/>
          <w:b/>
          <w:bCs/>
          <w:color w:val="6C6EB8"/>
          <w:sz w:val="22"/>
          <w:szCs w:val="22"/>
          <w:lang w:eastAsia="fr-FR"/>
        </w:rPr>
        <w:t xml:space="preserve"> </w:t>
      </w:r>
      <w:r w:rsidRPr="002473AB">
        <w:rPr>
          <w:rFonts w:ascii="Calibri Light" w:hAnsi="Calibri Light" w:cs="Calibri Light"/>
          <w:color w:val="6C6EB8"/>
          <w:sz w:val="22"/>
          <w:szCs w:val="22"/>
          <w:lang w:eastAsia="fr-FR"/>
        </w:rPr>
        <w:t>:</w:t>
      </w:r>
    </w:p>
    <w:p w14:paraId="033E1849" w14:textId="67561AF9" w:rsidR="00E23232" w:rsidRPr="002473AB" w:rsidRDefault="00E23232" w:rsidP="002A3051">
      <w:pPr>
        <w:numPr>
          <w:ilvl w:val="1"/>
          <w:numId w:val="58"/>
        </w:numPr>
        <w:jc w:val="both"/>
        <w:rPr>
          <w:rFonts w:ascii="Calibri Light" w:hAnsi="Calibri Light" w:cs="Calibri Light"/>
          <w:color w:val="6C6EB8"/>
          <w:sz w:val="22"/>
          <w:szCs w:val="22"/>
          <w:lang w:eastAsia="fr-FR"/>
        </w:rPr>
      </w:pPr>
      <w:r w:rsidRPr="002473AB">
        <w:rPr>
          <w:rFonts w:ascii="Calibri Light" w:hAnsi="Calibri Light" w:cs="Calibri Light"/>
          <w:color w:val="6C6EB8"/>
          <w:sz w:val="22"/>
          <w:szCs w:val="22"/>
          <w:lang w:eastAsia="fr-FR"/>
        </w:rPr>
        <w:t>Urge the court to interpret national regulations implementing the directive in light of Article 37.</w:t>
      </w:r>
    </w:p>
    <w:p w14:paraId="00365EFF" w14:textId="038E774B" w:rsidR="00E23232" w:rsidRPr="002473AB" w:rsidRDefault="00E23232" w:rsidP="002A3051">
      <w:pPr>
        <w:numPr>
          <w:ilvl w:val="0"/>
          <w:numId w:val="58"/>
        </w:numPr>
        <w:jc w:val="both"/>
        <w:rPr>
          <w:rFonts w:ascii="Calibri Light" w:hAnsi="Calibri Light" w:cs="Calibri Light"/>
          <w:color w:val="6C6EB8"/>
          <w:sz w:val="22"/>
          <w:szCs w:val="22"/>
          <w:lang w:eastAsia="fr-FR"/>
        </w:rPr>
      </w:pPr>
      <w:r w:rsidRPr="002473AB">
        <w:rPr>
          <w:rFonts w:ascii="Calibri Light" w:hAnsi="Calibri Light" w:cs="Calibri Light"/>
          <w:b/>
          <w:bCs/>
          <w:color w:val="6C6EB8"/>
          <w:sz w:val="22"/>
          <w:szCs w:val="22"/>
          <w:lang w:eastAsia="fr-FR"/>
        </w:rPr>
        <w:t>Support with Additional Rights</w:t>
      </w:r>
      <w:r w:rsidR="002473AB" w:rsidRPr="002473AB">
        <w:rPr>
          <w:rFonts w:ascii="Calibri Light" w:hAnsi="Calibri Light" w:cs="Calibri Light"/>
          <w:b/>
          <w:bCs/>
          <w:color w:val="6C6EB8"/>
          <w:sz w:val="22"/>
          <w:szCs w:val="22"/>
          <w:lang w:eastAsia="fr-FR"/>
        </w:rPr>
        <w:t xml:space="preserve"> </w:t>
      </w:r>
      <w:r w:rsidRPr="002473AB">
        <w:rPr>
          <w:rFonts w:ascii="Calibri Light" w:hAnsi="Calibri Light" w:cs="Calibri Light"/>
          <w:color w:val="6C6EB8"/>
          <w:sz w:val="22"/>
          <w:szCs w:val="22"/>
          <w:lang w:eastAsia="fr-FR"/>
        </w:rPr>
        <w:t>:</w:t>
      </w:r>
    </w:p>
    <w:p w14:paraId="76BC5134" w14:textId="32C886EA" w:rsidR="00884BC9" w:rsidRPr="002473AB" w:rsidRDefault="00E23232" w:rsidP="00447E92">
      <w:pPr>
        <w:numPr>
          <w:ilvl w:val="1"/>
          <w:numId w:val="58"/>
        </w:numPr>
        <w:jc w:val="both"/>
        <w:rPr>
          <w:rFonts w:ascii="Calibri Light" w:hAnsi="Calibri Light" w:cs="Calibri Light"/>
          <w:color w:val="6C6EB8"/>
          <w:sz w:val="22"/>
          <w:szCs w:val="22"/>
          <w:lang w:eastAsia="fr-FR"/>
        </w:rPr>
      </w:pPr>
      <w:r w:rsidRPr="002473AB">
        <w:rPr>
          <w:rFonts w:ascii="Calibri Light" w:hAnsi="Calibri Light" w:cs="Calibri Light"/>
          <w:color w:val="6C6EB8"/>
          <w:sz w:val="22"/>
          <w:szCs w:val="22"/>
          <w:lang w:eastAsia="fr-FR"/>
        </w:rPr>
        <w:t>Highlight any directly enforceable rights linked to the case, such as the right to health (Article 35), which could strengthen the environmental protection argument.</w:t>
      </w:r>
    </w:p>
    <w:p w14:paraId="3937B928" w14:textId="375C6934" w:rsidR="00884BC9" w:rsidRDefault="00884BC9" w:rsidP="00B20C69">
      <w:pPr>
        <w:spacing w:line="276" w:lineRule="auto"/>
        <w:jc w:val="both"/>
        <w:rPr>
          <w:rFonts w:ascii="Calibri" w:hAnsi="Calibri" w:cs="Calibri"/>
        </w:rPr>
      </w:pPr>
    </w:p>
    <w:p w14:paraId="106A5143" w14:textId="7F105D44" w:rsidR="00336BEA" w:rsidRDefault="00336BEA">
      <w:pPr>
        <w:pStyle w:val="Nadpis2"/>
        <w:rPr>
          <w:rFonts w:ascii="Calibri" w:hAnsi="Calibri" w:cs="Calibri"/>
        </w:rPr>
      </w:pPr>
    </w:p>
    <w:p w14:paraId="0B7022A3" w14:textId="3D004E14" w:rsidR="009C209D" w:rsidRPr="002473AB" w:rsidRDefault="00336BEA" w:rsidP="002473AB">
      <w:pPr>
        <w:pStyle w:val="Nadpis2"/>
        <w:ind w:left="708" w:hanging="992"/>
        <w:rPr>
          <w:rFonts w:asciiTheme="minorHAnsi" w:hAnsiTheme="minorHAnsi" w:cstheme="minorHAnsi"/>
          <w:b/>
          <w:bCs/>
          <w:sz w:val="32"/>
          <w:szCs w:val="32"/>
        </w:rPr>
      </w:pPr>
      <w:bookmarkStart w:id="12" w:name="_Toc188457870"/>
      <w:r w:rsidRPr="002473AB">
        <w:rPr>
          <w:rFonts w:asciiTheme="minorHAnsi" w:hAnsiTheme="minorHAnsi" w:cstheme="minorHAnsi"/>
          <w:b/>
          <w:bCs/>
          <w:color w:val="B6A04C"/>
          <w:sz w:val="32"/>
          <w:szCs w:val="32"/>
        </w:rPr>
        <w:t>4.</w:t>
      </w:r>
      <w:r w:rsidR="00834166" w:rsidRPr="002473AB">
        <w:rPr>
          <w:rFonts w:asciiTheme="minorHAnsi" w:hAnsiTheme="minorHAnsi" w:cstheme="minorHAnsi"/>
          <w:b/>
          <w:bCs/>
          <w:color w:val="B6A04C"/>
          <w:sz w:val="32"/>
          <w:szCs w:val="32"/>
        </w:rPr>
        <w:t xml:space="preserve">4 </w:t>
      </w:r>
      <w:r w:rsidR="005C3034" w:rsidRPr="002473AB">
        <w:rPr>
          <w:rFonts w:asciiTheme="minorHAnsi" w:hAnsiTheme="minorHAnsi" w:cstheme="minorHAnsi"/>
          <w:b/>
          <w:bCs/>
          <w:sz w:val="32"/>
          <w:szCs w:val="32"/>
        </w:rPr>
        <w:t xml:space="preserve">Interaction </w:t>
      </w:r>
      <w:r w:rsidR="009C209D" w:rsidRPr="002473AB">
        <w:rPr>
          <w:rFonts w:asciiTheme="minorHAnsi" w:hAnsiTheme="minorHAnsi" w:cstheme="minorHAnsi"/>
          <w:b/>
          <w:bCs/>
          <w:sz w:val="32"/>
          <w:szCs w:val="32"/>
        </w:rPr>
        <w:t>between the Charter and national constitutions</w:t>
      </w:r>
      <w:bookmarkEnd w:id="12"/>
      <w:r w:rsidR="00884BC9" w:rsidRPr="002473AB">
        <w:rPr>
          <w:rFonts w:asciiTheme="minorHAnsi" w:hAnsiTheme="minorHAnsi" w:cstheme="minorHAnsi"/>
          <w:b/>
          <w:bCs/>
          <w:sz w:val="32"/>
          <w:szCs w:val="32"/>
        </w:rPr>
        <w:t xml:space="preserve"> </w:t>
      </w:r>
    </w:p>
    <w:p w14:paraId="088168C8" w14:textId="2062CECB" w:rsidR="001C7F81" w:rsidRPr="002473AB" w:rsidRDefault="00C53280" w:rsidP="00327D5A">
      <w:pPr>
        <w:rPr>
          <w:rFonts w:ascii="Calibri" w:eastAsiaTheme="majorEastAsia" w:hAnsi="Calibri" w:cs="Calibri"/>
          <w:b/>
          <w:bCs/>
        </w:rPr>
      </w:pPr>
      <w:r>
        <w:rPr>
          <w:rFonts w:asciiTheme="majorHAnsi" w:hAnsiTheme="majorHAnsi" w:cstheme="majorHAnsi"/>
          <w:noProof/>
          <w:color w:val="000000"/>
          <w14:ligatures w14:val="standardContextual"/>
        </w:rPr>
        <mc:AlternateContent>
          <mc:Choice Requires="wps">
            <w:drawing>
              <wp:anchor distT="0" distB="0" distL="114300" distR="114300" simplePos="0" relativeHeight="251929600" behindDoc="0" locked="0" layoutInCell="1" allowOverlap="1" wp14:anchorId="7216E966" wp14:editId="2A9C130E">
                <wp:simplePos x="0" y="0"/>
                <wp:positionH relativeFrom="column">
                  <wp:posOffset>5248910</wp:posOffset>
                </wp:positionH>
                <wp:positionV relativeFrom="paragraph">
                  <wp:posOffset>116840</wp:posOffset>
                </wp:positionV>
                <wp:extent cx="670560" cy="620395"/>
                <wp:effectExtent l="0" t="0" r="0" b="8255"/>
                <wp:wrapNone/>
                <wp:docPr id="205338361" name="Ellipse 68"/>
                <wp:cNvGraphicFramePr/>
                <a:graphic xmlns:a="http://schemas.openxmlformats.org/drawingml/2006/main">
                  <a:graphicData uri="http://schemas.microsoft.com/office/word/2010/wordprocessingShape">
                    <wps:wsp>
                      <wps:cNvSpPr/>
                      <wps:spPr>
                        <a:xfrm>
                          <a:off x="0" y="0"/>
                          <a:ext cx="670560" cy="620395"/>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29A0CFE4" id="Ellipse 68" o:spid="_x0000_s1026" style="position:absolute;margin-left:413.3pt;margin-top:9.2pt;width:52.8pt;height:48.85pt;z-index:251929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urfAIAAGAFAAAOAAAAZHJzL2Uyb0RvYy54bWysVFFv2yAQfp+0/4B4X21nSbpGcaooVadJ&#10;VVutnfpMMMRImGNA4mS/fgd2nHSt9jDtBQN3993d5++YX+8bTXbCeQWmpMVFTokwHCplNiX98Xz7&#10;6QslPjBTMQ1GlPQgPL1efPwwb+1MjKAGXQlHEMT4WWtLWodgZ1nmeS0a5i/ACoNGCa5hAY9uk1WO&#10;tYje6GyU59OsBVdZB1x4j7c3nZEuEr6UgocHKb0IRJcUawtpdWldxzVbzNls45itFe/LYP9QRcOU&#10;waQD1A0LjGydegPVKO7AgwwXHJoMpFRcpB6wmyL/o5unmlmRekFyvB1o8v8Plt/vnuyjQxpa62ce&#10;t7GLvXRN/GJ9ZJ/IOgxkiX0gHC+nl/lkipRyNE1H+eerSSQzOwVb58NXAQ2Jm5IKrZX1sR02Y7s7&#10;Hzrvo1e89qBVdau0TocoAbHSjuwY/rz1pujxX3lpE30NxKgOMN5kp2bSLhy0iH7afBeSqArLH6VC&#10;ks5OSRjnwoSiM9WsEl3uYpLnSSrY3RCRek2AEVli/gG7B3jdwBG7q7L3j6EiyXQIzv9WWBc8RKTM&#10;YMIQ3CgD7j0AjV31mTv/I0kdNZGlNVSHR0ccdEPiLb9V+OfumA+PzOFU4M/GSQ8PuEgNbUmh31FS&#10;g/v13n30R7GilZIWp6yk/ueWOUGJ/mZQxlfFeBzHMh3Gk8sRHty5ZX1uMdtmBaiFAt8Uy9M2+gd9&#10;3EoHzQs+CMuYFU3McMxdUh7c8bAK3fTjk8LFcpnccBQtC3fmyfIIHlmNsnzevzBne/kG1P09HCfy&#10;jYQ73xhpYLkNIFXS94nXnm8c4ySc/smJ78T5OXmdHsbFbwAAAP//AwBQSwMEFAAGAAgAAAAhABoj&#10;0rDhAAAACgEAAA8AAABkcnMvZG93bnJldi54bWxMj8tOwzAQRfdI/IM1SOyo86BRCHEqxGvTQtWA&#10;hNi58ZBEje3Idpvw9wwrWM7coztnytWsB3ZC53trBMSLCBiaxqretALe356ucmA+SKPkYA0K+EYP&#10;q+r8rJSFspPZ4akOLaMS4wspoAthLDj3TYda+oUd0VD2ZZ2WgUbXcuXkROV64EkUZVzL3tCFTo54&#10;32FzqI9awObj9ZC65fPD9uVxPdVRuuzr9acQlxfz3S2wgHP4g+FXn9ShIqe9PRrl2SAgT7KMUAry&#10;a2AE3KRJAmxPiziLgVcl//9C9QMAAP//AwBQSwECLQAUAAYACAAAACEAtoM4kv4AAADhAQAAEwAA&#10;AAAAAAAAAAAAAAAAAAAAW0NvbnRlbnRfVHlwZXNdLnhtbFBLAQItABQABgAIAAAAIQA4/SH/1gAA&#10;AJQBAAALAAAAAAAAAAAAAAAAAC8BAABfcmVscy8ucmVsc1BLAQItABQABgAIAAAAIQA/U9urfAIA&#10;AGAFAAAOAAAAAAAAAAAAAAAAAC4CAABkcnMvZTJvRG9jLnhtbFBLAQItABQABgAIAAAAIQAaI9Kw&#10;4QAAAAoBAAAPAAAAAAAAAAAAAAAAANYEAABkcnMvZG93bnJldi54bWxQSwUGAAAAAAQABADzAAAA&#10;5AUAAAAA&#10;" fillcolor="white [3212]" stroked="f" strokeweight="1pt">
                <v:stroke joinstyle="miter"/>
              </v:oval>
            </w:pict>
          </mc:Fallback>
        </mc:AlternateContent>
      </w:r>
      <w:r w:rsidRPr="007A6459">
        <w:rPr>
          <w:rFonts w:asciiTheme="majorHAnsi" w:hAnsiTheme="majorHAnsi" w:cstheme="majorHAnsi"/>
          <w:noProof/>
          <w:color w:val="000000"/>
        </w:rPr>
        <w:drawing>
          <wp:anchor distT="0" distB="0" distL="114300" distR="114300" simplePos="0" relativeHeight="251930624" behindDoc="0" locked="0" layoutInCell="1" allowOverlap="1" wp14:anchorId="7AF8F9F2" wp14:editId="055BB785">
            <wp:simplePos x="0" y="0"/>
            <wp:positionH relativeFrom="column">
              <wp:posOffset>5328709</wp:posOffset>
            </wp:positionH>
            <wp:positionV relativeFrom="paragraph">
              <wp:posOffset>101247</wp:posOffset>
            </wp:positionV>
            <wp:extent cx="518795" cy="514350"/>
            <wp:effectExtent l="0" t="0" r="0" b="0"/>
            <wp:wrapNone/>
            <wp:docPr id="1496199895" name="Image 1" descr="Une image contenant dessin humoristique, Silhouette d’animal, clipart, coch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876948" name="Image 1" descr="Une image contenant dessin humoristique, Silhouette d’animal, clipart, cochon&#10;&#10;Description générée automatiquement"/>
                    <pic:cNvPicPr/>
                  </pic:nvPicPr>
                  <pic:blipFill>
                    <a:blip r:embed="rId21">
                      <a:extLst>
                        <a:ext uri="{28A0092B-C50C-407E-A947-70E740481C1C}">
                          <a14:useLocalDpi xmlns:a14="http://schemas.microsoft.com/office/drawing/2010/main" val="0"/>
                        </a:ext>
                      </a:extLst>
                    </a:blip>
                    <a:stretch>
                      <a:fillRect/>
                    </a:stretch>
                  </pic:blipFill>
                  <pic:spPr>
                    <a:xfrm>
                      <a:off x="0" y="0"/>
                      <a:ext cx="518795" cy="514350"/>
                    </a:xfrm>
                    <a:prstGeom prst="rect">
                      <a:avLst/>
                    </a:prstGeom>
                  </pic:spPr>
                </pic:pic>
              </a:graphicData>
            </a:graphic>
            <wp14:sizeRelH relativeFrom="page">
              <wp14:pctWidth>0</wp14:pctWidth>
            </wp14:sizeRelH>
            <wp14:sizeRelV relativeFrom="page">
              <wp14:pctHeight>0</wp14:pctHeight>
            </wp14:sizeRelV>
          </wp:anchor>
        </w:drawing>
      </w:r>
    </w:p>
    <w:p w14:paraId="039B6C0C" w14:textId="76B38A5F" w:rsidR="00C96319" w:rsidRPr="002473AB" w:rsidRDefault="00A50347" w:rsidP="007D677E">
      <w:pPr>
        <w:spacing w:after="120" w:line="276" w:lineRule="auto"/>
        <w:jc w:val="both"/>
        <w:rPr>
          <w:rFonts w:asciiTheme="majorHAnsi" w:hAnsiTheme="majorHAnsi" w:cstheme="majorHAnsi"/>
          <w:b/>
          <w:bCs/>
          <w:color w:val="2C2D5B"/>
        </w:rPr>
      </w:pPr>
      <w:r w:rsidRPr="002473AB">
        <w:rPr>
          <w:rFonts w:ascii="Calibri" w:hAnsi="Calibri" w:cs="Calibri"/>
          <w:noProof/>
          <w:color w:val="2C2D5B"/>
        </w:rPr>
        <mc:AlternateContent>
          <mc:Choice Requires="wps">
            <w:drawing>
              <wp:anchor distT="45720" distB="45720" distL="114300" distR="114300" simplePos="0" relativeHeight="251736064" behindDoc="0" locked="0" layoutInCell="1" allowOverlap="1" wp14:anchorId="4F217F4A" wp14:editId="771BE306">
                <wp:simplePos x="0" y="0"/>
                <wp:positionH relativeFrom="margin">
                  <wp:posOffset>2757805</wp:posOffset>
                </wp:positionH>
                <wp:positionV relativeFrom="paragraph">
                  <wp:posOffset>220980</wp:posOffset>
                </wp:positionV>
                <wp:extent cx="2724150" cy="1579880"/>
                <wp:effectExtent l="0" t="0" r="19050" b="20320"/>
                <wp:wrapSquare wrapText="bothSides"/>
                <wp:docPr id="151376436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4150" cy="1579880"/>
                        </a:xfrm>
                        <a:prstGeom prst="roundRect">
                          <a:avLst/>
                        </a:prstGeom>
                        <a:solidFill>
                          <a:schemeClr val="accent4">
                            <a:lumMod val="20000"/>
                            <a:lumOff val="80000"/>
                          </a:schemeClr>
                        </a:solidFill>
                        <a:ln w="9525">
                          <a:solidFill>
                            <a:schemeClr val="accent2">
                              <a:lumMod val="20000"/>
                              <a:lumOff val="80000"/>
                            </a:schemeClr>
                          </a:solidFill>
                          <a:miter lim="800000"/>
                          <a:headEnd/>
                          <a:tailEnd/>
                        </a:ln>
                      </wps:spPr>
                      <wps:txbx>
                        <w:txbxContent>
                          <w:p w14:paraId="20EBB50F" w14:textId="7FB3A775" w:rsidR="00C96319" w:rsidRPr="002473AB" w:rsidRDefault="00C96319" w:rsidP="002473AB">
                            <w:pPr>
                              <w:jc w:val="center"/>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Primacy, Unity and Effectiveness of E</w:t>
                            </w:r>
                            <w:r w:rsidR="00242572" w:rsidRPr="002473AB">
                              <w:rPr>
                                <w:rFonts w:asciiTheme="minorHAnsi" w:hAnsiTheme="minorHAnsi" w:cstheme="minorHAnsi"/>
                                <w:b/>
                                <w:bCs/>
                                <w:color w:val="2C2D5B"/>
                                <w:sz w:val="20"/>
                                <w:szCs w:val="20"/>
                              </w:rPr>
                              <w:t>U</w:t>
                            </w:r>
                            <w:r w:rsidRPr="002473AB">
                              <w:rPr>
                                <w:rFonts w:asciiTheme="minorHAnsi" w:hAnsiTheme="minorHAnsi" w:cstheme="minorHAnsi"/>
                                <w:b/>
                                <w:bCs/>
                                <w:color w:val="2C2D5B"/>
                                <w:sz w:val="20"/>
                                <w:szCs w:val="20"/>
                              </w:rPr>
                              <w:t xml:space="preserve"> Law</w:t>
                            </w:r>
                          </w:p>
                          <w:p w14:paraId="55BFC6F4" w14:textId="17E3BEE4" w:rsidR="00C96319" w:rsidRPr="002473AB" w:rsidRDefault="00C96319" w:rsidP="008B4B98">
                            <w:pPr>
                              <w:pStyle w:val="Odstavecseseznamem"/>
                              <w:numPr>
                                <w:ilvl w:val="0"/>
                                <w:numId w:val="9"/>
                              </w:numPr>
                              <w:jc w:val="both"/>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 xml:space="preserve">Primacy: </w:t>
                            </w:r>
                            <w:r w:rsidRPr="002473AB">
                              <w:rPr>
                                <w:rFonts w:asciiTheme="minorHAnsi" w:hAnsiTheme="minorHAnsi" w:cstheme="minorHAnsi"/>
                                <w:color w:val="2C2D5B"/>
                                <w:sz w:val="20"/>
                                <w:szCs w:val="20"/>
                              </w:rPr>
                              <w:t xml:space="preserve">EU law supersedes national laws when conflicts arises </w:t>
                            </w:r>
                          </w:p>
                          <w:p w14:paraId="1D4F1ACE" w14:textId="4EB0B41C" w:rsidR="00966553" w:rsidRPr="002473AB" w:rsidRDefault="00966553" w:rsidP="008B4B98">
                            <w:pPr>
                              <w:pStyle w:val="Odstavecseseznamem"/>
                              <w:numPr>
                                <w:ilvl w:val="0"/>
                                <w:numId w:val="9"/>
                              </w:numPr>
                              <w:jc w:val="both"/>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Unity:</w:t>
                            </w:r>
                            <w:r w:rsidRPr="002473AB">
                              <w:rPr>
                                <w:rFonts w:asciiTheme="minorHAnsi" w:hAnsiTheme="minorHAnsi" w:cstheme="minorHAnsi"/>
                                <w:color w:val="2C2D5B"/>
                                <w:sz w:val="20"/>
                                <w:szCs w:val="20"/>
                              </w:rPr>
                              <w:t xml:space="preserve"> Ensures uniform application of EU law across all Member States </w:t>
                            </w:r>
                          </w:p>
                          <w:p w14:paraId="17861976" w14:textId="032C0A4A" w:rsidR="00966553" w:rsidRPr="002473AB" w:rsidRDefault="00966553" w:rsidP="008B4B98">
                            <w:pPr>
                              <w:pStyle w:val="Odstavecseseznamem"/>
                              <w:numPr>
                                <w:ilvl w:val="0"/>
                                <w:numId w:val="9"/>
                              </w:numPr>
                              <w:jc w:val="both"/>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Effectiveness:</w:t>
                            </w:r>
                            <w:r w:rsidRPr="002473AB">
                              <w:rPr>
                                <w:rFonts w:asciiTheme="minorHAnsi" w:hAnsiTheme="minorHAnsi" w:cstheme="minorHAnsi"/>
                                <w:color w:val="2C2D5B"/>
                                <w:sz w:val="20"/>
                                <w:szCs w:val="20"/>
                              </w:rPr>
                              <w:t xml:space="preserve"> Member States must implement EU law in a way that achieves its objectives.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4F217F4A" id="_x0000_s1043" style="position:absolute;left:0;text-align:left;margin-left:217.15pt;margin-top:17.4pt;width:214.5pt;height:124.4pt;z-index:2517360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lxCOAIAAKkEAAAOAAAAZHJzL2Uyb0RvYy54bWysVNtu2zAMfR+wfxD0vjg2kiUx4hRdug4D&#10;ugvW7QMUSY6FyaImKbGzrx8lO2m6vQ19EUTSOjzkIb2+6VtNjtJ5Baai+WRKiTQchDL7iv74fv9m&#10;SYkPzAimwciKnqSnN5vXr9adLWUBDWghHUEQ48vOVrQJwZZZ5nkjW+YnYKXBYA2uZQFNt8+EYx2i&#10;tzorptO3WQdOWAdceo/euyFINwm/riUPX+ray0B0RZFbSKdL5y6e2WbNyr1jtlF8pMH+g0XLlMGk&#10;F6g7Fhg5OPUPVKu4Aw91mHBoM6hrxWWqAavJp39V89gwK1Mt2BxvL23yLwfLPx8f7VdHQv8OehQw&#10;FeHtA/CfnhjYNszs5a1z0DWSCUycx5ZlnfXl+DS22pc+guy6TyBQZHYIkID62rWxK1gnQXQU4HRp&#10;uuwD4egsFsUsn2OIYyyfL1bLZZIlY+X5uXU+fJDQknipqIODEd9Q2pSDHR98iJxYef4upvSglbhX&#10;WicjjpPcakeODAeBcS5NmKXn+tAi6cGPAzUdRwLdODiDe3l2Y4o0mBEpJXyWRBvSVXQ1L+YJ+Fns&#10;8uyaQPHCBFoVcJe0aiuaKI+lROHeG5EmPTClhzvWos2oZBRvkDH0u54ogUIsos5R2R2IE2rrYNgd&#10;3HW8NOB+U9Lh3lTU/zowJynRHw3OxyqfzeKiJWM2XxRouOvI7jrCDEeoigZKhus2pOWMohm4xTmq&#10;VRL3icnIGfchSTDubly4azt99fSH2fwBAAD//wMAUEsDBBQABgAIAAAAIQA763+f4AAAAAoBAAAP&#10;AAAAZHJzL2Rvd25yZXYueG1sTI9NS8QwEIbvgv8hjODNTbsppdROFxEE8bCwH4jHbBPbss2kNOlu&#10;9dc7nvQ4Mw/vPG+1WdwgLnYKvSeEdJWAsNR401OLcDy8PBQgQtRk9ODJInzZAJv69qbSpfFX2tnL&#10;PraCQyiUGqGLcSylDE1nnQ4rP1ri26efnI48Tq00k75yuBvkOkly6XRP/KHTo33ubHPezw4hyXbn&#10;9PDtU/Oax498O85v73qLeH+3PD2CiHaJfzD86rM61Ox08jOZIAaETGWKUQSVcQUGilzx4oSwLlQO&#10;sq7k/wr1DwAAAP//AwBQSwECLQAUAAYACAAAACEAtoM4kv4AAADhAQAAEwAAAAAAAAAAAAAAAAAA&#10;AAAAW0NvbnRlbnRfVHlwZXNdLnhtbFBLAQItABQABgAIAAAAIQA4/SH/1gAAAJQBAAALAAAAAAAA&#10;AAAAAAAAAC8BAABfcmVscy8ucmVsc1BLAQItABQABgAIAAAAIQCgwlxCOAIAAKkEAAAOAAAAAAAA&#10;AAAAAAAAAC4CAABkcnMvZTJvRG9jLnhtbFBLAQItABQABgAIAAAAIQA763+f4AAAAAoBAAAPAAAA&#10;AAAAAAAAAAAAAJIEAABkcnMvZG93bnJldi54bWxQSwUGAAAAAAQABADzAAAAnwUAAAAA&#10;" fillcolor="#fff2cc [663]" strokecolor="#fbe4d5 [661]">
                <v:stroke joinstyle="miter"/>
                <v:textbox>
                  <w:txbxContent>
                    <w:p w14:paraId="20EBB50F" w14:textId="7FB3A775" w:rsidR="00C96319" w:rsidRPr="002473AB" w:rsidRDefault="00C96319" w:rsidP="002473AB">
                      <w:pPr>
                        <w:jc w:val="center"/>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Primacy, Unity and Effectiveness of E</w:t>
                      </w:r>
                      <w:r w:rsidR="00242572" w:rsidRPr="002473AB">
                        <w:rPr>
                          <w:rFonts w:asciiTheme="minorHAnsi" w:hAnsiTheme="minorHAnsi" w:cstheme="minorHAnsi"/>
                          <w:b/>
                          <w:bCs/>
                          <w:color w:val="2C2D5B"/>
                          <w:sz w:val="20"/>
                          <w:szCs w:val="20"/>
                        </w:rPr>
                        <w:t>U</w:t>
                      </w:r>
                      <w:r w:rsidRPr="002473AB">
                        <w:rPr>
                          <w:rFonts w:asciiTheme="minorHAnsi" w:hAnsiTheme="minorHAnsi" w:cstheme="minorHAnsi"/>
                          <w:b/>
                          <w:bCs/>
                          <w:color w:val="2C2D5B"/>
                          <w:sz w:val="20"/>
                          <w:szCs w:val="20"/>
                        </w:rPr>
                        <w:t xml:space="preserve"> Law</w:t>
                      </w:r>
                    </w:p>
                    <w:p w14:paraId="55BFC6F4" w14:textId="17E3BEE4" w:rsidR="00C96319" w:rsidRPr="002473AB" w:rsidRDefault="00C96319" w:rsidP="008B4B98">
                      <w:pPr>
                        <w:pStyle w:val="Paragraphedeliste"/>
                        <w:numPr>
                          <w:ilvl w:val="0"/>
                          <w:numId w:val="9"/>
                        </w:numPr>
                        <w:jc w:val="both"/>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 xml:space="preserve">Primacy: </w:t>
                      </w:r>
                      <w:r w:rsidRPr="002473AB">
                        <w:rPr>
                          <w:rFonts w:asciiTheme="minorHAnsi" w:hAnsiTheme="minorHAnsi" w:cstheme="minorHAnsi"/>
                          <w:color w:val="2C2D5B"/>
                          <w:sz w:val="20"/>
                          <w:szCs w:val="20"/>
                        </w:rPr>
                        <w:t xml:space="preserve">EU law supersedes national laws when conflicts arises </w:t>
                      </w:r>
                    </w:p>
                    <w:p w14:paraId="1D4F1ACE" w14:textId="4EB0B41C" w:rsidR="00966553" w:rsidRPr="002473AB" w:rsidRDefault="00966553" w:rsidP="008B4B98">
                      <w:pPr>
                        <w:pStyle w:val="Paragraphedeliste"/>
                        <w:numPr>
                          <w:ilvl w:val="0"/>
                          <w:numId w:val="9"/>
                        </w:numPr>
                        <w:jc w:val="both"/>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Unity:</w:t>
                      </w:r>
                      <w:r w:rsidRPr="002473AB">
                        <w:rPr>
                          <w:rFonts w:asciiTheme="minorHAnsi" w:hAnsiTheme="minorHAnsi" w:cstheme="minorHAnsi"/>
                          <w:color w:val="2C2D5B"/>
                          <w:sz w:val="20"/>
                          <w:szCs w:val="20"/>
                        </w:rPr>
                        <w:t xml:space="preserve"> Ensures uniform application of EU law across all Member States </w:t>
                      </w:r>
                    </w:p>
                    <w:p w14:paraId="17861976" w14:textId="032C0A4A" w:rsidR="00966553" w:rsidRPr="002473AB" w:rsidRDefault="00966553" w:rsidP="008B4B98">
                      <w:pPr>
                        <w:pStyle w:val="Paragraphedeliste"/>
                        <w:numPr>
                          <w:ilvl w:val="0"/>
                          <w:numId w:val="9"/>
                        </w:numPr>
                        <w:jc w:val="both"/>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Effectiveness:</w:t>
                      </w:r>
                      <w:r w:rsidRPr="002473AB">
                        <w:rPr>
                          <w:rFonts w:asciiTheme="minorHAnsi" w:hAnsiTheme="minorHAnsi" w:cstheme="minorHAnsi"/>
                          <w:color w:val="2C2D5B"/>
                          <w:sz w:val="20"/>
                          <w:szCs w:val="20"/>
                        </w:rPr>
                        <w:t xml:space="preserve"> Member States must implement EU law in a way that achieves its objectives. </w:t>
                      </w:r>
                    </w:p>
                  </w:txbxContent>
                </v:textbox>
                <w10:wrap type="square" anchorx="margin"/>
              </v:roundrect>
            </w:pict>
          </mc:Fallback>
        </mc:AlternateContent>
      </w:r>
      <w:r w:rsidR="00EC1B7F" w:rsidRPr="002473AB">
        <w:rPr>
          <w:rFonts w:asciiTheme="majorHAnsi" w:hAnsiTheme="majorHAnsi" w:cstheme="majorHAnsi"/>
          <w:bCs/>
          <w:color w:val="2C2D5B"/>
        </w:rPr>
        <w:t xml:space="preserve">Regarding the coexistence between the Charter and national constitutions, </w:t>
      </w:r>
      <w:r w:rsidR="00C96319" w:rsidRPr="002473AB">
        <w:rPr>
          <w:rFonts w:asciiTheme="majorHAnsi" w:hAnsiTheme="majorHAnsi" w:cstheme="majorHAnsi"/>
          <w:b/>
          <w:color w:val="2C2D5B"/>
        </w:rPr>
        <w:t>A</w:t>
      </w:r>
      <w:r w:rsidR="00EC1B7F" w:rsidRPr="002473AB">
        <w:rPr>
          <w:rFonts w:asciiTheme="majorHAnsi" w:hAnsiTheme="majorHAnsi" w:cstheme="majorHAnsi"/>
          <w:b/>
          <w:color w:val="2C2D5B"/>
        </w:rPr>
        <w:t>rticle 52 (4)</w:t>
      </w:r>
      <w:r w:rsidR="00EC1B7F" w:rsidRPr="002473AB">
        <w:rPr>
          <w:rFonts w:asciiTheme="majorHAnsi" w:hAnsiTheme="majorHAnsi" w:cstheme="majorHAnsi"/>
          <w:bCs/>
          <w:color w:val="2C2D5B"/>
        </w:rPr>
        <w:t xml:space="preserve"> points out the necessity of harmonic interpretation</w:t>
      </w:r>
      <w:r w:rsidR="007D677E" w:rsidRPr="002473AB">
        <w:rPr>
          <w:rFonts w:asciiTheme="majorHAnsi" w:hAnsiTheme="majorHAnsi" w:cstheme="majorHAnsi"/>
          <w:bCs/>
          <w:color w:val="2C2D5B"/>
        </w:rPr>
        <w:t xml:space="preserve"> between the Charter rights and the</w:t>
      </w:r>
      <w:r w:rsidR="0038554D" w:rsidRPr="002473AB">
        <w:rPr>
          <w:rFonts w:asciiTheme="majorHAnsi" w:hAnsiTheme="majorHAnsi" w:cstheme="majorHAnsi"/>
          <w:bCs/>
          <w:color w:val="2C2D5B"/>
        </w:rPr>
        <w:t xml:space="preserve"> </w:t>
      </w:r>
      <w:r w:rsidR="00C96319" w:rsidRPr="002473AB">
        <w:rPr>
          <w:rFonts w:asciiTheme="majorHAnsi" w:hAnsiTheme="majorHAnsi" w:cstheme="majorHAnsi"/>
          <w:bCs/>
          <w:color w:val="2C2D5B"/>
        </w:rPr>
        <w:t xml:space="preserve">constitutional </w:t>
      </w:r>
      <w:r w:rsidR="007D677E" w:rsidRPr="002473AB">
        <w:rPr>
          <w:rFonts w:asciiTheme="majorHAnsi" w:hAnsiTheme="majorHAnsi" w:cstheme="majorHAnsi"/>
          <w:bCs/>
          <w:color w:val="2C2D5B"/>
        </w:rPr>
        <w:t>traditions of the Member States.</w:t>
      </w:r>
      <w:r w:rsidR="007D677E" w:rsidRPr="002473AB">
        <w:rPr>
          <w:rFonts w:asciiTheme="majorHAnsi" w:hAnsiTheme="majorHAnsi" w:cstheme="majorHAnsi"/>
          <w:color w:val="2C2D5B"/>
        </w:rPr>
        <w:t xml:space="preserve"> </w:t>
      </w:r>
      <w:r w:rsidR="00EC2273" w:rsidRPr="002473AB">
        <w:rPr>
          <w:rFonts w:asciiTheme="majorHAnsi" w:hAnsiTheme="majorHAnsi" w:cstheme="majorHAnsi"/>
          <w:color w:val="2C2D5B"/>
        </w:rPr>
        <w:t>Th</w:t>
      </w:r>
      <w:r w:rsidR="007D677E" w:rsidRPr="002473AB">
        <w:rPr>
          <w:rFonts w:asciiTheme="majorHAnsi" w:hAnsiTheme="majorHAnsi" w:cstheme="majorHAnsi"/>
          <w:color w:val="2C2D5B"/>
        </w:rPr>
        <w:t>is</w:t>
      </w:r>
      <w:r w:rsidR="00EC2273" w:rsidRPr="002473AB">
        <w:rPr>
          <w:rFonts w:asciiTheme="majorHAnsi" w:hAnsiTheme="majorHAnsi" w:cstheme="majorHAnsi"/>
          <w:color w:val="2C2D5B"/>
        </w:rPr>
        <w:t xml:space="preserve"> rule of interpretation </w:t>
      </w:r>
      <w:r w:rsidR="007D677E" w:rsidRPr="002473AB">
        <w:rPr>
          <w:rFonts w:asciiTheme="majorHAnsi" w:hAnsiTheme="majorHAnsi" w:cstheme="majorHAnsi"/>
          <w:color w:val="2C2D5B"/>
        </w:rPr>
        <w:t>is</w:t>
      </w:r>
      <w:r w:rsidR="00EC2273" w:rsidRPr="002473AB">
        <w:rPr>
          <w:rFonts w:asciiTheme="majorHAnsi" w:hAnsiTheme="majorHAnsi" w:cstheme="majorHAnsi"/>
          <w:color w:val="2C2D5B"/>
        </w:rPr>
        <w:t xml:space="preserve"> </w:t>
      </w:r>
      <w:r w:rsidR="007D677E" w:rsidRPr="002473AB">
        <w:rPr>
          <w:rFonts w:asciiTheme="majorHAnsi" w:hAnsiTheme="majorHAnsi" w:cstheme="majorHAnsi"/>
          <w:color w:val="2C2D5B"/>
        </w:rPr>
        <w:t xml:space="preserve">based on the wording of </w:t>
      </w:r>
      <w:r w:rsidR="007D677E" w:rsidRPr="002473AB">
        <w:rPr>
          <w:rFonts w:asciiTheme="majorHAnsi" w:hAnsiTheme="majorHAnsi" w:cstheme="majorHAnsi"/>
          <w:b/>
          <w:bCs/>
          <w:color w:val="2C2D5B"/>
        </w:rPr>
        <w:t xml:space="preserve">Article </w:t>
      </w:r>
      <w:r w:rsidR="00EC2273" w:rsidRPr="002473AB">
        <w:rPr>
          <w:rFonts w:asciiTheme="majorHAnsi" w:hAnsiTheme="majorHAnsi" w:cstheme="majorHAnsi"/>
          <w:b/>
          <w:bCs/>
          <w:color w:val="2C2D5B"/>
        </w:rPr>
        <w:t xml:space="preserve">6(3) </w:t>
      </w:r>
      <w:r w:rsidR="007D677E" w:rsidRPr="002473AB">
        <w:rPr>
          <w:rFonts w:asciiTheme="majorHAnsi" w:hAnsiTheme="majorHAnsi" w:cstheme="majorHAnsi"/>
          <w:b/>
          <w:bCs/>
          <w:color w:val="2C2D5B"/>
        </w:rPr>
        <w:t>TEU</w:t>
      </w:r>
      <w:r w:rsidR="00EC2273" w:rsidRPr="002473AB">
        <w:rPr>
          <w:rFonts w:asciiTheme="majorHAnsi" w:hAnsiTheme="majorHAnsi" w:cstheme="majorHAnsi"/>
          <w:color w:val="2C2D5B"/>
        </w:rPr>
        <w:t xml:space="preserve"> and takes due account of the approach to common constitutional traditions followed by the Court of Justice. Under that rule, rather than f</w:t>
      </w:r>
      <w:r w:rsidR="007D677E" w:rsidRPr="002473AB">
        <w:rPr>
          <w:rFonts w:asciiTheme="majorHAnsi" w:hAnsiTheme="majorHAnsi" w:cstheme="majorHAnsi"/>
          <w:color w:val="2C2D5B"/>
        </w:rPr>
        <w:t xml:space="preserve">ollowing a rigid approach of a </w:t>
      </w:r>
      <w:r w:rsidR="006B6F0D" w:rsidRPr="002473AB">
        <w:rPr>
          <w:rFonts w:asciiTheme="majorHAnsi" w:hAnsiTheme="majorHAnsi" w:cstheme="majorHAnsi"/>
          <w:color w:val="2C2D5B"/>
        </w:rPr>
        <w:t>“</w:t>
      </w:r>
      <w:r w:rsidR="00EC2273" w:rsidRPr="002473AB">
        <w:rPr>
          <w:rFonts w:asciiTheme="majorHAnsi" w:hAnsiTheme="majorHAnsi" w:cstheme="majorHAnsi"/>
          <w:color w:val="2C2D5B"/>
        </w:rPr>
        <w:t>lowest common denominator</w:t>
      </w:r>
      <w:r w:rsidR="006B6F0D" w:rsidRPr="002473AB">
        <w:rPr>
          <w:rFonts w:asciiTheme="majorHAnsi" w:hAnsiTheme="majorHAnsi" w:cstheme="majorHAnsi"/>
          <w:color w:val="2C2D5B"/>
        </w:rPr>
        <w:t>”</w:t>
      </w:r>
      <w:r w:rsidR="00EC2273" w:rsidRPr="002473AB">
        <w:rPr>
          <w:rFonts w:asciiTheme="majorHAnsi" w:hAnsiTheme="majorHAnsi" w:cstheme="majorHAnsi"/>
          <w:color w:val="2C2D5B"/>
        </w:rPr>
        <w:t xml:space="preserve">, </w:t>
      </w:r>
      <w:r w:rsidR="00EC2273" w:rsidRPr="002473AB">
        <w:rPr>
          <w:rFonts w:asciiTheme="majorHAnsi" w:hAnsiTheme="majorHAnsi" w:cstheme="majorHAnsi"/>
          <w:b/>
          <w:bCs/>
          <w:color w:val="2C2D5B"/>
        </w:rPr>
        <w:t>the Charter rights concerned should be interpreted in a way</w:t>
      </w:r>
      <w:r w:rsidR="00C96319" w:rsidRPr="002473AB">
        <w:rPr>
          <w:rFonts w:asciiTheme="majorHAnsi" w:hAnsiTheme="majorHAnsi" w:cstheme="majorHAnsi"/>
          <w:b/>
          <w:bCs/>
          <w:color w:val="2C2D5B"/>
        </w:rPr>
        <w:t xml:space="preserve"> that offers</w:t>
      </w:r>
      <w:r w:rsidR="00EC2273" w:rsidRPr="002473AB">
        <w:rPr>
          <w:rFonts w:asciiTheme="majorHAnsi" w:hAnsiTheme="majorHAnsi" w:cstheme="majorHAnsi"/>
          <w:b/>
          <w:bCs/>
          <w:color w:val="2C2D5B"/>
        </w:rPr>
        <w:t xml:space="preserve"> a high standard of protection, which is adequate for the law of the Union and in harmony with the common constitutional traditions.</w:t>
      </w:r>
    </w:p>
    <w:p w14:paraId="3B9C600B" w14:textId="0FB59B23" w:rsidR="00C96319" w:rsidRPr="002473AB" w:rsidRDefault="00771C0C" w:rsidP="00771C0C">
      <w:pPr>
        <w:spacing w:line="276" w:lineRule="auto"/>
        <w:jc w:val="both"/>
        <w:rPr>
          <w:rFonts w:asciiTheme="majorHAnsi" w:hAnsiTheme="majorHAnsi" w:cstheme="majorHAnsi"/>
          <w:color w:val="2C2D5B"/>
        </w:rPr>
      </w:pPr>
      <w:r w:rsidRPr="002473AB">
        <w:rPr>
          <w:rFonts w:asciiTheme="majorHAnsi" w:hAnsiTheme="majorHAnsi" w:cstheme="majorHAnsi"/>
          <w:b/>
          <w:bCs/>
          <w:color w:val="2C2D5B"/>
        </w:rPr>
        <w:t>Where the specific level of protection is provided by the Charter,</w:t>
      </w:r>
      <w:r w:rsidRPr="002473AB">
        <w:rPr>
          <w:rFonts w:asciiTheme="majorHAnsi" w:hAnsiTheme="majorHAnsi" w:cstheme="majorHAnsi"/>
          <w:color w:val="2C2D5B"/>
        </w:rPr>
        <w:t xml:space="preserve"> it overrides the national constitutional provisions of Member States. </w:t>
      </w:r>
    </w:p>
    <w:p w14:paraId="5BA03CD2" w14:textId="51504E03" w:rsidR="002A3051" w:rsidRPr="002473AB" w:rsidRDefault="00771C0C" w:rsidP="00771C0C">
      <w:pPr>
        <w:spacing w:line="276" w:lineRule="auto"/>
        <w:jc w:val="both"/>
        <w:rPr>
          <w:rFonts w:asciiTheme="majorHAnsi" w:hAnsiTheme="majorHAnsi" w:cstheme="majorHAnsi"/>
          <w:color w:val="2C2D5B"/>
        </w:rPr>
      </w:pPr>
      <w:r w:rsidRPr="002473AB">
        <w:rPr>
          <w:rFonts w:asciiTheme="majorHAnsi" w:hAnsiTheme="majorHAnsi" w:cstheme="majorHAnsi"/>
          <w:color w:val="2C2D5B"/>
        </w:rPr>
        <w:t xml:space="preserve">In contrast, </w:t>
      </w:r>
      <w:r w:rsidRPr="002473AB">
        <w:rPr>
          <w:rFonts w:asciiTheme="majorHAnsi" w:hAnsiTheme="majorHAnsi" w:cstheme="majorHAnsi"/>
          <w:b/>
          <w:bCs/>
          <w:color w:val="2C2D5B"/>
        </w:rPr>
        <w:t>if the Charter is silent on the specific level of protection</w:t>
      </w:r>
      <w:r w:rsidRPr="002473AB">
        <w:rPr>
          <w:rFonts w:asciiTheme="majorHAnsi" w:hAnsiTheme="majorHAnsi" w:cstheme="majorHAnsi"/>
          <w:color w:val="2C2D5B"/>
        </w:rPr>
        <w:t>, then domestic standards can apply, provided that two conditions are met</w:t>
      </w:r>
      <w:r w:rsidR="00C96319" w:rsidRPr="002473AB">
        <w:rPr>
          <w:rFonts w:asciiTheme="majorHAnsi" w:hAnsiTheme="majorHAnsi" w:cstheme="majorHAnsi"/>
          <w:color w:val="2C2D5B"/>
        </w:rPr>
        <w:t xml:space="preserve">: </w:t>
      </w:r>
    </w:p>
    <w:p w14:paraId="3D82C407" w14:textId="77777777" w:rsidR="00447E92" w:rsidRPr="002473AB" w:rsidRDefault="00447E92" w:rsidP="00771C0C">
      <w:pPr>
        <w:spacing w:line="276" w:lineRule="auto"/>
        <w:jc w:val="both"/>
        <w:rPr>
          <w:rFonts w:asciiTheme="majorHAnsi" w:hAnsiTheme="majorHAnsi" w:cstheme="majorHAnsi"/>
          <w:color w:val="2C2D5B"/>
        </w:rPr>
      </w:pPr>
    </w:p>
    <w:p w14:paraId="1C02873E" w14:textId="193A3434" w:rsidR="00C96319" w:rsidRPr="002473AB" w:rsidRDefault="00771C0C" w:rsidP="00253E61">
      <w:pPr>
        <w:pStyle w:val="Odstavecseseznamem"/>
        <w:numPr>
          <w:ilvl w:val="1"/>
          <w:numId w:val="34"/>
        </w:numPr>
        <w:spacing w:line="276" w:lineRule="auto"/>
        <w:jc w:val="both"/>
        <w:rPr>
          <w:rFonts w:asciiTheme="majorHAnsi" w:hAnsiTheme="majorHAnsi" w:cstheme="majorHAnsi"/>
          <w:color w:val="2C2D5B"/>
        </w:rPr>
      </w:pPr>
      <w:r w:rsidRPr="002473AB">
        <w:rPr>
          <w:rFonts w:asciiTheme="majorHAnsi" w:hAnsiTheme="majorHAnsi" w:cstheme="majorHAnsi"/>
          <w:color w:val="2C2D5B"/>
        </w:rPr>
        <w:t>First, the application of domestic standards must not compromise the level of protection provided by the Charter</w:t>
      </w:r>
      <w:r w:rsidR="00C96319" w:rsidRPr="002473AB">
        <w:rPr>
          <w:rFonts w:asciiTheme="majorHAnsi" w:hAnsiTheme="majorHAnsi" w:cstheme="majorHAnsi"/>
          <w:color w:val="2C2D5B"/>
        </w:rPr>
        <w:t xml:space="preserve">; </w:t>
      </w:r>
    </w:p>
    <w:p w14:paraId="16D78C1F" w14:textId="493309E4" w:rsidR="00447E92" w:rsidRPr="002473AB" w:rsidRDefault="00447E92" w:rsidP="00253E61">
      <w:pPr>
        <w:pStyle w:val="Odstavecseseznamem"/>
        <w:numPr>
          <w:ilvl w:val="1"/>
          <w:numId w:val="34"/>
        </w:numPr>
        <w:spacing w:line="276" w:lineRule="auto"/>
        <w:jc w:val="both"/>
        <w:rPr>
          <w:rFonts w:asciiTheme="majorHAnsi" w:hAnsiTheme="majorHAnsi" w:cstheme="majorHAnsi"/>
          <w:color w:val="2C2D5B"/>
        </w:rPr>
      </w:pPr>
      <w:r w:rsidRPr="002473AB">
        <w:rPr>
          <w:rFonts w:asciiTheme="majorHAnsi" w:hAnsiTheme="majorHAnsi" w:cstheme="majorHAnsi"/>
          <w:color w:val="2C2D5B"/>
        </w:rPr>
        <w:t xml:space="preserve">Second, the “primacy, unity and effectiveness” of EU law must be ensured. </w:t>
      </w:r>
    </w:p>
    <w:p w14:paraId="44F0EBA0" w14:textId="2D95B057" w:rsidR="00734A07" w:rsidRPr="00447E92" w:rsidRDefault="00734A07" w:rsidP="00447E92">
      <w:pPr>
        <w:spacing w:line="276" w:lineRule="auto"/>
        <w:jc w:val="both"/>
        <w:rPr>
          <w:rFonts w:asciiTheme="majorHAnsi" w:hAnsiTheme="majorHAnsi" w:cstheme="majorHAnsi"/>
        </w:rPr>
      </w:pPr>
    </w:p>
    <w:p w14:paraId="413E8E68" w14:textId="603F4121" w:rsidR="00734A07" w:rsidRDefault="00734A07" w:rsidP="00771C0C">
      <w:pPr>
        <w:spacing w:line="276" w:lineRule="auto"/>
        <w:jc w:val="both"/>
        <w:rPr>
          <w:rFonts w:ascii="Calibri" w:hAnsi="Calibri" w:cs="Calibri"/>
        </w:rPr>
      </w:pPr>
    </w:p>
    <w:p w14:paraId="4BD1CB87" w14:textId="77777777" w:rsidR="00447E92" w:rsidRDefault="00447E92" w:rsidP="00771C0C">
      <w:pPr>
        <w:spacing w:line="276" w:lineRule="auto"/>
        <w:jc w:val="both"/>
        <w:rPr>
          <w:rFonts w:ascii="Calibri" w:hAnsi="Calibri" w:cs="Calibri"/>
        </w:rPr>
      </w:pPr>
    </w:p>
    <w:p w14:paraId="56BE1F5C" w14:textId="77777777" w:rsidR="002473AB" w:rsidRDefault="002473AB" w:rsidP="00771C0C">
      <w:pPr>
        <w:spacing w:line="276" w:lineRule="auto"/>
        <w:jc w:val="both"/>
        <w:rPr>
          <w:rFonts w:ascii="Calibri" w:hAnsi="Calibri" w:cs="Calibri"/>
        </w:rPr>
      </w:pPr>
    </w:p>
    <w:p w14:paraId="683918B9" w14:textId="77777777" w:rsidR="002473AB" w:rsidRDefault="002473AB" w:rsidP="00771C0C">
      <w:pPr>
        <w:spacing w:line="276" w:lineRule="auto"/>
        <w:jc w:val="both"/>
        <w:rPr>
          <w:rFonts w:ascii="Calibri" w:hAnsi="Calibri" w:cs="Calibri"/>
        </w:rPr>
      </w:pPr>
    </w:p>
    <w:p w14:paraId="3C91CFFE" w14:textId="77777777" w:rsidR="00447E92" w:rsidRDefault="00447E92" w:rsidP="00771C0C">
      <w:pPr>
        <w:spacing w:line="276" w:lineRule="auto"/>
        <w:jc w:val="both"/>
        <w:rPr>
          <w:rFonts w:ascii="Calibri" w:hAnsi="Calibri" w:cs="Calibri"/>
        </w:rPr>
      </w:pPr>
    </w:p>
    <w:p w14:paraId="303BD77A" w14:textId="0A93181D" w:rsidR="00447E92" w:rsidRDefault="00C53280" w:rsidP="00771C0C">
      <w:pPr>
        <w:spacing w:line="276" w:lineRule="auto"/>
        <w:jc w:val="both"/>
        <w:rPr>
          <w:rFonts w:ascii="Calibri" w:hAnsi="Calibri" w:cs="Calibri"/>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32672" behindDoc="0" locked="0" layoutInCell="1" allowOverlap="1" wp14:anchorId="2F5B328B" wp14:editId="7266F24A">
            <wp:simplePos x="0" y="0"/>
            <wp:positionH relativeFrom="column">
              <wp:posOffset>4955822</wp:posOffset>
            </wp:positionH>
            <wp:positionV relativeFrom="paragraph">
              <wp:posOffset>160726</wp:posOffset>
            </wp:positionV>
            <wp:extent cx="713105" cy="575310"/>
            <wp:effectExtent l="0" t="0" r="0" b="0"/>
            <wp:wrapNone/>
            <wp:docPr id="926377732"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p>
    <w:p w14:paraId="33894212" w14:textId="47562E7F" w:rsidR="00E84AD3" w:rsidRPr="005A6959" w:rsidRDefault="002473AB" w:rsidP="00771C0C">
      <w:pPr>
        <w:spacing w:line="276" w:lineRule="auto"/>
        <w:jc w:val="both"/>
        <w:rPr>
          <w:rFonts w:ascii="Calibri" w:hAnsi="Calibri" w:cs="Calibri"/>
        </w:rPr>
      </w:pPr>
      <w:r w:rsidRPr="005A6959">
        <w:rPr>
          <w:rFonts w:ascii="Calibri" w:hAnsi="Calibri" w:cs="Calibri"/>
          <w:noProof/>
        </w:rPr>
        <mc:AlternateContent>
          <mc:Choice Requires="wps">
            <w:drawing>
              <wp:anchor distT="45720" distB="45720" distL="114300" distR="114300" simplePos="0" relativeHeight="251738112" behindDoc="0" locked="0" layoutInCell="1" allowOverlap="1" wp14:anchorId="419C3694" wp14:editId="5F14DFC2">
                <wp:simplePos x="0" y="0"/>
                <wp:positionH relativeFrom="margin">
                  <wp:posOffset>172720</wp:posOffset>
                </wp:positionH>
                <wp:positionV relativeFrom="paragraph">
                  <wp:posOffset>172085</wp:posOffset>
                </wp:positionV>
                <wp:extent cx="5114925" cy="3038475"/>
                <wp:effectExtent l="0" t="0" r="28575" b="28575"/>
                <wp:wrapSquare wrapText="bothSides"/>
                <wp:docPr id="143112560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14925" cy="3038475"/>
                        </a:xfrm>
                        <a:prstGeom prst="roundRect">
                          <a:avLst/>
                        </a:prstGeom>
                        <a:solidFill>
                          <a:schemeClr val="bg1"/>
                        </a:solidFill>
                        <a:ln w="19050">
                          <a:solidFill>
                            <a:srgbClr val="B6A04C"/>
                          </a:solidFill>
                          <a:miter lim="800000"/>
                          <a:headEnd/>
                          <a:tailEnd/>
                        </a:ln>
                      </wps:spPr>
                      <wps:txbx>
                        <w:txbxContent>
                          <w:p w14:paraId="3749E9E5" w14:textId="499E62D1" w:rsidR="00E84AD3" w:rsidRPr="002473AB" w:rsidRDefault="00E84AD3" w:rsidP="002473AB">
                            <w:pPr>
                              <w:spacing w:line="276" w:lineRule="auto"/>
                              <w:jc w:val="center"/>
                              <w:rPr>
                                <w:rFonts w:asciiTheme="minorHAnsi" w:hAnsiTheme="minorHAnsi" w:cstheme="minorHAnsi"/>
                                <w:b/>
                                <w:color w:val="B6A04C"/>
                                <w:sz w:val="20"/>
                                <w:szCs w:val="20"/>
                                <w:lang w:val="it-IT"/>
                              </w:rPr>
                            </w:pPr>
                            <w:hyperlink r:id="rId35" w:history="1">
                              <w:r w:rsidRPr="002473AB">
                                <w:rPr>
                                  <w:rStyle w:val="Hypertextovodkaz"/>
                                  <w:rFonts w:asciiTheme="minorHAnsi" w:hAnsiTheme="minorHAnsi" w:cstheme="minorHAnsi"/>
                                  <w:b/>
                                  <w:color w:val="B6A04C"/>
                                  <w:sz w:val="20"/>
                                  <w:szCs w:val="20"/>
                                  <w:lang w:val="it-IT"/>
                                </w:rPr>
                                <w:t xml:space="preserve">CJEU, Grd. Ch., 26 february 2013, </w:t>
                              </w:r>
                              <w:r w:rsidRPr="002473AB">
                                <w:rPr>
                                  <w:rStyle w:val="Hypertextovodkaz"/>
                                  <w:rFonts w:asciiTheme="minorHAnsi" w:hAnsiTheme="minorHAnsi" w:cstheme="minorHAnsi"/>
                                  <w:b/>
                                  <w:i/>
                                  <w:color w:val="B6A04C"/>
                                  <w:sz w:val="20"/>
                                  <w:szCs w:val="20"/>
                                  <w:lang w:val="it-IT"/>
                                </w:rPr>
                                <w:t>Stephano Melloni v Ministerio Fiscal</w:t>
                              </w:r>
                              <w:r w:rsidRPr="002473AB">
                                <w:rPr>
                                  <w:rStyle w:val="Hypertextovodkaz"/>
                                  <w:rFonts w:asciiTheme="minorHAnsi" w:hAnsiTheme="minorHAnsi" w:cstheme="minorHAnsi"/>
                                  <w:b/>
                                  <w:color w:val="B6A04C"/>
                                  <w:sz w:val="20"/>
                                  <w:szCs w:val="20"/>
                                  <w:lang w:val="it-IT"/>
                                </w:rPr>
                                <w:t>, C-399/11, ECLI:EU:C:2013:107</w:t>
                              </w:r>
                            </w:hyperlink>
                          </w:p>
                          <w:p w14:paraId="299ECE62" w14:textId="77777777" w:rsidR="00E84AD3" w:rsidRPr="002473AB" w:rsidRDefault="00E84AD3" w:rsidP="009C209D">
                            <w:pPr>
                              <w:spacing w:line="276" w:lineRule="auto"/>
                              <w:jc w:val="both"/>
                              <w:rPr>
                                <w:rFonts w:asciiTheme="minorHAnsi" w:hAnsiTheme="minorHAnsi" w:cstheme="minorHAnsi"/>
                                <w:color w:val="2C2D5B"/>
                                <w:sz w:val="20"/>
                                <w:szCs w:val="20"/>
                                <w:lang w:val="it-IT"/>
                              </w:rPr>
                            </w:pPr>
                          </w:p>
                          <w:p w14:paraId="25C03487" w14:textId="009EDE16" w:rsidR="00E84AD3" w:rsidRPr="002473AB" w:rsidRDefault="00E84AD3" w:rsidP="009C209D">
                            <w:pPr>
                              <w:spacing w:line="276" w:lineRule="auto"/>
                              <w:jc w:val="both"/>
                              <w:rPr>
                                <w:rFonts w:asciiTheme="minorHAnsi" w:hAnsiTheme="minorHAnsi" w:cstheme="minorHAnsi"/>
                                <w:color w:val="2C2D5B"/>
                                <w:sz w:val="20"/>
                                <w:szCs w:val="20"/>
                              </w:rPr>
                            </w:pPr>
                            <w:r w:rsidRPr="002473AB">
                              <w:rPr>
                                <w:rFonts w:asciiTheme="minorHAnsi" w:hAnsiTheme="minorHAnsi" w:cstheme="minorHAnsi"/>
                                <w:b/>
                                <w:bCs/>
                                <w:color w:val="2C2D5B"/>
                                <w:sz w:val="20"/>
                                <w:szCs w:val="20"/>
                              </w:rPr>
                              <w:t>Facts</w:t>
                            </w:r>
                            <w:r w:rsidR="002473AB" w:rsidRPr="002473AB">
                              <w:rPr>
                                <w:rFonts w:asciiTheme="minorHAnsi" w:hAnsiTheme="minorHAnsi" w:cstheme="minorHAnsi"/>
                                <w:b/>
                                <w:bCs/>
                                <w:color w:val="2C2D5B"/>
                                <w:sz w:val="20"/>
                                <w:szCs w:val="20"/>
                              </w:rPr>
                              <w:t xml:space="preserve"> </w:t>
                            </w:r>
                            <w:r w:rsidRPr="002473AB">
                              <w:rPr>
                                <w:rFonts w:asciiTheme="minorHAnsi" w:hAnsiTheme="minorHAnsi" w:cstheme="minorHAnsi"/>
                                <w:b/>
                                <w:bCs/>
                                <w:color w:val="2C2D5B"/>
                                <w:sz w:val="20"/>
                                <w:szCs w:val="20"/>
                              </w:rPr>
                              <w:t xml:space="preserve">: </w:t>
                            </w:r>
                          </w:p>
                          <w:p w14:paraId="71DCF691" w14:textId="27892396" w:rsidR="00E84AD3" w:rsidRPr="002473AB" w:rsidRDefault="00E84AD3" w:rsidP="009C209D">
                            <w:pPr>
                              <w:spacing w:line="276" w:lineRule="auto"/>
                              <w:jc w:val="both"/>
                              <w:rPr>
                                <w:rFonts w:asciiTheme="minorHAnsi" w:hAnsiTheme="minorHAnsi" w:cstheme="minorHAnsi"/>
                                <w:color w:val="2C2D5B"/>
                                <w:sz w:val="20"/>
                                <w:szCs w:val="20"/>
                              </w:rPr>
                            </w:pPr>
                            <w:r w:rsidRPr="002473AB">
                              <w:rPr>
                                <w:rFonts w:asciiTheme="minorHAnsi" w:hAnsiTheme="minorHAnsi" w:cstheme="minorHAnsi"/>
                                <w:color w:val="2C2D5B"/>
                                <w:sz w:val="20"/>
                                <w:szCs w:val="20"/>
                              </w:rPr>
                              <w:t xml:space="preserve">This case involved the execution of a European arrest warrant issued by Italy based on a sentence in absentia against Mr. Melloni. The latter argued that Spanish constitutional law was more protective of fundamental rights than EU standards and should therefore apply, allowing him to avoid extradition. </w:t>
                            </w:r>
                          </w:p>
                          <w:p w14:paraId="716FF332" w14:textId="77777777" w:rsidR="00E84AD3" w:rsidRPr="002473AB" w:rsidRDefault="00E84AD3" w:rsidP="009C209D">
                            <w:pPr>
                              <w:spacing w:line="276" w:lineRule="auto"/>
                              <w:jc w:val="both"/>
                              <w:rPr>
                                <w:rFonts w:asciiTheme="minorHAnsi" w:hAnsiTheme="minorHAnsi" w:cstheme="minorHAnsi"/>
                                <w:color w:val="2C2D5B"/>
                                <w:sz w:val="20"/>
                                <w:szCs w:val="20"/>
                              </w:rPr>
                            </w:pPr>
                          </w:p>
                          <w:p w14:paraId="25C69E1A" w14:textId="69BAAAA3" w:rsidR="00D97D5D" w:rsidRPr="002473AB" w:rsidRDefault="00D97D5D" w:rsidP="009C209D">
                            <w:pPr>
                              <w:spacing w:line="276" w:lineRule="auto"/>
                              <w:jc w:val="both"/>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Ruling</w:t>
                            </w:r>
                            <w:r w:rsidR="002473AB" w:rsidRPr="002473AB">
                              <w:rPr>
                                <w:rFonts w:asciiTheme="minorHAnsi" w:hAnsiTheme="minorHAnsi" w:cstheme="minorHAnsi"/>
                                <w:b/>
                                <w:bCs/>
                                <w:color w:val="2C2D5B"/>
                                <w:sz w:val="20"/>
                                <w:szCs w:val="20"/>
                              </w:rPr>
                              <w:t xml:space="preserve"> </w:t>
                            </w:r>
                            <w:r w:rsidRPr="002473AB">
                              <w:rPr>
                                <w:rFonts w:asciiTheme="minorHAnsi" w:hAnsiTheme="minorHAnsi" w:cstheme="minorHAnsi"/>
                                <w:b/>
                                <w:bCs/>
                                <w:color w:val="2C2D5B"/>
                                <w:sz w:val="20"/>
                                <w:szCs w:val="20"/>
                              </w:rPr>
                              <w:t xml:space="preserve">: </w:t>
                            </w:r>
                          </w:p>
                          <w:p w14:paraId="5D8C53A3" w14:textId="1155DB31" w:rsidR="00E84AD3" w:rsidRPr="002473AB" w:rsidRDefault="00E84AD3" w:rsidP="009C209D">
                            <w:pPr>
                              <w:spacing w:line="276" w:lineRule="auto"/>
                              <w:jc w:val="both"/>
                              <w:rPr>
                                <w:rFonts w:asciiTheme="minorHAnsi" w:hAnsiTheme="minorHAnsi" w:cstheme="minorHAnsi"/>
                                <w:color w:val="2C2D5B"/>
                                <w:sz w:val="20"/>
                                <w:szCs w:val="20"/>
                              </w:rPr>
                            </w:pPr>
                            <w:r w:rsidRPr="002473AB">
                              <w:rPr>
                                <w:rFonts w:asciiTheme="minorHAnsi" w:hAnsiTheme="minorHAnsi" w:cstheme="minorHAnsi"/>
                                <w:color w:val="2C2D5B"/>
                                <w:sz w:val="20"/>
                                <w:szCs w:val="20"/>
                              </w:rPr>
                              <w:t xml:space="preserve">The CJEU rejected the possibility of using national constitutional law to override the European arrest warrant’s primacy. </w:t>
                            </w:r>
                          </w:p>
                          <w:p w14:paraId="34B03329" w14:textId="33F7EF61" w:rsidR="00E84AD3" w:rsidRPr="002473AB" w:rsidRDefault="00E84AD3" w:rsidP="00327D5A">
                            <w:pPr>
                              <w:jc w:val="both"/>
                              <w:rPr>
                                <w:color w:val="2C2D5B"/>
                              </w:rPr>
                            </w:pPr>
                            <w:r w:rsidRPr="002473AB">
                              <w:rPr>
                                <w:rFonts w:asciiTheme="minorHAnsi" w:hAnsiTheme="minorHAnsi" w:cstheme="minorHAnsi"/>
                                <w:color w:val="2C2D5B"/>
                                <w:sz w:val="20"/>
                                <w:szCs w:val="20"/>
                              </w:rPr>
                              <w:t>It is true that Article 53 of the Charter confirms that, where an EU legal act calls for national implementing measures, national authorities and courts remain free to apply national standards of protection of fundamental rights, provided that the level of protection provided for by the Charter, as interpreted by the Court, and the primacy, unity and effectiveness of EU law are not thereby compromised.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419C3694" id="_x0000_s1044" style="position:absolute;left:0;text-align:left;margin-left:13.6pt;margin-top:13.55pt;width:402.75pt;height:239.25pt;z-index:2517381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wiNJAIAAC0EAAAOAAAAZHJzL2Uyb0RvYy54bWysU8tu2zAQvBfoPxC815IdObEFy4HjNEWB&#10;9IGm/QCKpCSiFFclaUvp13dJKY6T3orqQHC15Ozs7HBzPbSaHKV1CkxB57OUEmk4CGXqgv74fvdu&#10;RYnzzAimwciCPkpHr7dv32z6LpcLaEALaQmCGJf3XUEb77s8SRxvZMvcDDppMFmBbZnH0NaJsKxH&#10;9FYnizS9THqworPApXP493ZM0m3EryrJ/ZeqctITXVDk5uNq41qGNdluWF5b1jWKTzTYP7BomTJY&#10;9AR1yzwjB6v+gmoVt+Cg8jMObQJVpbiMPWA38/RVNw8N62TsBcVx3Ukm9/9g+efjQ/fVEj/cwIAD&#10;jE247h74T0cM7BtmarmzFvpGMoGF50GypO9cPl0NUrvcBZCy/wQCh8wOHiLQUNk2qIJ9EkTHATye&#10;RJeDJxx/LufzbL1YUsIxd5FerLKrZazB8qfrnXX+g4SWhE1BLRyM+IajjTXY8d75wInlT+dCSQda&#10;iTuldQyCneReW3JkaISyHrt4dUob0mOD63SZjjK8gLB1eQK4udyl2X5i+aJSqzz6Wau2oKs0fKPD&#10;gnjvjYhu80zpcY+UtZnUDAKOUvqhHIgSyGQVLgd1SxCPqK+F0b/43nDTgP1NSY/eLaj7dWBWUqI/&#10;GpzRep5lwewxyJZXCwzseaY8zzDDEaqgnpJxu/fxgQThDOxwlpWKAj8zmTijJ6Pu0/sJpj+P46nn&#10;V779AwAA//8DAFBLAwQUAAYACAAAACEASCl9Bt4AAAAJAQAADwAAAGRycy9kb3ducmV2LnhtbEyP&#10;wU7DMBBE70j8g7VI3KjTQFoT4lRRJS7cGsqBmxMvcSBeR7Gbhr/HPdHTaDWjmbfFbrEDm3HyvSMJ&#10;61UCDKl1uqdOwvH99UEA80GRVoMjlPCLHnbl7U2hcu3OdMC5Dh2LJeRzJcGEMOac+9agVX7lRqTo&#10;fbnJqhDPqeN6UudYbgeeJsmGW9VTXDBqxL3B9qc+WQnz8ZBVYv/5VJsP/v38VolGWCHl/d1SvQAL&#10;uIT/MFzwIzqUkalxJ9KeDRLSbRqTF10Di754TLfAGglZkm2AlwW//qD8AwAA//8DAFBLAQItABQA&#10;BgAIAAAAIQC2gziS/gAAAOEBAAATAAAAAAAAAAAAAAAAAAAAAABbQ29udGVudF9UeXBlc10ueG1s&#10;UEsBAi0AFAAGAAgAAAAhADj9If/WAAAAlAEAAAsAAAAAAAAAAAAAAAAALwEAAF9yZWxzLy5yZWxz&#10;UEsBAi0AFAAGAAgAAAAhAIGnCI0kAgAALQQAAA4AAAAAAAAAAAAAAAAALgIAAGRycy9lMm9Eb2Mu&#10;eG1sUEsBAi0AFAAGAAgAAAAhAEgpfQbeAAAACQEAAA8AAAAAAAAAAAAAAAAAfgQAAGRycy9kb3du&#10;cmV2LnhtbFBLBQYAAAAABAAEAPMAAACJBQAAAAA=&#10;" fillcolor="white [3212]" strokecolor="#b6a04c" strokeweight="1.5pt">
                <v:stroke joinstyle="miter"/>
                <v:textbox>
                  <w:txbxContent>
                    <w:p w14:paraId="3749E9E5" w14:textId="499E62D1" w:rsidR="00E84AD3" w:rsidRPr="002473AB" w:rsidRDefault="00E84AD3" w:rsidP="002473AB">
                      <w:pPr>
                        <w:spacing w:line="276" w:lineRule="auto"/>
                        <w:jc w:val="center"/>
                        <w:rPr>
                          <w:rFonts w:asciiTheme="minorHAnsi" w:hAnsiTheme="minorHAnsi" w:cstheme="minorHAnsi"/>
                          <w:b/>
                          <w:color w:val="B6A04C"/>
                          <w:sz w:val="20"/>
                          <w:szCs w:val="20"/>
                          <w:lang w:val="it-IT"/>
                        </w:rPr>
                      </w:pPr>
                      <w:r>
                        <w:fldChar w:fldCharType="begin"/>
                      </w:r>
                      <w:r w:rsidRPr="00E57DB6">
                        <w:rPr>
                          <w:lang w:val="it-IT"/>
                        </w:rPr>
                        <w:instrText>HYPERLINK "https://eur-lex.europa.eu/legal-content/FR/TXT/?uri=CELEX%3A62011CJ0399"</w:instrText>
                      </w:r>
                      <w:r>
                        <w:fldChar w:fldCharType="separate"/>
                      </w:r>
                      <w:r w:rsidRPr="002473AB">
                        <w:rPr>
                          <w:rStyle w:val="Lienhypertexte"/>
                          <w:rFonts w:asciiTheme="minorHAnsi" w:hAnsiTheme="minorHAnsi" w:cstheme="minorHAnsi"/>
                          <w:b/>
                          <w:color w:val="B6A04C"/>
                          <w:sz w:val="20"/>
                          <w:szCs w:val="20"/>
                          <w:lang w:val="it-IT"/>
                        </w:rPr>
                        <w:t xml:space="preserve">CJEU, Grd. Ch., 26 february 2013, </w:t>
                      </w:r>
                      <w:r w:rsidRPr="002473AB">
                        <w:rPr>
                          <w:rStyle w:val="Lienhypertexte"/>
                          <w:rFonts w:asciiTheme="minorHAnsi" w:hAnsiTheme="minorHAnsi" w:cstheme="minorHAnsi"/>
                          <w:b/>
                          <w:i/>
                          <w:color w:val="B6A04C"/>
                          <w:sz w:val="20"/>
                          <w:szCs w:val="20"/>
                          <w:lang w:val="it-IT"/>
                        </w:rPr>
                        <w:t>Stephano Melloni v Ministerio Fiscal</w:t>
                      </w:r>
                      <w:r w:rsidRPr="002473AB">
                        <w:rPr>
                          <w:rStyle w:val="Lienhypertexte"/>
                          <w:rFonts w:asciiTheme="minorHAnsi" w:hAnsiTheme="minorHAnsi" w:cstheme="minorHAnsi"/>
                          <w:b/>
                          <w:color w:val="B6A04C"/>
                          <w:sz w:val="20"/>
                          <w:szCs w:val="20"/>
                          <w:lang w:val="it-IT"/>
                        </w:rPr>
                        <w:t>, C-399/11, ECLI:EU:C:2013:107</w:t>
                      </w:r>
                      <w:r>
                        <w:fldChar w:fldCharType="end"/>
                      </w:r>
                    </w:p>
                    <w:p w14:paraId="299ECE62" w14:textId="77777777" w:rsidR="00E84AD3" w:rsidRPr="002473AB" w:rsidRDefault="00E84AD3" w:rsidP="009C209D">
                      <w:pPr>
                        <w:spacing w:line="276" w:lineRule="auto"/>
                        <w:jc w:val="both"/>
                        <w:rPr>
                          <w:rFonts w:asciiTheme="minorHAnsi" w:hAnsiTheme="minorHAnsi" w:cstheme="minorHAnsi"/>
                          <w:color w:val="2C2D5B"/>
                          <w:sz w:val="20"/>
                          <w:szCs w:val="20"/>
                          <w:lang w:val="it-IT"/>
                        </w:rPr>
                      </w:pPr>
                    </w:p>
                    <w:p w14:paraId="25C03487" w14:textId="009EDE16" w:rsidR="00E84AD3" w:rsidRPr="002473AB" w:rsidRDefault="00E84AD3" w:rsidP="009C209D">
                      <w:pPr>
                        <w:spacing w:line="276" w:lineRule="auto"/>
                        <w:jc w:val="both"/>
                        <w:rPr>
                          <w:rFonts w:asciiTheme="minorHAnsi" w:hAnsiTheme="minorHAnsi" w:cstheme="minorHAnsi"/>
                          <w:color w:val="2C2D5B"/>
                          <w:sz w:val="20"/>
                          <w:szCs w:val="20"/>
                        </w:rPr>
                      </w:pPr>
                      <w:r w:rsidRPr="002473AB">
                        <w:rPr>
                          <w:rFonts w:asciiTheme="minorHAnsi" w:hAnsiTheme="minorHAnsi" w:cstheme="minorHAnsi"/>
                          <w:b/>
                          <w:bCs/>
                          <w:color w:val="2C2D5B"/>
                          <w:sz w:val="20"/>
                          <w:szCs w:val="20"/>
                        </w:rPr>
                        <w:t>Facts</w:t>
                      </w:r>
                      <w:r w:rsidR="002473AB" w:rsidRPr="002473AB">
                        <w:rPr>
                          <w:rFonts w:asciiTheme="minorHAnsi" w:hAnsiTheme="minorHAnsi" w:cstheme="minorHAnsi"/>
                          <w:b/>
                          <w:bCs/>
                          <w:color w:val="2C2D5B"/>
                          <w:sz w:val="20"/>
                          <w:szCs w:val="20"/>
                        </w:rPr>
                        <w:t xml:space="preserve"> </w:t>
                      </w:r>
                      <w:r w:rsidRPr="002473AB">
                        <w:rPr>
                          <w:rFonts w:asciiTheme="minorHAnsi" w:hAnsiTheme="minorHAnsi" w:cstheme="minorHAnsi"/>
                          <w:b/>
                          <w:bCs/>
                          <w:color w:val="2C2D5B"/>
                          <w:sz w:val="20"/>
                          <w:szCs w:val="20"/>
                        </w:rPr>
                        <w:t xml:space="preserve">: </w:t>
                      </w:r>
                    </w:p>
                    <w:p w14:paraId="71DCF691" w14:textId="27892396" w:rsidR="00E84AD3" w:rsidRPr="002473AB" w:rsidRDefault="00E84AD3" w:rsidP="009C209D">
                      <w:pPr>
                        <w:spacing w:line="276" w:lineRule="auto"/>
                        <w:jc w:val="both"/>
                        <w:rPr>
                          <w:rFonts w:asciiTheme="minorHAnsi" w:hAnsiTheme="minorHAnsi" w:cstheme="minorHAnsi"/>
                          <w:color w:val="2C2D5B"/>
                          <w:sz w:val="20"/>
                          <w:szCs w:val="20"/>
                        </w:rPr>
                      </w:pPr>
                      <w:r w:rsidRPr="002473AB">
                        <w:rPr>
                          <w:rFonts w:asciiTheme="minorHAnsi" w:hAnsiTheme="minorHAnsi" w:cstheme="minorHAnsi"/>
                          <w:color w:val="2C2D5B"/>
                          <w:sz w:val="20"/>
                          <w:szCs w:val="20"/>
                        </w:rPr>
                        <w:t xml:space="preserve">This case involved the execution of a European arrest warrant issued by Italy based on a sentence in absentia against Mr. Melloni. The latter argued that Spanish constitutional law was more protective of fundamental rights than EU standards and should therefore apply, allowing him to avoid extradition. </w:t>
                      </w:r>
                    </w:p>
                    <w:p w14:paraId="716FF332" w14:textId="77777777" w:rsidR="00E84AD3" w:rsidRPr="002473AB" w:rsidRDefault="00E84AD3" w:rsidP="009C209D">
                      <w:pPr>
                        <w:spacing w:line="276" w:lineRule="auto"/>
                        <w:jc w:val="both"/>
                        <w:rPr>
                          <w:rFonts w:asciiTheme="minorHAnsi" w:hAnsiTheme="minorHAnsi" w:cstheme="minorHAnsi"/>
                          <w:color w:val="2C2D5B"/>
                          <w:sz w:val="20"/>
                          <w:szCs w:val="20"/>
                        </w:rPr>
                      </w:pPr>
                    </w:p>
                    <w:p w14:paraId="25C69E1A" w14:textId="69BAAAA3" w:rsidR="00D97D5D" w:rsidRPr="002473AB" w:rsidRDefault="00D97D5D" w:rsidP="009C209D">
                      <w:pPr>
                        <w:spacing w:line="276" w:lineRule="auto"/>
                        <w:jc w:val="both"/>
                        <w:rPr>
                          <w:rFonts w:asciiTheme="minorHAnsi" w:hAnsiTheme="minorHAnsi" w:cstheme="minorHAnsi"/>
                          <w:b/>
                          <w:bCs/>
                          <w:color w:val="2C2D5B"/>
                          <w:sz w:val="20"/>
                          <w:szCs w:val="20"/>
                        </w:rPr>
                      </w:pPr>
                      <w:r w:rsidRPr="002473AB">
                        <w:rPr>
                          <w:rFonts w:asciiTheme="minorHAnsi" w:hAnsiTheme="minorHAnsi" w:cstheme="minorHAnsi"/>
                          <w:b/>
                          <w:bCs/>
                          <w:color w:val="2C2D5B"/>
                          <w:sz w:val="20"/>
                          <w:szCs w:val="20"/>
                        </w:rPr>
                        <w:t>Ruling</w:t>
                      </w:r>
                      <w:r w:rsidR="002473AB" w:rsidRPr="002473AB">
                        <w:rPr>
                          <w:rFonts w:asciiTheme="minorHAnsi" w:hAnsiTheme="minorHAnsi" w:cstheme="minorHAnsi"/>
                          <w:b/>
                          <w:bCs/>
                          <w:color w:val="2C2D5B"/>
                          <w:sz w:val="20"/>
                          <w:szCs w:val="20"/>
                        </w:rPr>
                        <w:t xml:space="preserve"> </w:t>
                      </w:r>
                      <w:r w:rsidRPr="002473AB">
                        <w:rPr>
                          <w:rFonts w:asciiTheme="minorHAnsi" w:hAnsiTheme="minorHAnsi" w:cstheme="minorHAnsi"/>
                          <w:b/>
                          <w:bCs/>
                          <w:color w:val="2C2D5B"/>
                          <w:sz w:val="20"/>
                          <w:szCs w:val="20"/>
                        </w:rPr>
                        <w:t xml:space="preserve">: </w:t>
                      </w:r>
                    </w:p>
                    <w:p w14:paraId="5D8C53A3" w14:textId="1155DB31" w:rsidR="00E84AD3" w:rsidRPr="002473AB" w:rsidRDefault="00E84AD3" w:rsidP="009C209D">
                      <w:pPr>
                        <w:spacing w:line="276" w:lineRule="auto"/>
                        <w:jc w:val="both"/>
                        <w:rPr>
                          <w:rFonts w:asciiTheme="minorHAnsi" w:hAnsiTheme="minorHAnsi" w:cstheme="minorHAnsi"/>
                          <w:color w:val="2C2D5B"/>
                          <w:sz w:val="20"/>
                          <w:szCs w:val="20"/>
                        </w:rPr>
                      </w:pPr>
                      <w:r w:rsidRPr="002473AB">
                        <w:rPr>
                          <w:rFonts w:asciiTheme="minorHAnsi" w:hAnsiTheme="minorHAnsi" w:cstheme="minorHAnsi"/>
                          <w:color w:val="2C2D5B"/>
                          <w:sz w:val="20"/>
                          <w:szCs w:val="20"/>
                        </w:rPr>
                        <w:t xml:space="preserve">The CJEU rejected the possibility of using national constitutional law to override the European arrest warrant’s primacy. </w:t>
                      </w:r>
                    </w:p>
                    <w:p w14:paraId="34B03329" w14:textId="33F7EF61" w:rsidR="00E84AD3" w:rsidRPr="002473AB" w:rsidRDefault="00E84AD3" w:rsidP="00327D5A">
                      <w:pPr>
                        <w:jc w:val="both"/>
                        <w:rPr>
                          <w:color w:val="2C2D5B"/>
                        </w:rPr>
                      </w:pPr>
                      <w:r w:rsidRPr="002473AB">
                        <w:rPr>
                          <w:rFonts w:asciiTheme="minorHAnsi" w:hAnsiTheme="minorHAnsi" w:cstheme="minorHAnsi"/>
                          <w:color w:val="2C2D5B"/>
                          <w:sz w:val="20"/>
                          <w:szCs w:val="20"/>
                        </w:rPr>
                        <w:t>It is true that Article 53 of the Charter confirms that, where an EU legal act calls for national implementing measures, national authorities and courts remain free to apply national standards of protection of fundamental rights, provided that the level of protection provided for by the Charter, as interpreted by the Court, and the primacy, unity and effectiveness of EU law are not thereby compromised.</w:t>
                      </w:r>
                    </w:p>
                  </w:txbxContent>
                </v:textbox>
                <w10:wrap type="square" anchorx="margin"/>
              </v:roundrect>
            </w:pict>
          </mc:Fallback>
        </mc:AlternateContent>
      </w:r>
    </w:p>
    <w:p w14:paraId="37C5157E" w14:textId="77777777" w:rsidR="00447E92" w:rsidRDefault="00447E92" w:rsidP="00884BC9">
      <w:pPr>
        <w:pStyle w:val="Nadpis2"/>
        <w:ind w:left="708"/>
        <w:rPr>
          <w:rFonts w:asciiTheme="minorHAnsi" w:hAnsiTheme="minorHAnsi" w:cstheme="minorHAnsi"/>
          <w:sz w:val="32"/>
          <w:szCs w:val="32"/>
        </w:rPr>
      </w:pPr>
    </w:p>
    <w:p w14:paraId="20866664" w14:textId="589B167D" w:rsidR="00447E92" w:rsidRDefault="00447E92" w:rsidP="00884BC9">
      <w:pPr>
        <w:pStyle w:val="Nadpis2"/>
        <w:ind w:left="708"/>
        <w:rPr>
          <w:rFonts w:asciiTheme="minorHAnsi" w:hAnsiTheme="minorHAnsi" w:cstheme="minorHAnsi"/>
          <w:sz w:val="32"/>
          <w:szCs w:val="32"/>
        </w:rPr>
      </w:pPr>
    </w:p>
    <w:p w14:paraId="0D868A9B" w14:textId="77777777" w:rsidR="00F87908" w:rsidRDefault="00F87908" w:rsidP="00F87908"/>
    <w:p w14:paraId="33A7023E" w14:textId="77777777" w:rsidR="00F87908" w:rsidRDefault="00F87908" w:rsidP="00F87908"/>
    <w:p w14:paraId="4646DD2F" w14:textId="0E67C0C8" w:rsidR="00F87908" w:rsidRDefault="00F87908" w:rsidP="00F87908"/>
    <w:p w14:paraId="757E0072" w14:textId="77777777" w:rsidR="00F87908" w:rsidRDefault="00F87908" w:rsidP="00F87908"/>
    <w:p w14:paraId="1E6063F3" w14:textId="607A9BE7" w:rsidR="00F87908" w:rsidRDefault="00F87908" w:rsidP="00F87908"/>
    <w:p w14:paraId="3B9D705C" w14:textId="77777777" w:rsidR="00F87908" w:rsidRDefault="00F87908" w:rsidP="00F87908"/>
    <w:p w14:paraId="31B11249" w14:textId="77777777" w:rsidR="00F87908" w:rsidRDefault="00F87908" w:rsidP="00F87908"/>
    <w:p w14:paraId="0131D808" w14:textId="57FDF555" w:rsidR="00F87908" w:rsidRDefault="00F87908" w:rsidP="00F87908"/>
    <w:p w14:paraId="6BBAEFFB" w14:textId="77777777" w:rsidR="00F87908" w:rsidRDefault="00F87908" w:rsidP="00F87908"/>
    <w:p w14:paraId="1BB54FCB" w14:textId="2305FB8F" w:rsidR="00F87908" w:rsidRDefault="00F87908" w:rsidP="00F87908"/>
    <w:p w14:paraId="2011963F" w14:textId="59005EE0" w:rsidR="00F87908" w:rsidRDefault="00F87908" w:rsidP="00F87908"/>
    <w:p w14:paraId="7B24FED4" w14:textId="338BD150" w:rsidR="00F87908" w:rsidRDefault="00F87908" w:rsidP="00F87908"/>
    <w:p w14:paraId="1C22B6E0" w14:textId="26782F34" w:rsidR="00F87908" w:rsidRDefault="00F87908" w:rsidP="00F87908"/>
    <w:p w14:paraId="1DAC178B" w14:textId="56BDF9C0" w:rsidR="00F87908" w:rsidRDefault="00F87908" w:rsidP="00F87908"/>
    <w:p w14:paraId="2F7D2CED" w14:textId="77777777" w:rsidR="00F87908" w:rsidRDefault="00F87908" w:rsidP="00F87908"/>
    <w:p w14:paraId="5240339C" w14:textId="77777777" w:rsidR="00F87908" w:rsidRPr="00F87908" w:rsidRDefault="00F87908" w:rsidP="00F87908"/>
    <w:p w14:paraId="3776A3F7" w14:textId="1ED65BA4" w:rsidR="003432C7" w:rsidRPr="002473AB" w:rsidRDefault="000D1ED9" w:rsidP="002473AB">
      <w:pPr>
        <w:pStyle w:val="Nadpis2"/>
        <w:ind w:left="708" w:hanging="992"/>
        <w:rPr>
          <w:rFonts w:asciiTheme="minorHAnsi" w:hAnsiTheme="minorHAnsi" w:cstheme="minorHAnsi"/>
          <w:b/>
          <w:bCs/>
          <w:sz w:val="32"/>
          <w:szCs w:val="32"/>
        </w:rPr>
      </w:pPr>
      <w:bookmarkStart w:id="13" w:name="_Toc188457871"/>
      <w:r w:rsidRPr="002473AB">
        <w:rPr>
          <w:rFonts w:asciiTheme="minorHAnsi" w:hAnsiTheme="minorHAnsi" w:cstheme="minorHAnsi"/>
          <w:b/>
          <w:bCs/>
          <w:color w:val="B6A04C"/>
          <w:sz w:val="32"/>
          <w:szCs w:val="32"/>
        </w:rPr>
        <w:t>4.</w:t>
      </w:r>
      <w:r w:rsidR="00BE2184" w:rsidRPr="002473AB">
        <w:rPr>
          <w:rFonts w:asciiTheme="minorHAnsi" w:hAnsiTheme="minorHAnsi" w:cstheme="minorHAnsi"/>
          <w:b/>
          <w:bCs/>
          <w:color w:val="B6A04C"/>
          <w:sz w:val="32"/>
          <w:szCs w:val="32"/>
        </w:rPr>
        <w:t>5</w:t>
      </w:r>
      <w:r w:rsidRPr="002473AB">
        <w:rPr>
          <w:rFonts w:asciiTheme="minorHAnsi" w:hAnsiTheme="minorHAnsi" w:cstheme="minorHAnsi"/>
          <w:b/>
          <w:bCs/>
          <w:color w:val="B6A04C"/>
          <w:sz w:val="32"/>
          <w:szCs w:val="32"/>
        </w:rPr>
        <w:t xml:space="preserve"> </w:t>
      </w:r>
      <w:r w:rsidR="00E23232" w:rsidRPr="002473AB">
        <w:rPr>
          <w:rFonts w:asciiTheme="minorHAnsi" w:hAnsiTheme="minorHAnsi" w:cstheme="minorHAnsi"/>
          <w:b/>
          <w:bCs/>
          <w:sz w:val="32"/>
          <w:szCs w:val="32"/>
        </w:rPr>
        <w:t>Framework for Rights Limitations and Absolute Guarantees</w:t>
      </w:r>
      <w:bookmarkEnd w:id="13"/>
    </w:p>
    <w:p w14:paraId="5C1B75F4" w14:textId="257960FF" w:rsidR="00884BC9" w:rsidRPr="00884BC9" w:rsidRDefault="00884BC9" w:rsidP="00884BC9"/>
    <w:p w14:paraId="2426A1BB" w14:textId="34E64A9C" w:rsidR="009C209D" w:rsidRPr="002473AB" w:rsidRDefault="00747C7E" w:rsidP="00EC2273">
      <w:pPr>
        <w:spacing w:line="276" w:lineRule="auto"/>
        <w:jc w:val="both"/>
        <w:rPr>
          <w:rFonts w:asciiTheme="majorHAnsi" w:hAnsiTheme="majorHAnsi" w:cstheme="majorHAnsi"/>
          <w:color w:val="2C2D5B"/>
        </w:rPr>
      </w:pPr>
      <w:r w:rsidRPr="002473AB">
        <w:rPr>
          <w:rFonts w:asciiTheme="majorHAnsi" w:hAnsiTheme="majorHAnsi" w:cstheme="majorHAnsi"/>
          <w:color w:val="2C2D5B"/>
        </w:rPr>
        <w:t xml:space="preserve">Rights guaranteed by the EChFR are subject to </w:t>
      </w:r>
      <w:r w:rsidR="00242572" w:rsidRPr="002473AB">
        <w:rPr>
          <w:rFonts w:asciiTheme="majorHAnsi" w:hAnsiTheme="majorHAnsi" w:cstheme="majorHAnsi"/>
          <w:color w:val="2C2D5B"/>
        </w:rPr>
        <w:t>the</w:t>
      </w:r>
      <w:r w:rsidRPr="002473AB">
        <w:rPr>
          <w:rFonts w:asciiTheme="majorHAnsi" w:hAnsiTheme="majorHAnsi" w:cstheme="majorHAnsi"/>
          <w:color w:val="2C2D5B"/>
        </w:rPr>
        <w:t xml:space="preserve"> </w:t>
      </w:r>
      <w:r w:rsidRPr="002473AB">
        <w:rPr>
          <w:rFonts w:asciiTheme="majorHAnsi" w:hAnsiTheme="majorHAnsi" w:cstheme="majorHAnsi"/>
          <w:b/>
          <w:bCs/>
          <w:color w:val="2C2D5B"/>
        </w:rPr>
        <w:t>legality and proportionality principles</w:t>
      </w:r>
      <w:r w:rsidR="009C209D" w:rsidRPr="002473AB">
        <w:rPr>
          <w:rFonts w:asciiTheme="majorHAnsi" w:hAnsiTheme="majorHAnsi" w:cstheme="majorHAnsi"/>
          <w:color w:val="2C2D5B"/>
        </w:rPr>
        <w:t xml:space="preserve">: </w:t>
      </w:r>
    </w:p>
    <w:p w14:paraId="111EBF4D" w14:textId="2D2EC2FC" w:rsidR="009C209D" w:rsidRPr="002473AB" w:rsidRDefault="009C209D" w:rsidP="008B4B98">
      <w:pPr>
        <w:pStyle w:val="Odstavecseseznamem"/>
        <w:numPr>
          <w:ilvl w:val="0"/>
          <w:numId w:val="10"/>
        </w:numPr>
        <w:spacing w:line="276" w:lineRule="auto"/>
        <w:jc w:val="both"/>
        <w:rPr>
          <w:rFonts w:asciiTheme="majorHAnsi" w:hAnsiTheme="majorHAnsi" w:cstheme="majorHAnsi"/>
          <w:color w:val="2C2D5B"/>
        </w:rPr>
      </w:pPr>
      <w:r w:rsidRPr="002473AB">
        <w:rPr>
          <w:rFonts w:asciiTheme="majorHAnsi" w:hAnsiTheme="majorHAnsi" w:cstheme="majorHAnsi"/>
          <w:b/>
          <w:bCs/>
          <w:color w:val="2C2D5B"/>
        </w:rPr>
        <w:t xml:space="preserve">Legality: </w:t>
      </w:r>
      <w:r w:rsidRPr="002473AB">
        <w:rPr>
          <w:rFonts w:asciiTheme="majorHAnsi" w:hAnsiTheme="majorHAnsi" w:cstheme="majorHAnsi"/>
          <w:color w:val="2C2D5B"/>
        </w:rPr>
        <w:t xml:space="preserve">Limitations must be legally grounded and </w:t>
      </w:r>
      <w:r w:rsidR="00747C7E" w:rsidRPr="002473AB">
        <w:rPr>
          <w:rFonts w:asciiTheme="majorHAnsi" w:hAnsiTheme="majorHAnsi" w:cstheme="majorHAnsi"/>
          <w:color w:val="2C2D5B"/>
        </w:rPr>
        <w:t>must</w:t>
      </w:r>
      <w:r w:rsidRPr="002473AB">
        <w:rPr>
          <w:rFonts w:asciiTheme="majorHAnsi" w:hAnsiTheme="majorHAnsi" w:cstheme="majorHAnsi"/>
          <w:color w:val="2C2D5B"/>
        </w:rPr>
        <w:t xml:space="preserve"> not undermine</w:t>
      </w:r>
      <w:r w:rsidR="00747C7E" w:rsidRPr="002473AB">
        <w:rPr>
          <w:rFonts w:asciiTheme="majorHAnsi" w:hAnsiTheme="majorHAnsi" w:cstheme="majorHAnsi"/>
          <w:color w:val="2C2D5B"/>
        </w:rPr>
        <w:t xml:space="preserve"> the essence of the restricted right. </w:t>
      </w:r>
    </w:p>
    <w:p w14:paraId="2D7E74C8" w14:textId="7513C6D9" w:rsidR="00771C0C" w:rsidRPr="002473AB" w:rsidRDefault="009C209D" w:rsidP="008B4B98">
      <w:pPr>
        <w:pStyle w:val="Odstavecseseznamem"/>
        <w:numPr>
          <w:ilvl w:val="0"/>
          <w:numId w:val="10"/>
        </w:numPr>
        <w:spacing w:line="276" w:lineRule="auto"/>
        <w:jc w:val="both"/>
        <w:rPr>
          <w:rFonts w:asciiTheme="majorHAnsi" w:hAnsiTheme="majorHAnsi" w:cstheme="majorHAnsi"/>
          <w:color w:val="2C2D5B"/>
        </w:rPr>
      </w:pPr>
      <w:r w:rsidRPr="002473AB">
        <w:rPr>
          <w:rFonts w:asciiTheme="majorHAnsi" w:hAnsiTheme="majorHAnsi" w:cstheme="majorHAnsi"/>
          <w:b/>
          <w:bCs/>
          <w:color w:val="2C2D5B"/>
        </w:rPr>
        <w:t xml:space="preserve">Proportionality </w:t>
      </w:r>
      <w:r w:rsidR="00747C7E" w:rsidRPr="002473AB">
        <w:rPr>
          <w:rFonts w:asciiTheme="majorHAnsi" w:hAnsiTheme="majorHAnsi" w:cstheme="majorHAnsi"/>
          <w:color w:val="2C2D5B"/>
        </w:rPr>
        <w:t xml:space="preserve">imposes an additional condition: limitations on the rights enshrined in the EChFR may only be made if such limitations are </w:t>
      </w:r>
      <w:r w:rsidR="00747C7E" w:rsidRPr="002473AB">
        <w:rPr>
          <w:rFonts w:asciiTheme="majorHAnsi" w:hAnsiTheme="majorHAnsi" w:cstheme="majorHAnsi"/>
          <w:b/>
          <w:bCs/>
          <w:color w:val="2C2D5B"/>
        </w:rPr>
        <w:t>necessary</w:t>
      </w:r>
      <w:r w:rsidR="00747C7E" w:rsidRPr="002473AB">
        <w:rPr>
          <w:rFonts w:asciiTheme="majorHAnsi" w:hAnsiTheme="majorHAnsi" w:cstheme="majorHAnsi"/>
          <w:color w:val="2C2D5B"/>
        </w:rPr>
        <w:t xml:space="preserve"> and </w:t>
      </w:r>
      <w:r w:rsidR="00747C7E" w:rsidRPr="002473AB">
        <w:rPr>
          <w:rFonts w:asciiTheme="majorHAnsi" w:hAnsiTheme="majorHAnsi" w:cstheme="majorHAnsi"/>
          <w:b/>
          <w:bCs/>
          <w:color w:val="2C2D5B"/>
        </w:rPr>
        <w:t>if they correspond to objectives of general interest</w:t>
      </w:r>
      <w:r w:rsidR="00747C7E" w:rsidRPr="002473AB">
        <w:rPr>
          <w:rFonts w:asciiTheme="majorHAnsi" w:hAnsiTheme="majorHAnsi" w:cstheme="majorHAnsi"/>
          <w:color w:val="2C2D5B"/>
        </w:rPr>
        <w:t xml:space="preserve"> or </w:t>
      </w:r>
      <w:r w:rsidR="00747C7E" w:rsidRPr="002473AB">
        <w:rPr>
          <w:rFonts w:asciiTheme="majorHAnsi" w:hAnsiTheme="majorHAnsi" w:cstheme="majorHAnsi"/>
          <w:b/>
          <w:bCs/>
          <w:color w:val="2C2D5B"/>
        </w:rPr>
        <w:t>to the need to protect the rights and freedoms of others</w:t>
      </w:r>
      <w:r w:rsidR="00747C7E" w:rsidRPr="002473AB">
        <w:rPr>
          <w:rFonts w:asciiTheme="majorHAnsi" w:hAnsiTheme="majorHAnsi" w:cstheme="majorHAnsi"/>
          <w:color w:val="2C2D5B"/>
        </w:rPr>
        <w:t xml:space="preserve">. </w:t>
      </w:r>
    </w:p>
    <w:p w14:paraId="7A3DB1F1" w14:textId="77777777" w:rsidR="00C9095E" w:rsidRDefault="00C9095E" w:rsidP="005C3034">
      <w:pPr>
        <w:spacing w:line="276" w:lineRule="auto"/>
        <w:jc w:val="both"/>
        <w:rPr>
          <w:rFonts w:ascii="Calibri" w:hAnsi="Calibri" w:cs="Calibri"/>
        </w:rPr>
      </w:pPr>
    </w:p>
    <w:p w14:paraId="5869E285" w14:textId="2F01284A" w:rsidR="00C9095E" w:rsidRDefault="00C9095E" w:rsidP="005C3034">
      <w:pPr>
        <w:spacing w:line="276" w:lineRule="auto"/>
        <w:jc w:val="both"/>
        <w:rPr>
          <w:rFonts w:ascii="Calibri" w:hAnsi="Calibri" w:cs="Calibri"/>
        </w:rPr>
      </w:pPr>
    </w:p>
    <w:p w14:paraId="086B8CEC" w14:textId="77777777" w:rsidR="00C9095E" w:rsidRDefault="00C9095E" w:rsidP="005C3034">
      <w:pPr>
        <w:spacing w:line="276" w:lineRule="auto"/>
        <w:jc w:val="both"/>
        <w:rPr>
          <w:rFonts w:ascii="Calibri" w:hAnsi="Calibri" w:cs="Calibri"/>
        </w:rPr>
      </w:pPr>
    </w:p>
    <w:p w14:paraId="164831FF" w14:textId="77777777" w:rsidR="00C9095E" w:rsidRDefault="00C9095E" w:rsidP="005C3034">
      <w:pPr>
        <w:spacing w:line="276" w:lineRule="auto"/>
        <w:jc w:val="both"/>
        <w:rPr>
          <w:rFonts w:ascii="Calibri" w:hAnsi="Calibri" w:cs="Calibri"/>
        </w:rPr>
      </w:pPr>
    </w:p>
    <w:p w14:paraId="67C28734" w14:textId="77777777" w:rsidR="00C9095E" w:rsidRDefault="00C9095E" w:rsidP="005C3034">
      <w:pPr>
        <w:spacing w:line="276" w:lineRule="auto"/>
        <w:jc w:val="both"/>
        <w:rPr>
          <w:rFonts w:ascii="Calibri" w:hAnsi="Calibri" w:cs="Calibri"/>
        </w:rPr>
      </w:pPr>
    </w:p>
    <w:p w14:paraId="50C92635" w14:textId="5C8B3108" w:rsidR="00C9095E" w:rsidRDefault="00C9095E" w:rsidP="005C3034">
      <w:pPr>
        <w:spacing w:line="276" w:lineRule="auto"/>
        <w:jc w:val="both"/>
        <w:rPr>
          <w:rFonts w:ascii="Calibri" w:hAnsi="Calibri" w:cs="Calibri"/>
        </w:rPr>
      </w:pPr>
    </w:p>
    <w:p w14:paraId="52AB6925" w14:textId="14152758" w:rsidR="00C9095E" w:rsidRDefault="00C9095E" w:rsidP="005C3034">
      <w:pPr>
        <w:spacing w:line="276" w:lineRule="auto"/>
        <w:jc w:val="both"/>
        <w:rPr>
          <w:rFonts w:ascii="Calibri" w:hAnsi="Calibri" w:cs="Calibri"/>
        </w:rPr>
      </w:pPr>
    </w:p>
    <w:p w14:paraId="7ACFDBF1" w14:textId="77777777" w:rsidR="00C9095E" w:rsidRDefault="00C9095E" w:rsidP="005C3034">
      <w:pPr>
        <w:spacing w:line="276" w:lineRule="auto"/>
        <w:jc w:val="both"/>
        <w:rPr>
          <w:rFonts w:ascii="Calibri" w:hAnsi="Calibri" w:cs="Calibri"/>
        </w:rPr>
      </w:pPr>
    </w:p>
    <w:p w14:paraId="0C4B4436" w14:textId="77777777" w:rsidR="00C9095E" w:rsidRDefault="00C9095E" w:rsidP="005C3034">
      <w:pPr>
        <w:spacing w:line="276" w:lineRule="auto"/>
        <w:jc w:val="both"/>
        <w:rPr>
          <w:rFonts w:ascii="Calibri" w:hAnsi="Calibri" w:cs="Calibri"/>
        </w:rPr>
      </w:pPr>
    </w:p>
    <w:p w14:paraId="7AB0BD09" w14:textId="77777777" w:rsidR="00C9095E" w:rsidRDefault="00C9095E" w:rsidP="005C3034">
      <w:pPr>
        <w:spacing w:line="276" w:lineRule="auto"/>
        <w:jc w:val="both"/>
        <w:rPr>
          <w:rFonts w:ascii="Calibri" w:hAnsi="Calibri" w:cs="Calibri"/>
        </w:rPr>
      </w:pPr>
    </w:p>
    <w:p w14:paraId="63C48E88" w14:textId="77777777" w:rsidR="00C9095E" w:rsidRDefault="00C9095E" w:rsidP="005C3034">
      <w:pPr>
        <w:spacing w:line="276" w:lineRule="auto"/>
        <w:jc w:val="both"/>
        <w:rPr>
          <w:rFonts w:ascii="Calibri" w:hAnsi="Calibri" w:cs="Calibri"/>
        </w:rPr>
      </w:pPr>
    </w:p>
    <w:p w14:paraId="4D559E8B" w14:textId="77777777" w:rsidR="00C9095E" w:rsidRDefault="00C9095E" w:rsidP="005C3034">
      <w:pPr>
        <w:spacing w:line="276" w:lineRule="auto"/>
        <w:jc w:val="both"/>
        <w:rPr>
          <w:rFonts w:ascii="Calibri" w:hAnsi="Calibri" w:cs="Calibri"/>
        </w:rPr>
      </w:pPr>
    </w:p>
    <w:p w14:paraId="0D6AFDE0" w14:textId="77777777" w:rsidR="00C9095E" w:rsidRDefault="00C9095E" w:rsidP="005C3034">
      <w:pPr>
        <w:spacing w:line="276" w:lineRule="auto"/>
        <w:jc w:val="both"/>
        <w:rPr>
          <w:rFonts w:ascii="Calibri" w:hAnsi="Calibri" w:cs="Calibri"/>
        </w:rPr>
      </w:pPr>
    </w:p>
    <w:p w14:paraId="2014CA6F" w14:textId="6603CB69" w:rsidR="00C9095E" w:rsidRDefault="00C9095E" w:rsidP="005C3034">
      <w:pPr>
        <w:spacing w:line="276" w:lineRule="auto"/>
        <w:jc w:val="both"/>
        <w:rPr>
          <w:rFonts w:ascii="Calibri" w:hAnsi="Calibri" w:cs="Calibri"/>
        </w:rPr>
      </w:pPr>
    </w:p>
    <w:p w14:paraId="0D8C29F1" w14:textId="1D8199E8" w:rsidR="005C3034" w:rsidRPr="002361D7" w:rsidRDefault="005C3034" w:rsidP="00EC2273">
      <w:pPr>
        <w:spacing w:line="276" w:lineRule="auto"/>
        <w:jc w:val="both"/>
        <w:rPr>
          <w:rFonts w:ascii="Calibri" w:hAnsi="Calibri" w:cs="Calibri"/>
          <w:sz w:val="16"/>
          <w:szCs w:val="16"/>
        </w:rPr>
      </w:pPr>
    </w:p>
    <w:p w14:paraId="28334171" w14:textId="501A52EC" w:rsidR="002361D7" w:rsidRDefault="00C53280" w:rsidP="00EC2273">
      <w:pPr>
        <w:spacing w:line="276" w:lineRule="auto"/>
        <w:jc w:val="both"/>
        <w:rPr>
          <w:rFonts w:asciiTheme="majorHAnsi" w:hAnsiTheme="majorHAnsi" w:cstheme="majorHAnsi"/>
          <w:color w:val="2C2D5B"/>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34720" behindDoc="0" locked="0" layoutInCell="1" allowOverlap="1" wp14:anchorId="477E6A47" wp14:editId="13FC397F">
            <wp:simplePos x="0" y="0"/>
            <wp:positionH relativeFrom="column">
              <wp:posOffset>5034845</wp:posOffset>
            </wp:positionH>
            <wp:positionV relativeFrom="paragraph">
              <wp:posOffset>259786</wp:posOffset>
            </wp:positionV>
            <wp:extent cx="713105" cy="575310"/>
            <wp:effectExtent l="0" t="0" r="0" b="0"/>
            <wp:wrapNone/>
            <wp:docPr id="1525065805"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002361D7" w:rsidRPr="005A6959">
        <w:rPr>
          <w:rFonts w:ascii="Calibri" w:hAnsi="Calibri" w:cs="Calibri"/>
          <w:noProof/>
        </w:rPr>
        <mc:AlternateContent>
          <mc:Choice Requires="wps">
            <w:drawing>
              <wp:anchor distT="45720" distB="45720" distL="114300" distR="114300" simplePos="0" relativeHeight="251740160" behindDoc="0" locked="0" layoutInCell="1" allowOverlap="1" wp14:anchorId="3B7A7606" wp14:editId="25B7F5CB">
                <wp:simplePos x="0" y="0"/>
                <wp:positionH relativeFrom="margin">
                  <wp:posOffset>59690</wp:posOffset>
                </wp:positionH>
                <wp:positionV relativeFrom="paragraph">
                  <wp:posOffset>416560</wp:posOffset>
                </wp:positionV>
                <wp:extent cx="5372100" cy="3386455"/>
                <wp:effectExtent l="0" t="0" r="19050" b="23495"/>
                <wp:wrapSquare wrapText="bothSides"/>
                <wp:docPr id="93682990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3386455"/>
                        </a:xfrm>
                        <a:prstGeom prst="roundRect">
                          <a:avLst/>
                        </a:prstGeom>
                        <a:solidFill>
                          <a:schemeClr val="bg1"/>
                        </a:solidFill>
                        <a:ln w="19050">
                          <a:solidFill>
                            <a:srgbClr val="B6A04C"/>
                          </a:solidFill>
                          <a:miter lim="800000"/>
                          <a:headEnd/>
                          <a:tailEnd/>
                        </a:ln>
                      </wps:spPr>
                      <wps:txbx>
                        <w:txbxContent>
                          <w:p w14:paraId="1C3491B2" w14:textId="58A6BA6C" w:rsidR="005C3034" w:rsidRPr="00C9095E" w:rsidRDefault="005C3034" w:rsidP="00C9095E">
                            <w:pPr>
                              <w:spacing w:line="276" w:lineRule="auto"/>
                              <w:jc w:val="center"/>
                              <w:rPr>
                                <w:rFonts w:asciiTheme="minorHAnsi" w:hAnsiTheme="minorHAnsi" w:cstheme="minorHAnsi"/>
                                <w:b/>
                                <w:color w:val="B6A04C"/>
                                <w:sz w:val="20"/>
                                <w:szCs w:val="20"/>
                                <w:lang w:val="de-DE"/>
                              </w:rPr>
                            </w:pPr>
                            <w:hyperlink r:id="rId36" w:history="1">
                              <w:r w:rsidRPr="00C9095E">
                                <w:rPr>
                                  <w:rStyle w:val="Hypertextovodkaz"/>
                                  <w:rFonts w:asciiTheme="minorHAnsi" w:hAnsiTheme="minorHAnsi" w:cstheme="minorHAnsi"/>
                                  <w:b/>
                                  <w:color w:val="B6A04C"/>
                                  <w:sz w:val="20"/>
                                  <w:szCs w:val="20"/>
                                  <w:lang w:val="de-DE"/>
                                </w:rPr>
                                <w:t xml:space="preserve">CJEU, Grd. Ch., 21 october 2022, </w:t>
                              </w:r>
                              <w:r w:rsidRPr="00C9095E">
                                <w:rPr>
                                  <w:rStyle w:val="Hypertextovodkaz"/>
                                  <w:rFonts w:asciiTheme="minorHAnsi" w:hAnsiTheme="minorHAnsi" w:cstheme="minorHAnsi"/>
                                  <w:b/>
                                  <w:i/>
                                  <w:color w:val="B6A04C"/>
                                  <w:sz w:val="20"/>
                                  <w:szCs w:val="20"/>
                                  <w:lang w:val="de-DE"/>
                                </w:rPr>
                                <w:t>Bundesrepublik Deutschland v SpaceNet AG, Telekom Deutschland GmbH</w:t>
                              </w:r>
                              <w:r w:rsidRPr="00C9095E">
                                <w:rPr>
                                  <w:rStyle w:val="Hypertextovodkaz"/>
                                  <w:rFonts w:asciiTheme="minorHAnsi" w:hAnsiTheme="minorHAnsi" w:cstheme="minorHAnsi"/>
                                  <w:b/>
                                  <w:color w:val="B6A04C"/>
                                  <w:sz w:val="20"/>
                                  <w:szCs w:val="20"/>
                                  <w:lang w:val="de-DE"/>
                                </w:rPr>
                                <w:t xml:space="preserve">, C-793/19 and C-749/19, </w:t>
                              </w:r>
                              <w:r w:rsidRPr="00C9095E">
                                <w:rPr>
                                  <w:rStyle w:val="Hypertextovodkaz"/>
                                  <w:rFonts w:asciiTheme="minorHAnsi" w:hAnsiTheme="minorHAnsi" w:cstheme="minorHAnsi"/>
                                  <w:b/>
                                  <w:color w:val="B6A04C"/>
                                  <w:sz w:val="20"/>
                                  <w:szCs w:val="20"/>
                                  <w:lang w:val="de-DE" w:eastAsia="ca-ES"/>
                                </w:rPr>
                                <w:t>ECLI:EU:</w:t>
                              </w:r>
                              <w:r w:rsidRPr="00C9095E">
                                <w:rPr>
                                  <w:rStyle w:val="Hypertextovodkaz"/>
                                  <w:rFonts w:asciiTheme="minorHAnsi" w:hAnsiTheme="minorHAnsi" w:cstheme="minorHAnsi"/>
                                  <w:b/>
                                  <w:color w:val="B6A04C"/>
                                  <w:sz w:val="20"/>
                                  <w:szCs w:val="20"/>
                                  <w:lang w:val="de-DE"/>
                                </w:rPr>
                                <w:t xml:space="preserve"> C:2022:702</w:t>
                              </w:r>
                            </w:hyperlink>
                          </w:p>
                          <w:p w14:paraId="27C60A25" w14:textId="77777777" w:rsidR="005C3034" w:rsidRPr="00856642" w:rsidRDefault="005C3034" w:rsidP="005C3034">
                            <w:pPr>
                              <w:spacing w:line="276" w:lineRule="auto"/>
                              <w:jc w:val="right"/>
                              <w:rPr>
                                <w:rFonts w:asciiTheme="minorHAnsi" w:hAnsiTheme="minorHAnsi" w:cstheme="minorHAnsi"/>
                                <w:sz w:val="20"/>
                                <w:szCs w:val="20"/>
                                <w:lang w:val="de-DE"/>
                              </w:rPr>
                            </w:pPr>
                          </w:p>
                          <w:p w14:paraId="076D03F8" w14:textId="0F4AA09F" w:rsidR="005C3034" w:rsidRPr="00C9095E" w:rsidRDefault="005C3034" w:rsidP="005C3034">
                            <w:pPr>
                              <w:spacing w:line="276" w:lineRule="auto"/>
                              <w:jc w:val="both"/>
                              <w:rPr>
                                <w:rFonts w:asciiTheme="minorHAnsi" w:hAnsiTheme="minorHAnsi" w:cstheme="minorHAnsi"/>
                                <w:b/>
                                <w:bCs/>
                                <w:color w:val="2C2D5B"/>
                                <w:sz w:val="20"/>
                                <w:szCs w:val="20"/>
                              </w:rPr>
                            </w:pPr>
                            <w:r w:rsidRPr="00C9095E">
                              <w:rPr>
                                <w:rFonts w:asciiTheme="minorHAnsi" w:hAnsiTheme="minorHAnsi" w:cstheme="minorHAnsi"/>
                                <w:b/>
                                <w:bCs/>
                                <w:color w:val="2C2D5B"/>
                                <w:sz w:val="20"/>
                                <w:szCs w:val="20"/>
                              </w:rPr>
                              <w:t>Facts</w:t>
                            </w:r>
                            <w:r w:rsidR="00C9095E" w:rsidRPr="00C9095E">
                              <w:rPr>
                                <w:rFonts w:asciiTheme="minorHAnsi" w:hAnsiTheme="minorHAnsi" w:cstheme="minorHAnsi"/>
                                <w:b/>
                                <w:bCs/>
                                <w:color w:val="2C2D5B"/>
                                <w:sz w:val="20"/>
                                <w:szCs w:val="20"/>
                              </w:rPr>
                              <w:t xml:space="preserve"> </w:t>
                            </w:r>
                            <w:r w:rsidRPr="00C9095E">
                              <w:rPr>
                                <w:rFonts w:asciiTheme="minorHAnsi" w:hAnsiTheme="minorHAnsi" w:cstheme="minorHAnsi"/>
                                <w:b/>
                                <w:bCs/>
                                <w:color w:val="2C2D5B"/>
                                <w:sz w:val="20"/>
                                <w:szCs w:val="20"/>
                              </w:rPr>
                              <w:t xml:space="preserve">: </w:t>
                            </w:r>
                          </w:p>
                          <w:p w14:paraId="737FF4EC" w14:textId="238B95A2" w:rsidR="005C3034" w:rsidRPr="00C9095E" w:rsidRDefault="005C3034" w:rsidP="005C3034">
                            <w:pPr>
                              <w:spacing w:line="276" w:lineRule="auto"/>
                              <w:jc w:val="both"/>
                              <w:rPr>
                                <w:rFonts w:asciiTheme="minorHAnsi" w:hAnsiTheme="minorHAnsi" w:cstheme="minorHAnsi"/>
                                <w:color w:val="2C2D5B"/>
                                <w:sz w:val="20"/>
                                <w:szCs w:val="20"/>
                              </w:rPr>
                            </w:pPr>
                            <w:r w:rsidRPr="00C9095E">
                              <w:rPr>
                                <w:rFonts w:asciiTheme="minorHAnsi" w:hAnsiTheme="minorHAnsi" w:cstheme="minorHAnsi"/>
                                <w:color w:val="2C2D5B"/>
                                <w:sz w:val="20"/>
                                <w:szCs w:val="20"/>
                              </w:rPr>
                              <w:t xml:space="preserve">The case examined </w:t>
                            </w:r>
                            <w:r w:rsidR="00D97D5D" w:rsidRPr="00C9095E">
                              <w:rPr>
                                <w:rFonts w:asciiTheme="minorHAnsi" w:hAnsiTheme="minorHAnsi" w:cstheme="minorHAnsi"/>
                                <w:color w:val="2C2D5B"/>
                                <w:sz w:val="20"/>
                                <w:szCs w:val="20"/>
                              </w:rPr>
                              <w:t xml:space="preserve">whether national laws requiring telecommunications companies to retain customers’ data for prosecuting serious crimes or addressing national security threats violated  Charter rights. </w:t>
                            </w:r>
                          </w:p>
                          <w:p w14:paraId="53BA2899" w14:textId="77777777" w:rsidR="00D97D5D" w:rsidRPr="00C9095E" w:rsidRDefault="00D97D5D" w:rsidP="005C3034">
                            <w:pPr>
                              <w:spacing w:line="276" w:lineRule="auto"/>
                              <w:jc w:val="both"/>
                              <w:rPr>
                                <w:rFonts w:asciiTheme="minorHAnsi" w:hAnsiTheme="minorHAnsi" w:cstheme="minorHAnsi"/>
                                <w:color w:val="2C2D5B"/>
                                <w:sz w:val="20"/>
                                <w:szCs w:val="20"/>
                              </w:rPr>
                            </w:pPr>
                          </w:p>
                          <w:p w14:paraId="5CD045CF" w14:textId="3D00B001" w:rsidR="00D97D5D" w:rsidRPr="00C9095E" w:rsidRDefault="00D97D5D" w:rsidP="005C3034">
                            <w:pPr>
                              <w:spacing w:line="276" w:lineRule="auto"/>
                              <w:jc w:val="both"/>
                              <w:rPr>
                                <w:rFonts w:asciiTheme="minorHAnsi" w:hAnsiTheme="minorHAnsi" w:cstheme="minorHAnsi"/>
                                <w:color w:val="2C2D5B"/>
                                <w:sz w:val="20"/>
                                <w:szCs w:val="20"/>
                              </w:rPr>
                            </w:pPr>
                            <w:r w:rsidRPr="00C9095E">
                              <w:rPr>
                                <w:rFonts w:asciiTheme="minorHAnsi" w:hAnsiTheme="minorHAnsi" w:cstheme="minorHAnsi"/>
                                <w:b/>
                                <w:bCs/>
                                <w:color w:val="2C2D5B"/>
                                <w:sz w:val="20"/>
                                <w:szCs w:val="20"/>
                              </w:rPr>
                              <w:t>Ruling</w:t>
                            </w:r>
                            <w:r w:rsidR="00C9095E" w:rsidRPr="00C9095E">
                              <w:rPr>
                                <w:rFonts w:asciiTheme="minorHAnsi" w:hAnsiTheme="minorHAnsi" w:cstheme="minorHAnsi"/>
                                <w:b/>
                                <w:bCs/>
                                <w:color w:val="2C2D5B"/>
                                <w:sz w:val="20"/>
                                <w:szCs w:val="20"/>
                              </w:rPr>
                              <w:t xml:space="preserve"> </w:t>
                            </w:r>
                            <w:r w:rsidRPr="00C9095E">
                              <w:rPr>
                                <w:rFonts w:asciiTheme="minorHAnsi" w:hAnsiTheme="minorHAnsi" w:cstheme="minorHAnsi"/>
                                <w:b/>
                                <w:bCs/>
                                <w:color w:val="2C2D5B"/>
                                <w:sz w:val="20"/>
                                <w:szCs w:val="20"/>
                              </w:rPr>
                              <w:t xml:space="preserve">: </w:t>
                            </w:r>
                          </w:p>
                          <w:p w14:paraId="7CD8D25D" w14:textId="7499DC05" w:rsidR="005C3034" w:rsidRPr="00C9095E" w:rsidRDefault="00D97D5D" w:rsidP="00327D5A">
                            <w:pPr>
                              <w:spacing w:line="276" w:lineRule="auto"/>
                              <w:jc w:val="both"/>
                              <w:rPr>
                                <w:rFonts w:asciiTheme="minorHAnsi" w:hAnsiTheme="minorHAnsi" w:cstheme="minorHAnsi"/>
                                <w:color w:val="2C2D5B"/>
                                <w:sz w:val="20"/>
                                <w:szCs w:val="20"/>
                              </w:rPr>
                            </w:pPr>
                            <w:r w:rsidRPr="00C9095E">
                              <w:rPr>
                                <w:rFonts w:asciiTheme="minorHAnsi" w:hAnsiTheme="minorHAnsi" w:cstheme="minorHAnsi"/>
                                <w:color w:val="2C2D5B"/>
                                <w:sz w:val="20"/>
                                <w:szCs w:val="20"/>
                              </w:rPr>
                              <w:t xml:space="preserve">The CJEU held that </w:t>
                            </w:r>
                            <w:r w:rsidRPr="00C9095E">
                              <w:rPr>
                                <w:rFonts w:asciiTheme="minorHAnsi" w:hAnsiTheme="minorHAnsi" w:cstheme="minorHAnsi"/>
                                <w:b/>
                                <w:bCs/>
                                <w:color w:val="2C2D5B"/>
                                <w:sz w:val="20"/>
                                <w:szCs w:val="20"/>
                              </w:rPr>
                              <w:t>Articles 7, 8 and 11 of the Charter</w:t>
                            </w:r>
                            <w:r w:rsidRPr="00C9095E">
                              <w:rPr>
                                <w:rFonts w:asciiTheme="minorHAnsi" w:hAnsiTheme="minorHAnsi" w:cstheme="minorHAnsi"/>
                                <w:color w:val="2C2D5B"/>
                                <w:sz w:val="20"/>
                                <w:szCs w:val="20"/>
                              </w:rPr>
                              <w:t xml:space="preserve">, while fundamental, are not absolute rights, but </w:t>
                            </w:r>
                            <w:r w:rsidR="005C3034" w:rsidRPr="00C9095E">
                              <w:rPr>
                                <w:rFonts w:asciiTheme="minorHAnsi" w:hAnsiTheme="minorHAnsi" w:cstheme="minorHAnsi"/>
                                <w:color w:val="2C2D5B"/>
                                <w:sz w:val="20"/>
                                <w:szCs w:val="20"/>
                              </w:rPr>
                              <w:t xml:space="preserve">must be considered in relation to their function in society. </w:t>
                            </w:r>
                            <w:r w:rsidRPr="00C9095E">
                              <w:rPr>
                                <w:rFonts w:asciiTheme="minorHAnsi" w:hAnsiTheme="minorHAnsi" w:cstheme="minorHAnsi"/>
                                <w:color w:val="2C2D5B"/>
                                <w:sz w:val="20"/>
                                <w:szCs w:val="20"/>
                              </w:rPr>
                              <w:t xml:space="preserve">Per </w:t>
                            </w:r>
                            <w:r w:rsidR="005C3034" w:rsidRPr="00C9095E">
                              <w:rPr>
                                <w:rFonts w:asciiTheme="minorHAnsi" w:hAnsiTheme="minorHAnsi" w:cstheme="minorHAnsi"/>
                                <w:color w:val="2C2D5B"/>
                                <w:sz w:val="20"/>
                                <w:szCs w:val="20"/>
                              </w:rPr>
                              <w:t>Article 52(1) of the Charter, limitations</w:t>
                            </w:r>
                            <w:r w:rsidRPr="00C9095E">
                              <w:rPr>
                                <w:rFonts w:asciiTheme="minorHAnsi" w:hAnsiTheme="minorHAnsi" w:cstheme="minorHAnsi"/>
                                <w:color w:val="2C2D5B"/>
                                <w:sz w:val="20"/>
                                <w:szCs w:val="20"/>
                              </w:rPr>
                              <w:t xml:space="preserve"> may</w:t>
                            </w:r>
                            <w:r w:rsidR="005C3034" w:rsidRPr="00C9095E">
                              <w:rPr>
                                <w:rFonts w:asciiTheme="minorHAnsi" w:hAnsiTheme="minorHAnsi" w:cstheme="minorHAnsi"/>
                                <w:color w:val="2C2D5B"/>
                                <w:sz w:val="20"/>
                                <w:szCs w:val="20"/>
                              </w:rPr>
                              <w:t xml:space="preserve"> be placed on the exercise of those rights, </w:t>
                            </w:r>
                            <w:r w:rsidRPr="00C9095E">
                              <w:rPr>
                                <w:rFonts w:asciiTheme="minorHAnsi" w:hAnsiTheme="minorHAnsi" w:cstheme="minorHAnsi"/>
                                <w:color w:val="2C2D5B"/>
                                <w:sz w:val="20"/>
                                <w:szCs w:val="20"/>
                              </w:rPr>
                              <w:t xml:space="preserve">if </w:t>
                            </w:r>
                            <w:r w:rsidR="005C3034" w:rsidRPr="00C9095E">
                              <w:rPr>
                                <w:rFonts w:asciiTheme="minorHAnsi" w:hAnsiTheme="minorHAnsi" w:cstheme="minorHAnsi"/>
                                <w:color w:val="2C2D5B"/>
                                <w:sz w:val="20"/>
                                <w:szCs w:val="20"/>
                              </w:rPr>
                              <w:t>those limitations are provided for by law, that they respect the essence of th</w:t>
                            </w:r>
                            <w:r w:rsidRPr="00C9095E">
                              <w:rPr>
                                <w:rFonts w:asciiTheme="minorHAnsi" w:hAnsiTheme="minorHAnsi" w:cstheme="minorHAnsi"/>
                                <w:color w:val="2C2D5B"/>
                                <w:sz w:val="20"/>
                                <w:szCs w:val="20"/>
                              </w:rPr>
                              <w:t xml:space="preserve">e </w:t>
                            </w:r>
                            <w:r w:rsidR="005C3034" w:rsidRPr="00C9095E">
                              <w:rPr>
                                <w:rFonts w:asciiTheme="minorHAnsi" w:hAnsiTheme="minorHAnsi" w:cstheme="minorHAnsi"/>
                                <w:color w:val="2C2D5B"/>
                                <w:sz w:val="20"/>
                                <w:szCs w:val="20"/>
                              </w:rPr>
                              <w:t>rights and that, in compliance with the principle of proportionality, they are necessary and genuinely meet objectives of general interest recognised by the European Union or the need to protect the rights and freedoms of others.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3B7A7606" id="_x0000_s1045" style="position:absolute;left:0;text-align:left;margin-left:4.7pt;margin-top:32.8pt;width:423pt;height:266.65pt;z-index:2517401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VCzIgIAAC0EAAAOAAAAZHJzL2Uyb0RvYy54bWysU8tu2zAQvBfoPxC815KfcQTLgeM0RYH0&#10;gab9AIqiJKIUlyVpS+7Xd0kpjpPeiupAcLXk7OzscHPTt4ochXUSdE6nk5QSoTmUUtc5/fH9/t2a&#10;EueZLpkCLXJ6Eo7ebN++2XQmEzNoQJXCEgTRLutMThvvTZYkjjeiZW4CRmhMVmBb5jG0dVJa1iF6&#10;q5JZmq6SDmxpLHDhHP69G5J0G/GrSnD/paqc8ETlFLn5uNq4FmFNthuW1ZaZRvKRBvsHFi2TGoue&#10;oe6YZ+Rg5V9QreQWHFR+wqFNoKokF7EH7GaavurmsWFGxF5QHGfOMrn/B8s/Hx/NV0t8fws9DjA2&#10;4cwD8J+OaNg3TNdiZy10jWAlFp4GyZLOuGy8GqR2mQsgRfcJShwyO3iIQH1l26AK9kkQHQdwOosu&#10;ek84/lzOr2bTFFMcc/P5erVYLmMNlj1dN9b5DwJaEjY5tXDQ5TccbazBjg/OB04sezoXSjpQsryX&#10;SsUg2EnslSVHhkYo6qGLV6eUJh02eJ0u00GGFxC2Ls4At6tdutiPLF9UaqVHPyvZ5nSdhm9wWBDv&#10;vS6j2zyTatgjZaVHNYOAg5S+L3oiy8AkXA7qFlCeUF8Lg3/xveGmAfubkg69m1P368CsoER91Dij&#10;6+liEcweg8XyaoaBvcwUlxmmOULl1FMybPc+PpAgnIYdzrKSUeBnJiNn9GTUfXw/wfSXcTz1/Mq3&#10;fwAAAP//AwBQSwMEFAAGAAgAAAAhAB9+zundAAAACAEAAA8AAABkcnMvZG93bnJldi54bWxMj8FO&#10;wzAQRO9I/IO1SNyoA2oiJ41TRZW4cGtoD9yc2MQp8TqK3TT8PcsJjrMzmnlb7lc3ssXMYfAo4XmT&#10;ADPYeT1gL+H0/vokgIWoUKvRo5HwbQLsq/u7UhXa3/Bolib2jEowFEqCjXEqOA+dNU6FjZ8Mkvfp&#10;Z6ciybnnelY3Kncjf0mSjDs1IC1YNZmDNd1Xc3USltMxrcXhY9vYM7/kb7VohRNSPj6s9Q5YNGv8&#10;C8MvPqFDRUytv6IObJSQbykoIUszYGSLNKVDKyHNRQ68Kvn/B6ofAAAA//8DAFBLAQItABQABgAI&#10;AAAAIQC2gziS/gAAAOEBAAATAAAAAAAAAAAAAAAAAAAAAABbQ29udGVudF9UeXBlc10ueG1sUEsB&#10;Ai0AFAAGAAgAAAAhADj9If/WAAAAlAEAAAsAAAAAAAAAAAAAAAAALwEAAF9yZWxzLy5yZWxzUEsB&#10;Ai0AFAAGAAgAAAAhAG1hULMiAgAALQQAAA4AAAAAAAAAAAAAAAAALgIAAGRycy9lMm9Eb2MueG1s&#10;UEsBAi0AFAAGAAgAAAAhAB9+zundAAAACAEAAA8AAAAAAAAAAAAAAAAAfAQAAGRycy9kb3ducmV2&#10;LnhtbFBLBQYAAAAABAAEAPMAAACGBQAAAAA=&#10;" fillcolor="white [3212]" strokecolor="#b6a04c" strokeweight="1.5pt">
                <v:stroke joinstyle="miter"/>
                <v:textbox>
                  <w:txbxContent>
                    <w:p w14:paraId="1C3491B2" w14:textId="58A6BA6C" w:rsidR="005C3034" w:rsidRPr="00C9095E" w:rsidRDefault="005C3034" w:rsidP="00C9095E">
                      <w:pPr>
                        <w:spacing w:line="276" w:lineRule="auto"/>
                        <w:jc w:val="center"/>
                        <w:rPr>
                          <w:rFonts w:asciiTheme="minorHAnsi" w:hAnsiTheme="minorHAnsi" w:cstheme="minorHAnsi"/>
                          <w:b/>
                          <w:color w:val="B6A04C"/>
                          <w:sz w:val="20"/>
                          <w:szCs w:val="20"/>
                          <w:lang w:val="de-DE"/>
                        </w:rPr>
                      </w:pPr>
                      <w:r>
                        <w:fldChar w:fldCharType="begin"/>
                      </w:r>
                      <w:r w:rsidRPr="00E57DB6">
                        <w:rPr>
                          <w:lang w:val="de-DE"/>
                        </w:rPr>
                        <w:instrText>HYPERLINK "https://eur-lex.europa.eu/legal-content/EN/TXT/?uri=ecli%3AECLI%3AEU%3AC%3A2022%3A702"</w:instrText>
                      </w:r>
                      <w:r>
                        <w:fldChar w:fldCharType="separate"/>
                      </w:r>
                      <w:r w:rsidRPr="00C9095E">
                        <w:rPr>
                          <w:rStyle w:val="Lienhypertexte"/>
                          <w:rFonts w:asciiTheme="minorHAnsi" w:hAnsiTheme="minorHAnsi" w:cstheme="minorHAnsi"/>
                          <w:b/>
                          <w:color w:val="B6A04C"/>
                          <w:sz w:val="20"/>
                          <w:szCs w:val="20"/>
                          <w:lang w:val="de-DE"/>
                        </w:rPr>
                        <w:t xml:space="preserve">CJEU, Grd. Ch., 21 october 2022, </w:t>
                      </w:r>
                      <w:r w:rsidRPr="00C9095E">
                        <w:rPr>
                          <w:rStyle w:val="Lienhypertexte"/>
                          <w:rFonts w:asciiTheme="minorHAnsi" w:hAnsiTheme="minorHAnsi" w:cstheme="minorHAnsi"/>
                          <w:b/>
                          <w:i/>
                          <w:color w:val="B6A04C"/>
                          <w:sz w:val="20"/>
                          <w:szCs w:val="20"/>
                          <w:lang w:val="de-DE"/>
                        </w:rPr>
                        <w:t>Bundesrepublik Deutschland v SpaceNet AG, Telekom Deutschland GmbH</w:t>
                      </w:r>
                      <w:r w:rsidRPr="00C9095E">
                        <w:rPr>
                          <w:rStyle w:val="Lienhypertexte"/>
                          <w:rFonts w:asciiTheme="minorHAnsi" w:hAnsiTheme="minorHAnsi" w:cstheme="minorHAnsi"/>
                          <w:b/>
                          <w:color w:val="B6A04C"/>
                          <w:sz w:val="20"/>
                          <w:szCs w:val="20"/>
                          <w:lang w:val="de-DE"/>
                        </w:rPr>
                        <w:t xml:space="preserve">, C-793/19 and C-749/19, </w:t>
                      </w:r>
                      <w:r w:rsidRPr="00C9095E">
                        <w:rPr>
                          <w:rStyle w:val="Lienhypertexte"/>
                          <w:rFonts w:asciiTheme="minorHAnsi" w:hAnsiTheme="minorHAnsi" w:cstheme="minorHAnsi"/>
                          <w:b/>
                          <w:color w:val="B6A04C"/>
                          <w:sz w:val="20"/>
                          <w:szCs w:val="20"/>
                          <w:lang w:val="de-DE" w:eastAsia="ca-ES"/>
                        </w:rPr>
                        <w:t>ECLI:EU:</w:t>
                      </w:r>
                      <w:r w:rsidRPr="00C9095E">
                        <w:rPr>
                          <w:rStyle w:val="Lienhypertexte"/>
                          <w:rFonts w:asciiTheme="minorHAnsi" w:hAnsiTheme="minorHAnsi" w:cstheme="minorHAnsi"/>
                          <w:b/>
                          <w:color w:val="B6A04C"/>
                          <w:sz w:val="20"/>
                          <w:szCs w:val="20"/>
                          <w:lang w:val="de-DE"/>
                        </w:rPr>
                        <w:t xml:space="preserve"> C:2022:702</w:t>
                      </w:r>
                      <w:r>
                        <w:fldChar w:fldCharType="end"/>
                      </w:r>
                    </w:p>
                    <w:p w14:paraId="27C60A25" w14:textId="77777777" w:rsidR="005C3034" w:rsidRPr="00856642" w:rsidRDefault="005C3034" w:rsidP="005C3034">
                      <w:pPr>
                        <w:spacing w:line="276" w:lineRule="auto"/>
                        <w:jc w:val="right"/>
                        <w:rPr>
                          <w:rFonts w:asciiTheme="minorHAnsi" w:hAnsiTheme="minorHAnsi" w:cstheme="minorHAnsi"/>
                          <w:sz w:val="20"/>
                          <w:szCs w:val="20"/>
                          <w:lang w:val="de-DE"/>
                        </w:rPr>
                      </w:pPr>
                    </w:p>
                    <w:p w14:paraId="076D03F8" w14:textId="0F4AA09F" w:rsidR="005C3034" w:rsidRPr="00C9095E" w:rsidRDefault="005C3034" w:rsidP="005C3034">
                      <w:pPr>
                        <w:spacing w:line="276" w:lineRule="auto"/>
                        <w:jc w:val="both"/>
                        <w:rPr>
                          <w:rFonts w:asciiTheme="minorHAnsi" w:hAnsiTheme="minorHAnsi" w:cstheme="minorHAnsi"/>
                          <w:b/>
                          <w:bCs/>
                          <w:color w:val="2C2D5B"/>
                          <w:sz w:val="20"/>
                          <w:szCs w:val="20"/>
                        </w:rPr>
                      </w:pPr>
                      <w:r w:rsidRPr="00C9095E">
                        <w:rPr>
                          <w:rFonts w:asciiTheme="minorHAnsi" w:hAnsiTheme="minorHAnsi" w:cstheme="minorHAnsi"/>
                          <w:b/>
                          <w:bCs/>
                          <w:color w:val="2C2D5B"/>
                          <w:sz w:val="20"/>
                          <w:szCs w:val="20"/>
                        </w:rPr>
                        <w:t>Facts</w:t>
                      </w:r>
                      <w:r w:rsidR="00C9095E" w:rsidRPr="00C9095E">
                        <w:rPr>
                          <w:rFonts w:asciiTheme="minorHAnsi" w:hAnsiTheme="minorHAnsi" w:cstheme="minorHAnsi"/>
                          <w:b/>
                          <w:bCs/>
                          <w:color w:val="2C2D5B"/>
                          <w:sz w:val="20"/>
                          <w:szCs w:val="20"/>
                        </w:rPr>
                        <w:t xml:space="preserve"> </w:t>
                      </w:r>
                      <w:r w:rsidRPr="00C9095E">
                        <w:rPr>
                          <w:rFonts w:asciiTheme="minorHAnsi" w:hAnsiTheme="minorHAnsi" w:cstheme="minorHAnsi"/>
                          <w:b/>
                          <w:bCs/>
                          <w:color w:val="2C2D5B"/>
                          <w:sz w:val="20"/>
                          <w:szCs w:val="20"/>
                        </w:rPr>
                        <w:t xml:space="preserve">: </w:t>
                      </w:r>
                    </w:p>
                    <w:p w14:paraId="737FF4EC" w14:textId="238B95A2" w:rsidR="005C3034" w:rsidRPr="00C9095E" w:rsidRDefault="005C3034" w:rsidP="005C3034">
                      <w:pPr>
                        <w:spacing w:line="276" w:lineRule="auto"/>
                        <w:jc w:val="both"/>
                        <w:rPr>
                          <w:rFonts w:asciiTheme="minorHAnsi" w:hAnsiTheme="minorHAnsi" w:cstheme="minorHAnsi"/>
                          <w:color w:val="2C2D5B"/>
                          <w:sz w:val="20"/>
                          <w:szCs w:val="20"/>
                        </w:rPr>
                      </w:pPr>
                      <w:r w:rsidRPr="00C9095E">
                        <w:rPr>
                          <w:rFonts w:asciiTheme="minorHAnsi" w:hAnsiTheme="minorHAnsi" w:cstheme="minorHAnsi"/>
                          <w:color w:val="2C2D5B"/>
                          <w:sz w:val="20"/>
                          <w:szCs w:val="20"/>
                        </w:rPr>
                        <w:t xml:space="preserve">The case examined </w:t>
                      </w:r>
                      <w:r w:rsidR="00D97D5D" w:rsidRPr="00C9095E">
                        <w:rPr>
                          <w:rFonts w:asciiTheme="minorHAnsi" w:hAnsiTheme="minorHAnsi" w:cstheme="minorHAnsi"/>
                          <w:color w:val="2C2D5B"/>
                          <w:sz w:val="20"/>
                          <w:szCs w:val="20"/>
                        </w:rPr>
                        <w:t xml:space="preserve">whether national laws requiring telecommunications companies to retain customers’ data for prosecuting serious crimes or addressing national security threats violated  Charter rights. </w:t>
                      </w:r>
                    </w:p>
                    <w:p w14:paraId="53BA2899" w14:textId="77777777" w:rsidR="00D97D5D" w:rsidRPr="00C9095E" w:rsidRDefault="00D97D5D" w:rsidP="005C3034">
                      <w:pPr>
                        <w:spacing w:line="276" w:lineRule="auto"/>
                        <w:jc w:val="both"/>
                        <w:rPr>
                          <w:rFonts w:asciiTheme="minorHAnsi" w:hAnsiTheme="minorHAnsi" w:cstheme="minorHAnsi"/>
                          <w:color w:val="2C2D5B"/>
                          <w:sz w:val="20"/>
                          <w:szCs w:val="20"/>
                        </w:rPr>
                      </w:pPr>
                    </w:p>
                    <w:p w14:paraId="5CD045CF" w14:textId="3D00B001" w:rsidR="00D97D5D" w:rsidRPr="00C9095E" w:rsidRDefault="00D97D5D" w:rsidP="005C3034">
                      <w:pPr>
                        <w:spacing w:line="276" w:lineRule="auto"/>
                        <w:jc w:val="both"/>
                        <w:rPr>
                          <w:rFonts w:asciiTheme="minorHAnsi" w:hAnsiTheme="minorHAnsi" w:cstheme="minorHAnsi"/>
                          <w:color w:val="2C2D5B"/>
                          <w:sz w:val="20"/>
                          <w:szCs w:val="20"/>
                        </w:rPr>
                      </w:pPr>
                      <w:r w:rsidRPr="00C9095E">
                        <w:rPr>
                          <w:rFonts w:asciiTheme="minorHAnsi" w:hAnsiTheme="minorHAnsi" w:cstheme="minorHAnsi"/>
                          <w:b/>
                          <w:bCs/>
                          <w:color w:val="2C2D5B"/>
                          <w:sz w:val="20"/>
                          <w:szCs w:val="20"/>
                        </w:rPr>
                        <w:t>Ruling</w:t>
                      </w:r>
                      <w:r w:rsidR="00C9095E" w:rsidRPr="00C9095E">
                        <w:rPr>
                          <w:rFonts w:asciiTheme="minorHAnsi" w:hAnsiTheme="minorHAnsi" w:cstheme="minorHAnsi"/>
                          <w:b/>
                          <w:bCs/>
                          <w:color w:val="2C2D5B"/>
                          <w:sz w:val="20"/>
                          <w:szCs w:val="20"/>
                        </w:rPr>
                        <w:t xml:space="preserve"> </w:t>
                      </w:r>
                      <w:r w:rsidRPr="00C9095E">
                        <w:rPr>
                          <w:rFonts w:asciiTheme="minorHAnsi" w:hAnsiTheme="minorHAnsi" w:cstheme="minorHAnsi"/>
                          <w:b/>
                          <w:bCs/>
                          <w:color w:val="2C2D5B"/>
                          <w:sz w:val="20"/>
                          <w:szCs w:val="20"/>
                        </w:rPr>
                        <w:t xml:space="preserve">: </w:t>
                      </w:r>
                    </w:p>
                    <w:p w14:paraId="7CD8D25D" w14:textId="7499DC05" w:rsidR="005C3034" w:rsidRPr="00C9095E" w:rsidRDefault="00D97D5D" w:rsidP="00327D5A">
                      <w:pPr>
                        <w:spacing w:line="276" w:lineRule="auto"/>
                        <w:jc w:val="both"/>
                        <w:rPr>
                          <w:rFonts w:asciiTheme="minorHAnsi" w:hAnsiTheme="minorHAnsi" w:cstheme="minorHAnsi"/>
                          <w:color w:val="2C2D5B"/>
                          <w:sz w:val="20"/>
                          <w:szCs w:val="20"/>
                        </w:rPr>
                      </w:pPr>
                      <w:r w:rsidRPr="00C9095E">
                        <w:rPr>
                          <w:rFonts w:asciiTheme="minorHAnsi" w:hAnsiTheme="minorHAnsi" w:cstheme="minorHAnsi"/>
                          <w:color w:val="2C2D5B"/>
                          <w:sz w:val="20"/>
                          <w:szCs w:val="20"/>
                        </w:rPr>
                        <w:t xml:space="preserve">The CJEU held that </w:t>
                      </w:r>
                      <w:r w:rsidRPr="00C9095E">
                        <w:rPr>
                          <w:rFonts w:asciiTheme="minorHAnsi" w:hAnsiTheme="minorHAnsi" w:cstheme="minorHAnsi"/>
                          <w:b/>
                          <w:bCs/>
                          <w:color w:val="2C2D5B"/>
                          <w:sz w:val="20"/>
                          <w:szCs w:val="20"/>
                        </w:rPr>
                        <w:t>Articles 7, 8 and 11 of the Charter</w:t>
                      </w:r>
                      <w:r w:rsidRPr="00C9095E">
                        <w:rPr>
                          <w:rFonts w:asciiTheme="minorHAnsi" w:hAnsiTheme="minorHAnsi" w:cstheme="minorHAnsi"/>
                          <w:color w:val="2C2D5B"/>
                          <w:sz w:val="20"/>
                          <w:szCs w:val="20"/>
                        </w:rPr>
                        <w:t xml:space="preserve">, while fundamental, are not absolute rights, but </w:t>
                      </w:r>
                      <w:r w:rsidR="005C3034" w:rsidRPr="00C9095E">
                        <w:rPr>
                          <w:rFonts w:asciiTheme="minorHAnsi" w:hAnsiTheme="minorHAnsi" w:cstheme="minorHAnsi"/>
                          <w:color w:val="2C2D5B"/>
                          <w:sz w:val="20"/>
                          <w:szCs w:val="20"/>
                        </w:rPr>
                        <w:t xml:space="preserve">must be considered in relation to their function in society. </w:t>
                      </w:r>
                      <w:r w:rsidRPr="00C9095E">
                        <w:rPr>
                          <w:rFonts w:asciiTheme="minorHAnsi" w:hAnsiTheme="minorHAnsi" w:cstheme="minorHAnsi"/>
                          <w:color w:val="2C2D5B"/>
                          <w:sz w:val="20"/>
                          <w:szCs w:val="20"/>
                        </w:rPr>
                        <w:t xml:space="preserve">Per </w:t>
                      </w:r>
                      <w:r w:rsidR="005C3034" w:rsidRPr="00C9095E">
                        <w:rPr>
                          <w:rFonts w:asciiTheme="minorHAnsi" w:hAnsiTheme="minorHAnsi" w:cstheme="minorHAnsi"/>
                          <w:color w:val="2C2D5B"/>
                          <w:sz w:val="20"/>
                          <w:szCs w:val="20"/>
                        </w:rPr>
                        <w:t>Article 52(1) of the Charter, limitations</w:t>
                      </w:r>
                      <w:r w:rsidRPr="00C9095E">
                        <w:rPr>
                          <w:rFonts w:asciiTheme="minorHAnsi" w:hAnsiTheme="minorHAnsi" w:cstheme="minorHAnsi"/>
                          <w:color w:val="2C2D5B"/>
                          <w:sz w:val="20"/>
                          <w:szCs w:val="20"/>
                        </w:rPr>
                        <w:t xml:space="preserve"> may</w:t>
                      </w:r>
                      <w:r w:rsidR="005C3034" w:rsidRPr="00C9095E">
                        <w:rPr>
                          <w:rFonts w:asciiTheme="minorHAnsi" w:hAnsiTheme="minorHAnsi" w:cstheme="minorHAnsi"/>
                          <w:color w:val="2C2D5B"/>
                          <w:sz w:val="20"/>
                          <w:szCs w:val="20"/>
                        </w:rPr>
                        <w:t xml:space="preserve"> be placed on the exercise of those rights, </w:t>
                      </w:r>
                      <w:r w:rsidRPr="00C9095E">
                        <w:rPr>
                          <w:rFonts w:asciiTheme="minorHAnsi" w:hAnsiTheme="minorHAnsi" w:cstheme="minorHAnsi"/>
                          <w:color w:val="2C2D5B"/>
                          <w:sz w:val="20"/>
                          <w:szCs w:val="20"/>
                        </w:rPr>
                        <w:t xml:space="preserve">if </w:t>
                      </w:r>
                      <w:r w:rsidR="005C3034" w:rsidRPr="00C9095E">
                        <w:rPr>
                          <w:rFonts w:asciiTheme="minorHAnsi" w:hAnsiTheme="minorHAnsi" w:cstheme="minorHAnsi"/>
                          <w:color w:val="2C2D5B"/>
                          <w:sz w:val="20"/>
                          <w:szCs w:val="20"/>
                        </w:rPr>
                        <w:t>those limitations are provided for by law, that they respect the essence of th</w:t>
                      </w:r>
                      <w:r w:rsidRPr="00C9095E">
                        <w:rPr>
                          <w:rFonts w:asciiTheme="minorHAnsi" w:hAnsiTheme="minorHAnsi" w:cstheme="minorHAnsi"/>
                          <w:color w:val="2C2D5B"/>
                          <w:sz w:val="20"/>
                          <w:szCs w:val="20"/>
                        </w:rPr>
                        <w:t xml:space="preserve">e </w:t>
                      </w:r>
                      <w:r w:rsidR="005C3034" w:rsidRPr="00C9095E">
                        <w:rPr>
                          <w:rFonts w:asciiTheme="minorHAnsi" w:hAnsiTheme="minorHAnsi" w:cstheme="minorHAnsi"/>
                          <w:color w:val="2C2D5B"/>
                          <w:sz w:val="20"/>
                          <w:szCs w:val="20"/>
                        </w:rPr>
                        <w:t>rights and that, in compliance with the principle of proportionality, they are necessary and genuinely meet objectives of general interest recognised by the European Union or the need to protect the rights and freedoms of others. </w:t>
                      </w:r>
                    </w:p>
                  </w:txbxContent>
                </v:textbox>
                <w10:wrap type="square" anchorx="margin"/>
              </v:roundrect>
            </w:pict>
          </mc:Fallback>
        </mc:AlternateContent>
      </w:r>
    </w:p>
    <w:p w14:paraId="4367F5FB" w14:textId="3DB7D2AF" w:rsidR="002361D7" w:rsidRDefault="002361D7" w:rsidP="00EC2273">
      <w:pPr>
        <w:spacing w:line="276" w:lineRule="auto"/>
        <w:jc w:val="both"/>
        <w:rPr>
          <w:rFonts w:asciiTheme="majorHAnsi" w:hAnsiTheme="majorHAnsi" w:cstheme="majorHAnsi"/>
          <w:color w:val="2C2D5B"/>
        </w:rPr>
      </w:pPr>
    </w:p>
    <w:p w14:paraId="6F514996" w14:textId="77777777" w:rsidR="002361D7" w:rsidRDefault="002361D7" w:rsidP="00EC2273">
      <w:pPr>
        <w:spacing w:line="276" w:lineRule="auto"/>
        <w:jc w:val="both"/>
        <w:rPr>
          <w:rFonts w:asciiTheme="majorHAnsi" w:hAnsiTheme="majorHAnsi" w:cstheme="majorHAnsi"/>
          <w:color w:val="2C2D5B"/>
        </w:rPr>
      </w:pPr>
    </w:p>
    <w:p w14:paraId="3B772DCC" w14:textId="0654691E" w:rsidR="00C9095E" w:rsidRDefault="00747C7E" w:rsidP="00EC2273">
      <w:pPr>
        <w:spacing w:line="276" w:lineRule="auto"/>
        <w:jc w:val="both"/>
        <w:rPr>
          <w:rFonts w:asciiTheme="majorHAnsi" w:hAnsiTheme="majorHAnsi" w:cstheme="majorHAnsi"/>
          <w:color w:val="2C2D5B"/>
        </w:rPr>
      </w:pPr>
      <w:r w:rsidRPr="00C9095E">
        <w:rPr>
          <w:rFonts w:asciiTheme="majorHAnsi" w:hAnsiTheme="majorHAnsi" w:cstheme="majorHAnsi"/>
          <w:color w:val="2C2D5B"/>
        </w:rPr>
        <w:t>The purpose of Art</w:t>
      </w:r>
      <w:r w:rsidR="000D23AC" w:rsidRPr="00C9095E">
        <w:rPr>
          <w:rFonts w:asciiTheme="majorHAnsi" w:hAnsiTheme="majorHAnsi" w:cstheme="majorHAnsi"/>
          <w:color w:val="2C2D5B"/>
        </w:rPr>
        <w:t>icle</w:t>
      </w:r>
      <w:r w:rsidRPr="00C9095E">
        <w:rPr>
          <w:rFonts w:asciiTheme="majorHAnsi" w:hAnsiTheme="majorHAnsi" w:cstheme="majorHAnsi"/>
          <w:color w:val="2C2D5B"/>
        </w:rPr>
        <w:t xml:space="preserve"> 52(1)</w:t>
      </w:r>
      <w:r w:rsidR="000D23AC" w:rsidRPr="00C9095E">
        <w:rPr>
          <w:rFonts w:asciiTheme="majorHAnsi" w:hAnsiTheme="majorHAnsi" w:cstheme="majorHAnsi"/>
          <w:color w:val="2C2D5B"/>
        </w:rPr>
        <w:t xml:space="preserve"> EChFR</w:t>
      </w:r>
      <w:r w:rsidRPr="00C9095E">
        <w:rPr>
          <w:rFonts w:asciiTheme="majorHAnsi" w:hAnsiTheme="majorHAnsi" w:cstheme="majorHAnsi"/>
          <w:color w:val="2C2D5B"/>
        </w:rPr>
        <w:t xml:space="preserve"> is not to undermine the substance</w:t>
      </w:r>
      <w:r w:rsidR="00364A97" w:rsidRPr="00C9095E">
        <w:rPr>
          <w:rFonts w:asciiTheme="majorHAnsi" w:hAnsiTheme="majorHAnsi" w:cstheme="majorHAnsi"/>
          <w:color w:val="2C2D5B"/>
        </w:rPr>
        <w:t xml:space="preserve"> or essence</w:t>
      </w:r>
      <w:r w:rsidRPr="00C9095E">
        <w:rPr>
          <w:rFonts w:asciiTheme="majorHAnsi" w:hAnsiTheme="majorHAnsi" w:cstheme="majorHAnsi"/>
          <w:color w:val="2C2D5B"/>
        </w:rPr>
        <w:t xml:space="preserve"> of the rights</w:t>
      </w:r>
      <w:r w:rsidR="00364A97" w:rsidRPr="00C9095E">
        <w:rPr>
          <w:rFonts w:asciiTheme="majorHAnsi" w:hAnsiTheme="majorHAnsi" w:cstheme="majorHAnsi"/>
          <w:color w:val="2C2D5B"/>
        </w:rPr>
        <w:t>.</w:t>
      </w:r>
      <w:r w:rsidRPr="00C9095E">
        <w:rPr>
          <w:rFonts w:asciiTheme="majorHAnsi" w:hAnsiTheme="majorHAnsi" w:cstheme="majorHAnsi"/>
          <w:color w:val="2C2D5B"/>
        </w:rPr>
        <w:t xml:space="preserve"> </w:t>
      </w:r>
      <w:r w:rsidR="00364A97" w:rsidRPr="00C9095E">
        <w:rPr>
          <w:rFonts w:asciiTheme="majorHAnsi" w:hAnsiTheme="majorHAnsi" w:cstheme="majorHAnsi"/>
          <w:color w:val="2C2D5B"/>
        </w:rPr>
        <w:t>However</w:t>
      </w:r>
      <w:r w:rsidR="00EC2273" w:rsidRPr="00C9095E">
        <w:rPr>
          <w:rFonts w:asciiTheme="majorHAnsi" w:hAnsiTheme="majorHAnsi" w:cstheme="majorHAnsi"/>
          <w:color w:val="2C2D5B"/>
        </w:rPr>
        <w:t xml:space="preserve"> the case law of the Court of Justice varies widely. </w:t>
      </w:r>
      <w:r w:rsidR="0038554D" w:rsidRPr="00C9095E">
        <w:rPr>
          <w:rFonts w:asciiTheme="majorHAnsi" w:hAnsiTheme="majorHAnsi" w:cstheme="majorHAnsi"/>
          <w:color w:val="2C2D5B"/>
        </w:rPr>
        <w:t xml:space="preserve"> Against this background, it </w:t>
      </w:r>
      <w:r w:rsidR="00364A97" w:rsidRPr="00C9095E">
        <w:rPr>
          <w:rFonts w:asciiTheme="majorHAnsi" w:hAnsiTheme="majorHAnsi" w:cstheme="majorHAnsi"/>
          <w:color w:val="2C2D5B"/>
        </w:rPr>
        <w:t>should</w:t>
      </w:r>
      <w:r w:rsidR="0038554D" w:rsidRPr="00C9095E">
        <w:rPr>
          <w:rFonts w:asciiTheme="majorHAnsi" w:hAnsiTheme="majorHAnsi" w:cstheme="majorHAnsi"/>
          <w:color w:val="2C2D5B"/>
        </w:rPr>
        <w:t xml:space="preserve"> </w:t>
      </w:r>
      <w:r w:rsidR="00364A97" w:rsidRPr="00C9095E">
        <w:rPr>
          <w:rFonts w:asciiTheme="majorHAnsi" w:hAnsiTheme="majorHAnsi" w:cstheme="majorHAnsi"/>
          <w:color w:val="2C2D5B"/>
        </w:rPr>
        <w:t>be noted that t</w:t>
      </w:r>
      <w:r w:rsidR="00EC2273" w:rsidRPr="00C9095E">
        <w:rPr>
          <w:rFonts w:asciiTheme="majorHAnsi" w:hAnsiTheme="majorHAnsi" w:cstheme="majorHAnsi"/>
          <w:color w:val="2C2D5B"/>
        </w:rPr>
        <w:t xml:space="preserve">he same criteria are applied </w:t>
      </w:r>
      <w:r w:rsidRPr="00C9095E">
        <w:rPr>
          <w:rFonts w:asciiTheme="majorHAnsi" w:hAnsiTheme="majorHAnsi" w:cstheme="majorHAnsi"/>
          <w:color w:val="2C2D5B"/>
        </w:rPr>
        <w:t>in</w:t>
      </w:r>
      <w:r w:rsidR="00EC2273" w:rsidRPr="00C9095E">
        <w:rPr>
          <w:rFonts w:asciiTheme="majorHAnsi" w:hAnsiTheme="majorHAnsi" w:cstheme="majorHAnsi"/>
          <w:color w:val="2C2D5B"/>
        </w:rPr>
        <w:t xml:space="preserve"> the case law of the European Court of Human Rights.</w:t>
      </w:r>
    </w:p>
    <w:p w14:paraId="0A66E3D3" w14:textId="354826E5" w:rsidR="002361D7" w:rsidRDefault="002361D7" w:rsidP="00EC2273">
      <w:pPr>
        <w:spacing w:line="276" w:lineRule="auto"/>
        <w:jc w:val="both"/>
        <w:rPr>
          <w:rFonts w:asciiTheme="majorHAnsi" w:hAnsiTheme="majorHAnsi" w:cstheme="majorHAnsi"/>
          <w:color w:val="2C2D5B"/>
        </w:rPr>
      </w:pPr>
    </w:p>
    <w:p w14:paraId="772DD3B1" w14:textId="77777777" w:rsidR="002361D7" w:rsidRDefault="002361D7" w:rsidP="00EC2273">
      <w:pPr>
        <w:spacing w:line="276" w:lineRule="auto"/>
        <w:jc w:val="both"/>
        <w:rPr>
          <w:rFonts w:asciiTheme="majorHAnsi" w:hAnsiTheme="majorHAnsi" w:cstheme="majorHAnsi"/>
          <w:color w:val="2C2D5B"/>
        </w:rPr>
      </w:pPr>
    </w:p>
    <w:p w14:paraId="2D9A8ED7" w14:textId="038C6BB6" w:rsidR="00364A97" w:rsidRDefault="00364A97" w:rsidP="00EC2273">
      <w:pPr>
        <w:spacing w:line="276" w:lineRule="auto"/>
        <w:jc w:val="both"/>
        <w:rPr>
          <w:rFonts w:asciiTheme="majorHAnsi" w:hAnsiTheme="majorHAnsi" w:cstheme="majorHAnsi"/>
          <w:color w:val="2C2D5B"/>
        </w:rPr>
      </w:pPr>
    </w:p>
    <w:p w14:paraId="0DB0DE5D" w14:textId="77777777" w:rsidR="002361D7" w:rsidRDefault="002361D7" w:rsidP="00EC2273">
      <w:pPr>
        <w:spacing w:line="276" w:lineRule="auto"/>
        <w:jc w:val="both"/>
        <w:rPr>
          <w:rFonts w:asciiTheme="majorHAnsi" w:hAnsiTheme="majorHAnsi" w:cstheme="majorHAnsi"/>
          <w:color w:val="2C2D5B"/>
        </w:rPr>
      </w:pPr>
    </w:p>
    <w:p w14:paraId="5E3BBB31" w14:textId="77777777" w:rsidR="002361D7" w:rsidRDefault="002361D7" w:rsidP="00EC2273">
      <w:pPr>
        <w:spacing w:line="276" w:lineRule="auto"/>
        <w:jc w:val="both"/>
        <w:rPr>
          <w:rFonts w:asciiTheme="majorHAnsi" w:hAnsiTheme="majorHAnsi" w:cstheme="majorHAnsi"/>
          <w:color w:val="2C2D5B"/>
        </w:rPr>
      </w:pPr>
    </w:p>
    <w:p w14:paraId="0C991B09" w14:textId="77777777" w:rsidR="002361D7" w:rsidRDefault="002361D7" w:rsidP="00EC2273">
      <w:pPr>
        <w:spacing w:line="276" w:lineRule="auto"/>
        <w:jc w:val="both"/>
        <w:rPr>
          <w:rFonts w:asciiTheme="majorHAnsi" w:hAnsiTheme="majorHAnsi" w:cstheme="majorHAnsi"/>
          <w:color w:val="2C2D5B"/>
        </w:rPr>
      </w:pPr>
    </w:p>
    <w:p w14:paraId="1A13BED3" w14:textId="77777777" w:rsidR="002361D7" w:rsidRDefault="002361D7" w:rsidP="00EC2273">
      <w:pPr>
        <w:spacing w:line="276" w:lineRule="auto"/>
        <w:jc w:val="both"/>
        <w:rPr>
          <w:rFonts w:asciiTheme="majorHAnsi" w:hAnsiTheme="majorHAnsi" w:cstheme="majorHAnsi"/>
          <w:color w:val="2C2D5B"/>
        </w:rPr>
      </w:pPr>
    </w:p>
    <w:p w14:paraId="5F4E4271" w14:textId="77777777" w:rsidR="002361D7" w:rsidRDefault="002361D7" w:rsidP="00EC2273">
      <w:pPr>
        <w:spacing w:line="276" w:lineRule="auto"/>
        <w:jc w:val="both"/>
        <w:rPr>
          <w:rFonts w:asciiTheme="majorHAnsi" w:hAnsiTheme="majorHAnsi" w:cstheme="majorHAnsi"/>
          <w:color w:val="2C2D5B"/>
        </w:rPr>
      </w:pPr>
    </w:p>
    <w:p w14:paraId="3A18EACA" w14:textId="77777777" w:rsidR="002361D7" w:rsidRDefault="002361D7" w:rsidP="00EC2273">
      <w:pPr>
        <w:spacing w:line="276" w:lineRule="auto"/>
        <w:jc w:val="both"/>
        <w:rPr>
          <w:rFonts w:asciiTheme="majorHAnsi" w:hAnsiTheme="majorHAnsi" w:cstheme="majorHAnsi"/>
          <w:color w:val="2C2D5B"/>
        </w:rPr>
      </w:pPr>
    </w:p>
    <w:p w14:paraId="75C5BABE" w14:textId="77777777" w:rsidR="002361D7" w:rsidRDefault="002361D7" w:rsidP="00EC2273">
      <w:pPr>
        <w:spacing w:line="276" w:lineRule="auto"/>
        <w:jc w:val="both"/>
        <w:rPr>
          <w:rFonts w:asciiTheme="majorHAnsi" w:hAnsiTheme="majorHAnsi" w:cstheme="majorHAnsi"/>
          <w:color w:val="2C2D5B"/>
        </w:rPr>
      </w:pPr>
    </w:p>
    <w:p w14:paraId="57F89579" w14:textId="77777777" w:rsidR="002361D7" w:rsidRDefault="002361D7" w:rsidP="00EC2273">
      <w:pPr>
        <w:spacing w:line="276" w:lineRule="auto"/>
        <w:jc w:val="both"/>
        <w:rPr>
          <w:rFonts w:asciiTheme="majorHAnsi" w:hAnsiTheme="majorHAnsi" w:cstheme="majorHAnsi"/>
          <w:color w:val="2C2D5B"/>
        </w:rPr>
      </w:pPr>
    </w:p>
    <w:p w14:paraId="54B98ECD" w14:textId="77777777" w:rsidR="002361D7" w:rsidRDefault="002361D7" w:rsidP="00EC2273">
      <w:pPr>
        <w:spacing w:line="276" w:lineRule="auto"/>
        <w:jc w:val="both"/>
        <w:rPr>
          <w:rFonts w:asciiTheme="majorHAnsi" w:hAnsiTheme="majorHAnsi" w:cstheme="majorHAnsi"/>
          <w:color w:val="2C2D5B"/>
        </w:rPr>
      </w:pPr>
    </w:p>
    <w:p w14:paraId="6A8EEF29" w14:textId="77777777" w:rsidR="002361D7" w:rsidRDefault="002361D7" w:rsidP="00EC2273">
      <w:pPr>
        <w:spacing w:line="276" w:lineRule="auto"/>
        <w:jc w:val="both"/>
        <w:rPr>
          <w:rFonts w:asciiTheme="majorHAnsi" w:hAnsiTheme="majorHAnsi" w:cstheme="majorHAnsi"/>
          <w:color w:val="2C2D5B"/>
        </w:rPr>
      </w:pPr>
    </w:p>
    <w:p w14:paraId="451C6336" w14:textId="77777777" w:rsidR="002361D7" w:rsidRDefault="002361D7" w:rsidP="00EC2273">
      <w:pPr>
        <w:spacing w:line="276" w:lineRule="auto"/>
        <w:jc w:val="both"/>
        <w:rPr>
          <w:rFonts w:asciiTheme="majorHAnsi" w:hAnsiTheme="majorHAnsi" w:cstheme="majorHAnsi"/>
          <w:color w:val="2C2D5B"/>
        </w:rPr>
      </w:pPr>
    </w:p>
    <w:p w14:paraId="20400071" w14:textId="77777777" w:rsidR="002361D7" w:rsidRDefault="002361D7" w:rsidP="00EC2273">
      <w:pPr>
        <w:spacing w:line="276" w:lineRule="auto"/>
        <w:jc w:val="both"/>
        <w:rPr>
          <w:rFonts w:asciiTheme="majorHAnsi" w:hAnsiTheme="majorHAnsi" w:cstheme="majorHAnsi"/>
          <w:color w:val="2C2D5B"/>
        </w:rPr>
      </w:pPr>
    </w:p>
    <w:p w14:paraId="6DE8DE6F" w14:textId="77777777" w:rsidR="002361D7" w:rsidRDefault="002361D7" w:rsidP="00EC2273">
      <w:pPr>
        <w:spacing w:line="276" w:lineRule="auto"/>
        <w:jc w:val="both"/>
        <w:rPr>
          <w:rFonts w:asciiTheme="majorHAnsi" w:hAnsiTheme="majorHAnsi" w:cstheme="majorHAnsi"/>
          <w:color w:val="2C2D5B"/>
        </w:rPr>
      </w:pPr>
    </w:p>
    <w:p w14:paraId="63B80760" w14:textId="659EF3ED" w:rsidR="002361D7" w:rsidRDefault="00C53280" w:rsidP="00EC2273">
      <w:pPr>
        <w:spacing w:line="276" w:lineRule="auto"/>
        <w:jc w:val="both"/>
        <w:rPr>
          <w:rFonts w:asciiTheme="majorHAnsi" w:hAnsiTheme="majorHAnsi" w:cstheme="majorHAnsi"/>
          <w:color w:val="2C2D5B"/>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36768" behindDoc="0" locked="0" layoutInCell="1" allowOverlap="1" wp14:anchorId="6FA16390" wp14:editId="452B6DFD">
            <wp:simplePos x="0" y="0"/>
            <wp:positionH relativeFrom="column">
              <wp:posOffset>4865511</wp:posOffset>
            </wp:positionH>
            <wp:positionV relativeFrom="paragraph">
              <wp:posOffset>112395</wp:posOffset>
            </wp:positionV>
            <wp:extent cx="713105" cy="575310"/>
            <wp:effectExtent l="0" t="0" r="0" b="0"/>
            <wp:wrapNone/>
            <wp:docPr id="1482081246"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p>
    <w:p w14:paraId="63F062DF" w14:textId="55457B7B" w:rsidR="002361D7" w:rsidRDefault="002361D7" w:rsidP="00EC2273">
      <w:pPr>
        <w:spacing w:line="276" w:lineRule="auto"/>
        <w:jc w:val="both"/>
        <w:rPr>
          <w:rFonts w:asciiTheme="majorHAnsi" w:hAnsiTheme="majorHAnsi" w:cstheme="majorHAnsi"/>
          <w:color w:val="2C2D5B"/>
        </w:rPr>
      </w:pPr>
      <w:r w:rsidRPr="005A6959">
        <w:rPr>
          <w:rFonts w:ascii="Calibri" w:hAnsi="Calibri" w:cs="Calibri"/>
          <w:noProof/>
        </w:rPr>
        <mc:AlternateContent>
          <mc:Choice Requires="wps">
            <w:drawing>
              <wp:anchor distT="45720" distB="45720" distL="114300" distR="114300" simplePos="0" relativeHeight="251742208" behindDoc="0" locked="0" layoutInCell="1" allowOverlap="1" wp14:anchorId="025F2E58" wp14:editId="528EB496">
                <wp:simplePos x="0" y="0"/>
                <wp:positionH relativeFrom="margin">
                  <wp:posOffset>136435</wp:posOffset>
                </wp:positionH>
                <wp:positionV relativeFrom="paragraph">
                  <wp:posOffset>285813</wp:posOffset>
                </wp:positionV>
                <wp:extent cx="5372100" cy="3657600"/>
                <wp:effectExtent l="0" t="0" r="19050" b="19050"/>
                <wp:wrapSquare wrapText="bothSides"/>
                <wp:docPr id="72801578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3657600"/>
                        </a:xfrm>
                        <a:prstGeom prst="roundRect">
                          <a:avLst/>
                        </a:prstGeom>
                        <a:solidFill>
                          <a:schemeClr val="bg1"/>
                        </a:solidFill>
                        <a:ln w="19050">
                          <a:solidFill>
                            <a:srgbClr val="B6A04C"/>
                          </a:solidFill>
                          <a:miter lim="800000"/>
                          <a:headEnd/>
                          <a:tailEnd/>
                        </a:ln>
                      </wps:spPr>
                      <wps:txbx>
                        <w:txbxContent>
                          <w:p w14:paraId="40239414" w14:textId="5D04C755" w:rsidR="00364A97" w:rsidRPr="008C46C0" w:rsidRDefault="00364A97" w:rsidP="002361D7">
                            <w:pPr>
                              <w:spacing w:line="276" w:lineRule="auto"/>
                              <w:jc w:val="center"/>
                              <w:rPr>
                                <w:rStyle w:val="Hypertextovodkaz"/>
                                <w:color w:val="B6A04C"/>
                                <w:lang w:val="de-DE"/>
                              </w:rPr>
                            </w:pPr>
                            <w:hyperlink r:id="rId37" w:history="1">
                              <w:r w:rsidRPr="002361D7">
                                <w:rPr>
                                  <w:rStyle w:val="Hypertextovodkaz"/>
                                  <w:rFonts w:asciiTheme="minorHAnsi" w:hAnsiTheme="minorHAnsi"/>
                                  <w:b/>
                                  <w:color w:val="B6A04C"/>
                                  <w:sz w:val="20"/>
                                  <w:szCs w:val="20"/>
                                  <w:lang w:val="de-DE"/>
                                </w:rPr>
                                <w:t>CJEU, Grd. Ch., 9 november 2010, Volker und Markus Schecke GbR, and Hartmut Eifert v Land Hessen, C-92/07 and C-93/09, ECLI:EU: C:2010: 662</w:t>
                              </w:r>
                            </w:hyperlink>
                          </w:p>
                          <w:p w14:paraId="2FF498D6" w14:textId="77777777" w:rsidR="00364A97" w:rsidRPr="00856642" w:rsidRDefault="00364A97" w:rsidP="00364A97">
                            <w:pPr>
                              <w:spacing w:line="276" w:lineRule="auto"/>
                              <w:jc w:val="right"/>
                              <w:rPr>
                                <w:rFonts w:asciiTheme="minorHAnsi" w:hAnsiTheme="minorHAnsi"/>
                                <w:b/>
                                <w:sz w:val="20"/>
                                <w:szCs w:val="20"/>
                                <w:lang w:val="de-DE"/>
                              </w:rPr>
                            </w:pPr>
                          </w:p>
                          <w:p w14:paraId="74FD8590" w14:textId="22235731" w:rsidR="00364A97" w:rsidRPr="002361D7" w:rsidRDefault="00364A97" w:rsidP="00364A97">
                            <w:pPr>
                              <w:spacing w:line="276" w:lineRule="auto"/>
                              <w:jc w:val="both"/>
                              <w:rPr>
                                <w:rFonts w:asciiTheme="minorHAnsi" w:hAnsiTheme="minorHAnsi"/>
                                <w:b/>
                                <w:bCs/>
                                <w:color w:val="2C2D5B"/>
                                <w:sz w:val="20"/>
                                <w:szCs w:val="20"/>
                              </w:rPr>
                            </w:pPr>
                            <w:r w:rsidRPr="002361D7">
                              <w:rPr>
                                <w:rFonts w:asciiTheme="minorHAnsi" w:hAnsiTheme="minorHAnsi"/>
                                <w:b/>
                                <w:bCs/>
                                <w:color w:val="2C2D5B"/>
                                <w:sz w:val="20"/>
                                <w:szCs w:val="20"/>
                              </w:rPr>
                              <w:t>Facts</w:t>
                            </w:r>
                            <w:r w:rsidR="002361D7" w:rsidRPr="002361D7">
                              <w:rPr>
                                <w:rFonts w:asciiTheme="minorHAnsi" w:hAnsiTheme="minorHAnsi"/>
                                <w:b/>
                                <w:bCs/>
                                <w:color w:val="2C2D5B"/>
                                <w:sz w:val="20"/>
                                <w:szCs w:val="20"/>
                              </w:rPr>
                              <w:t xml:space="preserve"> </w:t>
                            </w:r>
                            <w:r w:rsidRPr="002361D7">
                              <w:rPr>
                                <w:rFonts w:asciiTheme="minorHAnsi" w:hAnsiTheme="minorHAnsi"/>
                                <w:b/>
                                <w:bCs/>
                                <w:color w:val="2C2D5B"/>
                                <w:sz w:val="20"/>
                                <w:szCs w:val="20"/>
                              </w:rPr>
                              <w:t xml:space="preserve">: </w:t>
                            </w:r>
                          </w:p>
                          <w:p w14:paraId="55980DDA" w14:textId="091134DA" w:rsidR="00364A97" w:rsidRPr="002361D7" w:rsidRDefault="00364A97" w:rsidP="00364A97">
                            <w:pPr>
                              <w:spacing w:line="276" w:lineRule="auto"/>
                              <w:jc w:val="both"/>
                              <w:rPr>
                                <w:rFonts w:asciiTheme="minorHAnsi" w:hAnsiTheme="minorHAnsi"/>
                                <w:color w:val="2C2D5B"/>
                                <w:sz w:val="20"/>
                                <w:szCs w:val="20"/>
                              </w:rPr>
                            </w:pPr>
                            <w:r w:rsidRPr="002361D7">
                              <w:rPr>
                                <w:rFonts w:asciiTheme="minorHAnsi" w:hAnsiTheme="minorHAnsi"/>
                                <w:color w:val="2C2D5B"/>
                                <w:sz w:val="20"/>
                                <w:szCs w:val="20"/>
                              </w:rPr>
                              <w:t xml:space="preserve">The case examined whether public disclosure of personal data about beneficiaries of EU agricultural funds, published on a government website, infringed on the rights to data protection and private life. </w:t>
                            </w:r>
                          </w:p>
                          <w:p w14:paraId="4558424E" w14:textId="70E585E2" w:rsidR="00364A97" w:rsidRPr="002361D7" w:rsidRDefault="00364A97" w:rsidP="00364A97">
                            <w:pPr>
                              <w:spacing w:line="276" w:lineRule="auto"/>
                              <w:jc w:val="both"/>
                              <w:rPr>
                                <w:rFonts w:asciiTheme="minorHAnsi" w:hAnsiTheme="minorHAnsi"/>
                                <w:color w:val="2C2D5B"/>
                                <w:sz w:val="20"/>
                                <w:szCs w:val="20"/>
                              </w:rPr>
                            </w:pPr>
                            <w:r w:rsidRPr="002361D7">
                              <w:rPr>
                                <w:rFonts w:asciiTheme="minorHAnsi" w:hAnsiTheme="minorHAnsi"/>
                                <w:b/>
                                <w:bCs/>
                                <w:color w:val="2C2D5B"/>
                                <w:sz w:val="20"/>
                                <w:szCs w:val="20"/>
                              </w:rPr>
                              <w:t>Article 8(1) of the Charter</w:t>
                            </w:r>
                            <w:r w:rsidRPr="002361D7">
                              <w:rPr>
                                <w:rFonts w:asciiTheme="minorHAnsi" w:hAnsiTheme="minorHAnsi"/>
                                <w:color w:val="2C2D5B"/>
                                <w:sz w:val="20"/>
                                <w:szCs w:val="20"/>
                              </w:rPr>
                              <w:t xml:space="preserve"> states that “</w:t>
                            </w:r>
                            <w:r w:rsidRPr="002361D7">
                              <w:rPr>
                                <w:rFonts w:asciiTheme="minorHAnsi" w:hAnsiTheme="minorHAnsi"/>
                                <w:i/>
                                <w:iCs/>
                                <w:color w:val="2C2D5B"/>
                                <w:sz w:val="20"/>
                                <w:szCs w:val="20"/>
                              </w:rPr>
                              <w:t>everyone has the right to the protection of personal data concerning him or her’</w:t>
                            </w:r>
                            <w:r w:rsidRPr="002361D7">
                              <w:rPr>
                                <w:rFonts w:asciiTheme="minorHAnsi" w:hAnsiTheme="minorHAnsi"/>
                                <w:color w:val="2C2D5B"/>
                                <w:sz w:val="20"/>
                                <w:szCs w:val="20"/>
                              </w:rPr>
                              <w:t xml:space="preserve">” That fundamental right is closely connected with the right to respect of private life expressed in </w:t>
                            </w:r>
                            <w:r w:rsidRPr="002361D7">
                              <w:rPr>
                                <w:rFonts w:asciiTheme="minorHAnsi" w:hAnsiTheme="minorHAnsi"/>
                                <w:b/>
                                <w:bCs/>
                                <w:color w:val="2C2D5B"/>
                                <w:sz w:val="20"/>
                                <w:szCs w:val="20"/>
                              </w:rPr>
                              <w:t>Article 7 of the Charter</w:t>
                            </w:r>
                            <w:r w:rsidRPr="002361D7">
                              <w:rPr>
                                <w:rFonts w:asciiTheme="minorHAnsi" w:hAnsiTheme="minorHAnsi"/>
                                <w:color w:val="2C2D5B"/>
                                <w:sz w:val="20"/>
                                <w:szCs w:val="20"/>
                              </w:rPr>
                              <w:t>.</w:t>
                            </w:r>
                          </w:p>
                          <w:p w14:paraId="65F48991" w14:textId="77777777" w:rsidR="00364A97" w:rsidRPr="002361D7" w:rsidRDefault="00364A97" w:rsidP="00364A97">
                            <w:pPr>
                              <w:spacing w:line="276" w:lineRule="auto"/>
                              <w:jc w:val="both"/>
                              <w:rPr>
                                <w:rFonts w:asciiTheme="minorHAnsi" w:hAnsiTheme="minorHAnsi"/>
                                <w:color w:val="2C2D5B"/>
                                <w:sz w:val="20"/>
                                <w:szCs w:val="20"/>
                              </w:rPr>
                            </w:pPr>
                          </w:p>
                          <w:p w14:paraId="142EDE8F" w14:textId="7A12A057" w:rsidR="00364A97" w:rsidRPr="002361D7" w:rsidRDefault="00364A97" w:rsidP="00364A97">
                            <w:pPr>
                              <w:spacing w:line="276" w:lineRule="auto"/>
                              <w:jc w:val="both"/>
                              <w:rPr>
                                <w:rFonts w:asciiTheme="minorHAnsi" w:hAnsiTheme="minorHAnsi"/>
                                <w:b/>
                                <w:bCs/>
                                <w:color w:val="2C2D5B"/>
                                <w:sz w:val="20"/>
                                <w:szCs w:val="20"/>
                              </w:rPr>
                            </w:pPr>
                            <w:r w:rsidRPr="002361D7">
                              <w:rPr>
                                <w:rFonts w:asciiTheme="minorHAnsi" w:hAnsiTheme="minorHAnsi"/>
                                <w:b/>
                                <w:bCs/>
                                <w:color w:val="2C2D5B"/>
                                <w:sz w:val="20"/>
                                <w:szCs w:val="20"/>
                              </w:rPr>
                              <w:t>Ruling</w:t>
                            </w:r>
                            <w:r w:rsidR="00152D6A">
                              <w:rPr>
                                <w:rFonts w:asciiTheme="minorHAnsi" w:hAnsiTheme="minorHAnsi"/>
                                <w:b/>
                                <w:bCs/>
                                <w:color w:val="2C2D5B"/>
                                <w:sz w:val="20"/>
                                <w:szCs w:val="20"/>
                              </w:rPr>
                              <w:t xml:space="preserve"> </w:t>
                            </w:r>
                            <w:r w:rsidRPr="002361D7">
                              <w:rPr>
                                <w:rFonts w:asciiTheme="minorHAnsi" w:hAnsiTheme="minorHAnsi"/>
                                <w:b/>
                                <w:bCs/>
                                <w:color w:val="2C2D5B"/>
                                <w:sz w:val="20"/>
                                <w:szCs w:val="20"/>
                              </w:rPr>
                              <w:t>:</w:t>
                            </w:r>
                            <w:r w:rsidR="002361D7" w:rsidRPr="002361D7">
                              <w:rPr>
                                <w:rFonts w:asciiTheme="minorHAnsi" w:hAnsiTheme="minorHAnsi"/>
                                <w:b/>
                                <w:bCs/>
                                <w:color w:val="2C2D5B"/>
                                <w:sz w:val="20"/>
                                <w:szCs w:val="20"/>
                              </w:rPr>
                              <w:t xml:space="preserve"> </w:t>
                            </w:r>
                          </w:p>
                          <w:p w14:paraId="714E7AB5" w14:textId="20CBFFD8" w:rsidR="00364A97" w:rsidRPr="002361D7" w:rsidRDefault="00364A97" w:rsidP="00C67602">
                            <w:pPr>
                              <w:spacing w:line="276" w:lineRule="auto"/>
                              <w:jc w:val="both"/>
                              <w:rPr>
                                <w:rFonts w:asciiTheme="minorHAnsi" w:hAnsiTheme="minorHAnsi"/>
                                <w:color w:val="2C2D5B"/>
                                <w:sz w:val="20"/>
                                <w:szCs w:val="20"/>
                              </w:rPr>
                            </w:pPr>
                            <w:r w:rsidRPr="002361D7">
                              <w:rPr>
                                <w:rFonts w:asciiTheme="minorHAnsi" w:hAnsiTheme="minorHAnsi"/>
                                <w:color w:val="2C2D5B"/>
                                <w:sz w:val="20"/>
                                <w:szCs w:val="20"/>
                              </w:rPr>
                              <w:t xml:space="preserve">The CJEU ruled that </w:t>
                            </w:r>
                            <w:r w:rsidR="00E96C7C" w:rsidRPr="002361D7">
                              <w:rPr>
                                <w:rFonts w:asciiTheme="minorHAnsi" w:hAnsiTheme="minorHAnsi"/>
                                <w:color w:val="2C2D5B"/>
                                <w:sz w:val="20"/>
                                <w:szCs w:val="20"/>
                              </w:rPr>
                              <w:t xml:space="preserve">the right to the protection of personal data is  not an absolute right, but must be considered in relation to its functions in society. </w:t>
                            </w:r>
                            <w:r w:rsidRPr="002361D7">
                              <w:rPr>
                                <w:rFonts w:asciiTheme="minorHAnsi" w:hAnsiTheme="minorHAnsi"/>
                                <w:color w:val="2C2D5B"/>
                                <w:sz w:val="20"/>
                                <w:szCs w:val="20"/>
                              </w:rPr>
                              <w:t xml:space="preserve">Article 8(2) of the Charter thus </w:t>
                            </w:r>
                            <w:r w:rsidR="00E96C7C" w:rsidRPr="002361D7">
                              <w:rPr>
                                <w:rFonts w:asciiTheme="minorHAnsi" w:hAnsiTheme="minorHAnsi"/>
                                <w:color w:val="2C2D5B"/>
                                <w:sz w:val="20"/>
                                <w:szCs w:val="20"/>
                              </w:rPr>
                              <w:t>authori</w:t>
                            </w:r>
                            <w:r w:rsidR="00145404" w:rsidRPr="002361D7">
                              <w:rPr>
                                <w:rFonts w:asciiTheme="minorHAnsi" w:hAnsiTheme="minorHAnsi"/>
                                <w:color w:val="2C2D5B"/>
                                <w:sz w:val="20"/>
                                <w:szCs w:val="20"/>
                              </w:rPr>
                              <w:t>s</w:t>
                            </w:r>
                            <w:r w:rsidR="00E96C7C" w:rsidRPr="002361D7">
                              <w:rPr>
                                <w:rFonts w:asciiTheme="minorHAnsi" w:hAnsiTheme="minorHAnsi"/>
                                <w:color w:val="2C2D5B"/>
                                <w:sz w:val="20"/>
                                <w:szCs w:val="20"/>
                              </w:rPr>
                              <w:t>es</w:t>
                            </w:r>
                            <w:r w:rsidRPr="002361D7">
                              <w:rPr>
                                <w:rFonts w:asciiTheme="minorHAnsi" w:hAnsiTheme="minorHAnsi"/>
                                <w:color w:val="2C2D5B"/>
                                <w:sz w:val="20"/>
                                <w:szCs w:val="20"/>
                              </w:rPr>
                              <w:t xml:space="preserve"> the processing of personal data if certain conditions are satisfied.</w:t>
                            </w:r>
                          </w:p>
                          <w:p w14:paraId="3351AC80" w14:textId="77777777" w:rsidR="00E96C7C" w:rsidRPr="002361D7" w:rsidRDefault="00E96C7C" w:rsidP="00C67602">
                            <w:pPr>
                              <w:spacing w:line="276" w:lineRule="auto"/>
                              <w:jc w:val="both"/>
                              <w:rPr>
                                <w:rFonts w:asciiTheme="minorHAnsi" w:hAnsiTheme="minorHAnsi"/>
                                <w:color w:val="2C2D5B"/>
                                <w:sz w:val="20"/>
                                <w:szCs w:val="20"/>
                              </w:rPr>
                            </w:pPr>
                          </w:p>
                          <w:p w14:paraId="78B447AA" w14:textId="5E71E2CD" w:rsidR="00364A97" w:rsidRPr="002361D7" w:rsidRDefault="00364A97" w:rsidP="00327D5A">
                            <w:pPr>
                              <w:jc w:val="both"/>
                              <w:rPr>
                                <w:color w:val="2C2D5B"/>
                              </w:rPr>
                            </w:pPr>
                            <w:r w:rsidRPr="002361D7">
                              <w:rPr>
                                <w:rFonts w:asciiTheme="minorHAnsi" w:hAnsiTheme="minorHAnsi"/>
                                <w:color w:val="2C2D5B"/>
                                <w:sz w:val="20"/>
                                <w:szCs w:val="20"/>
                              </w:rPr>
                              <w:t>Article 52(1) of the Charter accepts that limitations may be imposed on the exercise of rights</w:t>
                            </w:r>
                            <w:r w:rsidR="00E96C7C" w:rsidRPr="002361D7">
                              <w:rPr>
                                <w:rFonts w:asciiTheme="minorHAnsi" w:hAnsiTheme="minorHAnsi"/>
                                <w:color w:val="2C2D5B"/>
                                <w:sz w:val="20"/>
                                <w:szCs w:val="20"/>
                              </w:rPr>
                              <w:t>,</w:t>
                            </w:r>
                            <w:r w:rsidRPr="002361D7">
                              <w:rPr>
                                <w:rFonts w:asciiTheme="minorHAnsi" w:hAnsiTheme="minorHAnsi"/>
                                <w:color w:val="2C2D5B"/>
                                <w:sz w:val="20"/>
                                <w:szCs w:val="20"/>
                              </w:rPr>
                              <w:t xml:space="preserve"> such as those set forth in Articles 7 and 8 of the Charter, as long as the limitations are provided for by law, respect the essence of those rights and freedoms and, subject to the principle of proportionality, are necessary and genuinely meet objectives of general interest </w:t>
                            </w:r>
                            <w:r w:rsidR="00E96C7C" w:rsidRPr="002361D7">
                              <w:rPr>
                                <w:rFonts w:asciiTheme="minorHAnsi" w:hAnsiTheme="minorHAnsi"/>
                                <w:color w:val="2C2D5B"/>
                                <w:sz w:val="20"/>
                                <w:szCs w:val="20"/>
                              </w:rPr>
                              <w:t>recognized</w:t>
                            </w:r>
                            <w:r w:rsidRPr="002361D7">
                              <w:rPr>
                                <w:rFonts w:asciiTheme="minorHAnsi" w:hAnsiTheme="minorHAnsi"/>
                                <w:color w:val="2C2D5B"/>
                                <w:sz w:val="20"/>
                                <w:szCs w:val="20"/>
                              </w:rPr>
                              <w:t xml:space="preserve"> by the European Union or the need to protect the rights and freedoms of others.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25F2E58" id="_x0000_s1046" style="position:absolute;left:0;text-align:left;margin-left:10.75pt;margin-top:22.5pt;width:423pt;height:4in;z-index:2517422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Q03IQIAAC0EAAAOAAAAZHJzL2Uyb0RvYy54bWysU8tu2zAQvBfoPxC815IdPxLBcuA4TVEg&#10;faBpP4AiKYsoxWVJ2lL69V1SiuOkt6I6EFwtObszO1xf960mR+m8AlPS6SSnRBoOQpl9SX98v3t3&#10;SYkPzAimwciSPkpPrzdv36w7W8gZNKCFdARBjC86W9ImBFtkmeeNbJmfgJUGkzW4lgUM3T4TjnWI&#10;3upslufLrAMnrAMuvce/t0OSbhJ+XUsevtS1l4HokmJvIa0urVVcs82aFXvHbKP42Ab7hy5apgwW&#10;PUHdssDIwam/oFrFHXiow4RDm0FdKy4TB2QzzV+xeWiYlYkLiuPtSSb//2D55+OD/epI6G+gxwEm&#10;Et7eA//piYFdw8xebp2DrpFMYOFplCzrrC/Gq1FqX/gIUnWfQOCQ2SFAAupr10ZVkCdBdBzA40l0&#10;2QfC8efiYjWb5pjimLtYLlZLDGINVjxdt86HDxJaEjcldXAw4huONtVgx3sfhvNP52JJD1qJO6V1&#10;CqKd5E47cmRohGo/sHh1ShvSIcGrfJEPMryAcPvqBHCz3Obz3djli0qtCuhnrdqSXubxGxwWxXtv&#10;RHJbYEoPe6SozahmFHCQMvRVT5Qo6SxdjupWIB5RXweDf/G94aYB95uSDr1bUv/rwJykRH80OKOr&#10;6XwezZ6C+WKFQMSdZ6rzDDMcoUoaKBm2u5AeSBTOwBZnWask8HMnY8/oyTSn8f1E05/H6dTzK9/8&#10;AQAA//8DAFBLAwQUAAYACAAAACEAuBQCyd4AAAAJAQAADwAAAGRycy9kb3ducmV2LnhtbEyPwW6D&#10;MBBE75X6D9ZW6q0xoEBdgolQpF56C00OvRnsAileI+wQ+vfdntrjzoxm3xT71Y5sMbMfHEqINxEw&#10;g63TA3YSTu+vTwKYDwq1Gh0aCd/Gw768vytUrt0Nj2apQ8eoBH2uJPQhTDnnvu2NVX7jJoPkfbrZ&#10;qkDn3HE9qxuV25EnUZRxqwakD72azKE37Vd9tRKW0zGtxOFjW/dnfnl5q0QjrJDy8WGtdsCCWcNf&#10;GH7xCR1KYmrcFbVno4QkTikpYZvSJPJF9kxCIyFL4gh4WfD/C8ofAAAA//8DAFBLAQItABQABgAI&#10;AAAAIQC2gziS/gAAAOEBAAATAAAAAAAAAAAAAAAAAAAAAABbQ29udGVudF9UeXBlc10ueG1sUEsB&#10;Ai0AFAAGAAgAAAAhADj9If/WAAAAlAEAAAsAAAAAAAAAAAAAAAAALwEAAF9yZWxzLy5yZWxzUEsB&#10;Ai0AFAAGAAgAAAAhABc1DTchAgAALQQAAA4AAAAAAAAAAAAAAAAALgIAAGRycy9lMm9Eb2MueG1s&#10;UEsBAi0AFAAGAAgAAAAhALgUAsneAAAACQEAAA8AAAAAAAAAAAAAAAAAewQAAGRycy9kb3ducmV2&#10;LnhtbFBLBQYAAAAABAAEAPMAAACGBQAAAAA=&#10;" fillcolor="white [3212]" strokecolor="#b6a04c" strokeweight="1.5pt">
                <v:stroke joinstyle="miter"/>
                <v:textbox>
                  <w:txbxContent>
                    <w:p w14:paraId="40239414" w14:textId="5D04C755" w:rsidR="00364A97" w:rsidRPr="008C46C0" w:rsidRDefault="00364A97" w:rsidP="002361D7">
                      <w:pPr>
                        <w:spacing w:line="276" w:lineRule="auto"/>
                        <w:jc w:val="center"/>
                        <w:rPr>
                          <w:rStyle w:val="Lienhypertexte"/>
                          <w:color w:val="B6A04C"/>
                          <w:lang w:val="de-DE"/>
                        </w:rPr>
                      </w:pPr>
                      <w:r>
                        <w:fldChar w:fldCharType="begin"/>
                      </w:r>
                      <w:r w:rsidRPr="00E57DB6">
                        <w:rPr>
                          <w:lang w:val="de-DE"/>
                        </w:rPr>
                        <w:instrText>HYPERLINK "https://eur-lex.europa.eu/legal-content/FR/TXT/?uri=CELEX%3A62009CJ0092"</w:instrText>
                      </w:r>
                      <w:r>
                        <w:fldChar w:fldCharType="separate"/>
                      </w:r>
                      <w:r w:rsidRPr="002361D7">
                        <w:rPr>
                          <w:rStyle w:val="Lienhypertexte"/>
                          <w:rFonts w:asciiTheme="minorHAnsi" w:hAnsiTheme="minorHAnsi"/>
                          <w:b/>
                          <w:color w:val="B6A04C"/>
                          <w:sz w:val="20"/>
                          <w:szCs w:val="20"/>
                          <w:lang w:val="de-DE"/>
                        </w:rPr>
                        <w:t>CJEU, Grd. Ch., 9 november 2010, Volker und Markus Schecke GbR, and Hartmut Eifert v Land Hessen, C-92/07 and C-93/09, ECLI:EU: C:2010: 662</w:t>
                      </w:r>
                      <w:r>
                        <w:fldChar w:fldCharType="end"/>
                      </w:r>
                    </w:p>
                    <w:p w14:paraId="2FF498D6" w14:textId="77777777" w:rsidR="00364A97" w:rsidRPr="00856642" w:rsidRDefault="00364A97" w:rsidP="00364A97">
                      <w:pPr>
                        <w:spacing w:line="276" w:lineRule="auto"/>
                        <w:jc w:val="right"/>
                        <w:rPr>
                          <w:rFonts w:asciiTheme="minorHAnsi" w:hAnsiTheme="minorHAnsi"/>
                          <w:b/>
                          <w:sz w:val="20"/>
                          <w:szCs w:val="20"/>
                          <w:lang w:val="de-DE"/>
                        </w:rPr>
                      </w:pPr>
                    </w:p>
                    <w:p w14:paraId="74FD8590" w14:textId="22235731" w:rsidR="00364A97" w:rsidRPr="002361D7" w:rsidRDefault="00364A97" w:rsidP="00364A97">
                      <w:pPr>
                        <w:spacing w:line="276" w:lineRule="auto"/>
                        <w:jc w:val="both"/>
                        <w:rPr>
                          <w:rFonts w:asciiTheme="minorHAnsi" w:hAnsiTheme="minorHAnsi"/>
                          <w:b/>
                          <w:bCs/>
                          <w:color w:val="2C2D5B"/>
                          <w:sz w:val="20"/>
                          <w:szCs w:val="20"/>
                        </w:rPr>
                      </w:pPr>
                      <w:r w:rsidRPr="002361D7">
                        <w:rPr>
                          <w:rFonts w:asciiTheme="minorHAnsi" w:hAnsiTheme="minorHAnsi"/>
                          <w:b/>
                          <w:bCs/>
                          <w:color w:val="2C2D5B"/>
                          <w:sz w:val="20"/>
                          <w:szCs w:val="20"/>
                        </w:rPr>
                        <w:t>Facts</w:t>
                      </w:r>
                      <w:r w:rsidR="002361D7" w:rsidRPr="002361D7">
                        <w:rPr>
                          <w:rFonts w:asciiTheme="minorHAnsi" w:hAnsiTheme="minorHAnsi"/>
                          <w:b/>
                          <w:bCs/>
                          <w:color w:val="2C2D5B"/>
                          <w:sz w:val="20"/>
                          <w:szCs w:val="20"/>
                        </w:rPr>
                        <w:t xml:space="preserve"> </w:t>
                      </w:r>
                      <w:r w:rsidRPr="002361D7">
                        <w:rPr>
                          <w:rFonts w:asciiTheme="minorHAnsi" w:hAnsiTheme="minorHAnsi"/>
                          <w:b/>
                          <w:bCs/>
                          <w:color w:val="2C2D5B"/>
                          <w:sz w:val="20"/>
                          <w:szCs w:val="20"/>
                        </w:rPr>
                        <w:t xml:space="preserve">: </w:t>
                      </w:r>
                    </w:p>
                    <w:p w14:paraId="55980DDA" w14:textId="091134DA" w:rsidR="00364A97" w:rsidRPr="002361D7" w:rsidRDefault="00364A97" w:rsidP="00364A97">
                      <w:pPr>
                        <w:spacing w:line="276" w:lineRule="auto"/>
                        <w:jc w:val="both"/>
                        <w:rPr>
                          <w:rFonts w:asciiTheme="minorHAnsi" w:hAnsiTheme="minorHAnsi"/>
                          <w:color w:val="2C2D5B"/>
                          <w:sz w:val="20"/>
                          <w:szCs w:val="20"/>
                        </w:rPr>
                      </w:pPr>
                      <w:r w:rsidRPr="002361D7">
                        <w:rPr>
                          <w:rFonts w:asciiTheme="minorHAnsi" w:hAnsiTheme="minorHAnsi"/>
                          <w:color w:val="2C2D5B"/>
                          <w:sz w:val="20"/>
                          <w:szCs w:val="20"/>
                        </w:rPr>
                        <w:t xml:space="preserve">The case examined whether public disclosure of personal data about beneficiaries of EU agricultural funds, published on a government website, infringed on the rights to data protection and private life. </w:t>
                      </w:r>
                    </w:p>
                    <w:p w14:paraId="4558424E" w14:textId="70E585E2" w:rsidR="00364A97" w:rsidRPr="002361D7" w:rsidRDefault="00364A97" w:rsidP="00364A97">
                      <w:pPr>
                        <w:spacing w:line="276" w:lineRule="auto"/>
                        <w:jc w:val="both"/>
                        <w:rPr>
                          <w:rFonts w:asciiTheme="minorHAnsi" w:hAnsiTheme="minorHAnsi"/>
                          <w:color w:val="2C2D5B"/>
                          <w:sz w:val="20"/>
                          <w:szCs w:val="20"/>
                        </w:rPr>
                      </w:pPr>
                      <w:r w:rsidRPr="002361D7">
                        <w:rPr>
                          <w:rFonts w:asciiTheme="minorHAnsi" w:hAnsiTheme="minorHAnsi"/>
                          <w:b/>
                          <w:bCs/>
                          <w:color w:val="2C2D5B"/>
                          <w:sz w:val="20"/>
                          <w:szCs w:val="20"/>
                        </w:rPr>
                        <w:t>Article 8(1) of the Charter</w:t>
                      </w:r>
                      <w:r w:rsidRPr="002361D7">
                        <w:rPr>
                          <w:rFonts w:asciiTheme="minorHAnsi" w:hAnsiTheme="minorHAnsi"/>
                          <w:color w:val="2C2D5B"/>
                          <w:sz w:val="20"/>
                          <w:szCs w:val="20"/>
                        </w:rPr>
                        <w:t xml:space="preserve"> states that “</w:t>
                      </w:r>
                      <w:r w:rsidRPr="002361D7">
                        <w:rPr>
                          <w:rFonts w:asciiTheme="minorHAnsi" w:hAnsiTheme="minorHAnsi"/>
                          <w:i/>
                          <w:iCs/>
                          <w:color w:val="2C2D5B"/>
                          <w:sz w:val="20"/>
                          <w:szCs w:val="20"/>
                        </w:rPr>
                        <w:t>everyone has the right to the protection of personal data concerning him or her’</w:t>
                      </w:r>
                      <w:r w:rsidRPr="002361D7">
                        <w:rPr>
                          <w:rFonts w:asciiTheme="minorHAnsi" w:hAnsiTheme="minorHAnsi"/>
                          <w:color w:val="2C2D5B"/>
                          <w:sz w:val="20"/>
                          <w:szCs w:val="20"/>
                        </w:rPr>
                        <w:t xml:space="preserve">” That fundamental right is closely connected with the right to respect of private life expressed in </w:t>
                      </w:r>
                      <w:r w:rsidRPr="002361D7">
                        <w:rPr>
                          <w:rFonts w:asciiTheme="minorHAnsi" w:hAnsiTheme="minorHAnsi"/>
                          <w:b/>
                          <w:bCs/>
                          <w:color w:val="2C2D5B"/>
                          <w:sz w:val="20"/>
                          <w:szCs w:val="20"/>
                        </w:rPr>
                        <w:t>Article 7 of the Charter</w:t>
                      </w:r>
                      <w:r w:rsidRPr="002361D7">
                        <w:rPr>
                          <w:rFonts w:asciiTheme="minorHAnsi" w:hAnsiTheme="minorHAnsi"/>
                          <w:color w:val="2C2D5B"/>
                          <w:sz w:val="20"/>
                          <w:szCs w:val="20"/>
                        </w:rPr>
                        <w:t>.</w:t>
                      </w:r>
                    </w:p>
                    <w:p w14:paraId="65F48991" w14:textId="77777777" w:rsidR="00364A97" w:rsidRPr="002361D7" w:rsidRDefault="00364A97" w:rsidP="00364A97">
                      <w:pPr>
                        <w:spacing w:line="276" w:lineRule="auto"/>
                        <w:jc w:val="both"/>
                        <w:rPr>
                          <w:rFonts w:asciiTheme="minorHAnsi" w:hAnsiTheme="minorHAnsi"/>
                          <w:color w:val="2C2D5B"/>
                          <w:sz w:val="20"/>
                          <w:szCs w:val="20"/>
                        </w:rPr>
                      </w:pPr>
                    </w:p>
                    <w:p w14:paraId="142EDE8F" w14:textId="7A12A057" w:rsidR="00364A97" w:rsidRPr="002361D7" w:rsidRDefault="00364A97" w:rsidP="00364A97">
                      <w:pPr>
                        <w:spacing w:line="276" w:lineRule="auto"/>
                        <w:jc w:val="both"/>
                        <w:rPr>
                          <w:rFonts w:asciiTheme="minorHAnsi" w:hAnsiTheme="minorHAnsi"/>
                          <w:b/>
                          <w:bCs/>
                          <w:color w:val="2C2D5B"/>
                          <w:sz w:val="20"/>
                          <w:szCs w:val="20"/>
                        </w:rPr>
                      </w:pPr>
                      <w:r w:rsidRPr="002361D7">
                        <w:rPr>
                          <w:rFonts w:asciiTheme="minorHAnsi" w:hAnsiTheme="minorHAnsi"/>
                          <w:b/>
                          <w:bCs/>
                          <w:color w:val="2C2D5B"/>
                          <w:sz w:val="20"/>
                          <w:szCs w:val="20"/>
                        </w:rPr>
                        <w:t>Ruling</w:t>
                      </w:r>
                      <w:r w:rsidR="00152D6A">
                        <w:rPr>
                          <w:rFonts w:asciiTheme="minorHAnsi" w:hAnsiTheme="minorHAnsi"/>
                          <w:b/>
                          <w:bCs/>
                          <w:color w:val="2C2D5B"/>
                          <w:sz w:val="20"/>
                          <w:szCs w:val="20"/>
                        </w:rPr>
                        <w:t xml:space="preserve"> </w:t>
                      </w:r>
                      <w:r w:rsidRPr="002361D7">
                        <w:rPr>
                          <w:rFonts w:asciiTheme="minorHAnsi" w:hAnsiTheme="minorHAnsi"/>
                          <w:b/>
                          <w:bCs/>
                          <w:color w:val="2C2D5B"/>
                          <w:sz w:val="20"/>
                          <w:szCs w:val="20"/>
                        </w:rPr>
                        <w:t>:</w:t>
                      </w:r>
                      <w:r w:rsidR="002361D7" w:rsidRPr="002361D7">
                        <w:rPr>
                          <w:rFonts w:asciiTheme="minorHAnsi" w:hAnsiTheme="minorHAnsi"/>
                          <w:b/>
                          <w:bCs/>
                          <w:color w:val="2C2D5B"/>
                          <w:sz w:val="20"/>
                          <w:szCs w:val="20"/>
                        </w:rPr>
                        <w:t xml:space="preserve"> </w:t>
                      </w:r>
                    </w:p>
                    <w:p w14:paraId="714E7AB5" w14:textId="20CBFFD8" w:rsidR="00364A97" w:rsidRPr="002361D7" w:rsidRDefault="00364A97" w:rsidP="00C67602">
                      <w:pPr>
                        <w:spacing w:line="276" w:lineRule="auto"/>
                        <w:jc w:val="both"/>
                        <w:rPr>
                          <w:rFonts w:asciiTheme="minorHAnsi" w:hAnsiTheme="minorHAnsi"/>
                          <w:color w:val="2C2D5B"/>
                          <w:sz w:val="20"/>
                          <w:szCs w:val="20"/>
                        </w:rPr>
                      </w:pPr>
                      <w:r w:rsidRPr="002361D7">
                        <w:rPr>
                          <w:rFonts w:asciiTheme="minorHAnsi" w:hAnsiTheme="minorHAnsi"/>
                          <w:color w:val="2C2D5B"/>
                          <w:sz w:val="20"/>
                          <w:szCs w:val="20"/>
                        </w:rPr>
                        <w:t xml:space="preserve">The CJEU ruled that </w:t>
                      </w:r>
                      <w:r w:rsidR="00E96C7C" w:rsidRPr="002361D7">
                        <w:rPr>
                          <w:rFonts w:asciiTheme="minorHAnsi" w:hAnsiTheme="minorHAnsi"/>
                          <w:color w:val="2C2D5B"/>
                          <w:sz w:val="20"/>
                          <w:szCs w:val="20"/>
                        </w:rPr>
                        <w:t xml:space="preserve">the right to the protection of personal data is  not an absolute right, but must be considered in relation to its functions in society. </w:t>
                      </w:r>
                      <w:r w:rsidRPr="002361D7">
                        <w:rPr>
                          <w:rFonts w:asciiTheme="minorHAnsi" w:hAnsiTheme="minorHAnsi"/>
                          <w:color w:val="2C2D5B"/>
                          <w:sz w:val="20"/>
                          <w:szCs w:val="20"/>
                        </w:rPr>
                        <w:t xml:space="preserve">Article 8(2) of the Charter thus </w:t>
                      </w:r>
                      <w:r w:rsidR="00E96C7C" w:rsidRPr="002361D7">
                        <w:rPr>
                          <w:rFonts w:asciiTheme="minorHAnsi" w:hAnsiTheme="minorHAnsi"/>
                          <w:color w:val="2C2D5B"/>
                          <w:sz w:val="20"/>
                          <w:szCs w:val="20"/>
                        </w:rPr>
                        <w:t>authori</w:t>
                      </w:r>
                      <w:r w:rsidR="00145404" w:rsidRPr="002361D7">
                        <w:rPr>
                          <w:rFonts w:asciiTheme="minorHAnsi" w:hAnsiTheme="minorHAnsi"/>
                          <w:color w:val="2C2D5B"/>
                          <w:sz w:val="20"/>
                          <w:szCs w:val="20"/>
                        </w:rPr>
                        <w:t>s</w:t>
                      </w:r>
                      <w:r w:rsidR="00E96C7C" w:rsidRPr="002361D7">
                        <w:rPr>
                          <w:rFonts w:asciiTheme="minorHAnsi" w:hAnsiTheme="minorHAnsi"/>
                          <w:color w:val="2C2D5B"/>
                          <w:sz w:val="20"/>
                          <w:szCs w:val="20"/>
                        </w:rPr>
                        <w:t>es</w:t>
                      </w:r>
                      <w:r w:rsidRPr="002361D7">
                        <w:rPr>
                          <w:rFonts w:asciiTheme="minorHAnsi" w:hAnsiTheme="minorHAnsi"/>
                          <w:color w:val="2C2D5B"/>
                          <w:sz w:val="20"/>
                          <w:szCs w:val="20"/>
                        </w:rPr>
                        <w:t xml:space="preserve"> the processing of personal data if certain conditions are satisfied.</w:t>
                      </w:r>
                    </w:p>
                    <w:p w14:paraId="3351AC80" w14:textId="77777777" w:rsidR="00E96C7C" w:rsidRPr="002361D7" w:rsidRDefault="00E96C7C" w:rsidP="00C67602">
                      <w:pPr>
                        <w:spacing w:line="276" w:lineRule="auto"/>
                        <w:jc w:val="both"/>
                        <w:rPr>
                          <w:rFonts w:asciiTheme="minorHAnsi" w:hAnsiTheme="minorHAnsi"/>
                          <w:color w:val="2C2D5B"/>
                          <w:sz w:val="20"/>
                          <w:szCs w:val="20"/>
                        </w:rPr>
                      </w:pPr>
                    </w:p>
                    <w:p w14:paraId="78B447AA" w14:textId="5E71E2CD" w:rsidR="00364A97" w:rsidRPr="002361D7" w:rsidRDefault="00364A97" w:rsidP="00327D5A">
                      <w:pPr>
                        <w:jc w:val="both"/>
                        <w:rPr>
                          <w:color w:val="2C2D5B"/>
                        </w:rPr>
                      </w:pPr>
                      <w:r w:rsidRPr="002361D7">
                        <w:rPr>
                          <w:rFonts w:asciiTheme="minorHAnsi" w:hAnsiTheme="minorHAnsi"/>
                          <w:color w:val="2C2D5B"/>
                          <w:sz w:val="20"/>
                          <w:szCs w:val="20"/>
                        </w:rPr>
                        <w:t>Article 52(1) of the Charter accepts that limitations may be imposed on the exercise of rights</w:t>
                      </w:r>
                      <w:r w:rsidR="00E96C7C" w:rsidRPr="002361D7">
                        <w:rPr>
                          <w:rFonts w:asciiTheme="minorHAnsi" w:hAnsiTheme="minorHAnsi"/>
                          <w:color w:val="2C2D5B"/>
                          <w:sz w:val="20"/>
                          <w:szCs w:val="20"/>
                        </w:rPr>
                        <w:t>,</w:t>
                      </w:r>
                      <w:r w:rsidRPr="002361D7">
                        <w:rPr>
                          <w:rFonts w:asciiTheme="minorHAnsi" w:hAnsiTheme="minorHAnsi"/>
                          <w:color w:val="2C2D5B"/>
                          <w:sz w:val="20"/>
                          <w:szCs w:val="20"/>
                        </w:rPr>
                        <w:t xml:space="preserve"> such as those set forth in Articles 7 and 8 of the Charter, as long as the limitations are provided for by law, respect the essence of those rights and freedoms and, subject to the principle of proportionality, are necessary and genuinely meet objectives of general interest </w:t>
                      </w:r>
                      <w:r w:rsidR="00E96C7C" w:rsidRPr="002361D7">
                        <w:rPr>
                          <w:rFonts w:asciiTheme="minorHAnsi" w:hAnsiTheme="minorHAnsi"/>
                          <w:color w:val="2C2D5B"/>
                          <w:sz w:val="20"/>
                          <w:szCs w:val="20"/>
                        </w:rPr>
                        <w:t>recognized</w:t>
                      </w:r>
                      <w:r w:rsidRPr="002361D7">
                        <w:rPr>
                          <w:rFonts w:asciiTheme="minorHAnsi" w:hAnsiTheme="minorHAnsi"/>
                          <w:color w:val="2C2D5B"/>
                          <w:sz w:val="20"/>
                          <w:szCs w:val="20"/>
                        </w:rPr>
                        <w:t xml:space="preserve"> by the European Union or the need to protect the rights and freedoms of others.</w:t>
                      </w:r>
                    </w:p>
                  </w:txbxContent>
                </v:textbox>
                <w10:wrap type="square" anchorx="margin"/>
              </v:roundrect>
            </w:pict>
          </mc:Fallback>
        </mc:AlternateContent>
      </w:r>
    </w:p>
    <w:p w14:paraId="6844D631" w14:textId="630C37CB" w:rsidR="002361D7" w:rsidRPr="00C9095E" w:rsidRDefault="002361D7" w:rsidP="00EC2273">
      <w:pPr>
        <w:spacing w:line="276" w:lineRule="auto"/>
        <w:jc w:val="both"/>
        <w:rPr>
          <w:rFonts w:asciiTheme="majorHAnsi" w:hAnsiTheme="majorHAnsi" w:cstheme="majorHAnsi"/>
          <w:color w:val="2C2D5B"/>
        </w:rPr>
      </w:pPr>
    </w:p>
    <w:p w14:paraId="4D7199BB" w14:textId="77777777" w:rsidR="002361D7" w:rsidRDefault="002361D7" w:rsidP="00EC2273">
      <w:pPr>
        <w:spacing w:line="276" w:lineRule="auto"/>
        <w:jc w:val="both"/>
        <w:rPr>
          <w:rFonts w:asciiTheme="majorHAnsi" w:hAnsiTheme="majorHAnsi" w:cstheme="majorHAnsi"/>
        </w:rPr>
      </w:pPr>
    </w:p>
    <w:p w14:paraId="290B55C7" w14:textId="3AED60FB" w:rsidR="000D1ED9" w:rsidRDefault="00EC2273" w:rsidP="00EC2273">
      <w:pPr>
        <w:spacing w:line="276" w:lineRule="auto"/>
        <w:jc w:val="both"/>
        <w:rPr>
          <w:rFonts w:asciiTheme="majorHAnsi" w:hAnsiTheme="majorHAnsi" w:cstheme="majorHAnsi"/>
          <w:color w:val="2C2D5B"/>
        </w:rPr>
      </w:pPr>
      <w:r w:rsidRPr="002361D7">
        <w:rPr>
          <w:rFonts w:asciiTheme="majorHAnsi" w:hAnsiTheme="majorHAnsi" w:cstheme="majorHAnsi"/>
          <w:color w:val="2C2D5B"/>
        </w:rPr>
        <w:t>Although</w:t>
      </w:r>
      <w:r w:rsidR="00662304" w:rsidRPr="002361D7">
        <w:rPr>
          <w:rFonts w:asciiTheme="majorHAnsi" w:hAnsiTheme="majorHAnsi" w:cstheme="majorHAnsi"/>
          <w:color w:val="2C2D5B"/>
        </w:rPr>
        <w:t xml:space="preserve"> Article </w:t>
      </w:r>
      <w:r w:rsidRPr="002361D7">
        <w:rPr>
          <w:rFonts w:asciiTheme="majorHAnsi" w:hAnsiTheme="majorHAnsi" w:cstheme="majorHAnsi"/>
          <w:color w:val="2C2D5B"/>
        </w:rPr>
        <w:t>52(1) of the Charter</w:t>
      </w:r>
      <w:r w:rsidR="00E96C7C" w:rsidRPr="002361D7">
        <w:rPr>
          <w:rFonts w:asciiTheme="majorHAnsi" w:hAnsiTheme="majorHAnsi" w:cstheme="majorHAnsi"/>
          <w:color w:val="2C2D5B"/>
        </w:rPr>
        <w:t xml:space="preserve"> permits some rights limitations, certain rights remain absolute.</w:t>
      </w:r>
      <w:r w:rsidR="00884BC9" w:rsidRPr="002361D7">
        <w:rPr>
          <w:rFonts w:asciiTheme="majorHAnsi" w:hAnsiTheme="majorHAnsi" w:cstheme="majorHAnsi"/>
          <w:color w:val="2C2D5B"/>
        </w:rPr>
        <w:t xml:space="preserve"> </w:t>
      </w:r>
      <w:r w:rsidRPr="002361D7">
        <w:rPr>
          <w:rFonts w:asciiTheme="majorHAnsi" w:hAnsiTheme="majorHAnsi" w:cstheme="majorHAnsi"/>
          <w:color w:val="2C2D5B"/>
        </w:rPr>
        <w:t>Since the ECHR acts as a minimum standard of p</w:t>
      </w:r>
      <w:r w:rsidR="00662304" w:rsidRPr="002361D7">
        <w:rPr>
          <w:rFonts w:asciiTheme="majorHAnsi" w:hAnsiTheme="majorHAnsi" w:cstheme="majorHAnsi"/>
          <w:color w:val="2C2D5B"/>
        </w:rPr>
        <w:t xml:space="preserve">rotection, by virtue of Article </w:t>
      </w:r>
      <w:r w:rsidRPr="002361D7">
        <w:rPr>
          <w:rFonts w:asciiTheme="majorHAnsi" w:hAnsiTheme="majorHAnsi" w:cstheme="majorHAnsi"/>
          <w:color w:val="2C2D5B"/>
        </w:rPr>
        <w:t>52(3) of the Charter, fundamental rights that are characterised as absolute rights under the ECHR (such as the right to life, or the prohibition of torture, inhuman and degrading treatment) cannot be limited under the Charter either.</w:t>
      </w:r>
    </w:p>
    <w:p w14:paraId="1A28F856" w14:textId="77777777" w:rsidR="00C53280" w:rsidRDefault="00C53280" w:rsidP="00EC2273">
      <w:pPr>
        <w:spacing w:line="276" w:lineRule="auto"/>
        <w:jc w:val="both"/>
        <w:rPr>
          <w:rFonts w:asciiTheme="majorHAnsi" w:hAnsiTheme="majorHAnsi" w:cstheme="majorHAnsi"/>
          <w:color w:val="2C2D5B"/>
        </w:rPr>
      </w:pPr>
    </w:p>
    <w:p w14:paraId="701AE033" w14:textId="77777777" w:rsidR="00152D6A" w:rsidRPr="00152D6A" w:rsidRDefault="00152D6A" w:rsidP="00EC2273">
      <w:pPr>
        <w:spacing w:line="276" w:lineRule="auto"/>
        <w:jc w:val="both"/>
        <w:rPr>
          <w:rFonts w:asciiTheme="majorHAnsi" w:hAnsiTheme="majorHAnsi" w:cstheme="majorHAnsi"/>
        </w:rPr>
      </w:pPr>
    </w:p>
    <w:bookmarkStart w:id="14" w:name="_Toc188457872"/>
    <w:p w14:paraId="3E228CCF" w14:textId="5703B35B" w:rsidR="00884BC9" w:rsidRPr="00152D6A" w:rsidRDefault="00152D6A" w:rsidP="00884BC9">
      <w:pPr>
        <w:pStyle w:val="Nadpis1"/>
        <w:numPr>
          <w:ilvl w:val="0"/>
          <w:numId w:val="69"/>
        </w:numPr>
        <w:ind w:hanging="1287"/>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A300E">
        <w:rPr>
          <w:rFonts w:ascii="Calibri" w:hAnsi="Calibri" w:cs="Calibri"/>
          <w:b/>
          <w:bCs/>
          <w:noProof/>
          <w:color w:val="FFFFFF" w:themeColor="background1"/>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Contextual"/>
        </w:rPr>
        <w:lastRenderedPageBreak/>
        <mc:AlternateContent>
          <mc:Choice Requires="wps">
            <w:drawing>
              <wp:anchor distT="0" distB="0" distL="114300" distR="114300" simplePos="0" relativeHeight="251849728" behindDoc="0" locked="0" layoutInCell="1" allowOverlap="1" wp14:anchorId="7E22A1AD" wp14:editId="43C4FF2E">
                <wp:simplePos x="0" y="0"/>
                <wp:positionH relativeFrom="column">
                  <wp:posOffset>506321</wp:posOffset>
                </wp:positionH>
                <wp:positionV relativeFrom="paragraph">
                  <wp:posOffset>445319</wp:posOffset>
                </wp:positionV>
                <wp:extent cx="586740" cy="45085"/>
                <wp:effectExtent l="38100" t="38100" r="60960" b="88265"/>
                <wp:wrapNone/>
                <wp:docPr id="2075266645" name="Rectangle 63"/>
                <wp:cNvGraphicFramePr/>
                <a:graphic xmlns:a="http://schemas.openxmlformats.org/drawingml/2006/main">
                  <a:graphicData uri="http://schemas.microsoft.com/office/word/2010/wordprocessingShape">
                    <wps:wsp>
                      <wps:cNvSpPr/>
                      <wps:spPr>
                        <a:xfrm>
                          <a:off x="0" y="0"/>
                          <a:ext cx="586740" cy="45085"/>
                        </a:xfrm>
                        <a:prstGeom prst="rect">
                          <a:avLst/>
                        </a:prstGeom>
                        <a:solidFill>
                          <a:srgbClr val="B6A04C"/>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8B7B3EF" id="Rectangle 63" o:spid="_x0000_s1026" style="position:absolute;margin-left:39.85pt;margin-top:35.05pt;width:46.2pt;height:3.55pt;z-index:251849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xMk0wIAABIGAAAOAAAAZHJzL2Uyb0RvYy54bWysVFFv2jAQfp+0/2D5fU1g0DLUUDGqTpOq&#10;FpVOfTaOQ6w5tmcbAvv1u7NDYG2fpvFgfPHdd9999t31zb5RZCecl0YXdHCRUyI0N6XUm4L+eL77&#10;NKHEB6ZLpowWBT0IT29mHz9ct3YqhqY2qhSOAIj209YWtA7BTrPM81o0zF8YKzQcVsY1LIDpNlnp&#10;WAvojcqGeX6ZtcaV1hkuvIevt+mQziJ+VQkeHqvKi0BUQYFbiKuL6xrXbHbNphvHbC15R4P9A4uG&#10;SQ1Je6hbFhjZOvkGqpHcGW+qcMFNk5mqklzEGqCaQf6qmlXNrIi1gDje9jL5/wfLH3Yru3QgQ2v9&#10;1MMWq9hXrsF/4Ef2UaxDL5bYB8Lh43hyeTUCSTkcjcb5ZIxaZqdY63z4JkxDcFNQB1cRFWK7ex+S&#10;69EFU3mjZHknlYqG26wXypEdg2v7ejnPR4sO/S83pdFZGwxLiOmLiBcPaWIN2yDcqi5bslZb98RK&#10;oJ5PcmBeSiT2eTJIBryK4VWOP0qY2sBzDooSZ8KLDHW8CtQAIZF3T2+tGP+ZKlO2ZonzKMKcqgTv&#10;KI45konWGc/sJH/chYMSmErpJ1ERWYLgw5gkdoboszPOhQ6DdFSzUqT8gzGWkfL3ETFnBETkCkTr&#10;sTsA7Lq32Amm88fQxLsPTqL0aRKDI7EU3EfEzEaHPriR2rj3KlNQVZc5+QP9M2lwuzblYenwiuIb&#10;9ZbfSbiae+bDkjnoY7hJmE3hEZZKmbagpttRUhv3+73v6A/tBaeUtDAXCup/bZkTlKjvGhrvy2CE&#10;rz5EYzS+GoLhzk/W5yd62ywMvOEBTEHL4xb9gzpuK2eaFxhhc8wKR0xzyF1QHtzRWIQ0r2AIcjGf&#10;RzcYHpaFe72yHMFRVXyUz/sX5mzXcQE69cEcZwibvmq85IuR2sy3wVQyduVJ105vGDzx4XRDEifb&#10;uR29TqN89gcAAP//AwBQSwMEFAAGAAgAAAAhAO8t/RTaAAAACAEAAA8AAABkcnMvZG93bnJldi54&#10;bWxMj01OwzAQhfdI3MEaJHbUbii4pHEqRBWxbssB3HhIosbjKHabcHumK1jNz3t6802xnX0vrjjG&#10;LpCB5UKBQKqD66gx8HWsntYgYrLkbB8IDfxghG15f1fY3IWJ9ng9pEZwCMXcGmhTGnIpY92it3ER&#10;BiTWvsPobeJxbKQb7cThvpeZUq/S2474QmsH/GixPh8u3sDntKqcqlfS47Pep2q9e6nczpjHh/l9&#10;AyLhnP7McMNndCiZ6RQu5KLoDeg3zU6uagnipuuMmxMvdAayLOT/B8pfAAAA//8DAFBLAQItABQA&#10;BgAIAAAAIQC2gziS/gAAAOEBAAATAAAAAAAAAAAAAAAAAAAAAABbQ29udGVudF9UeXBlc10ueG1s&#10;UEsBAi0AFAAGAAgAAAAhADj9If/WAAAAlAEAAAsAAAAAAAAAAAAAAAAALwEAAF9yZWxzLy5yZWxz&#10;UEsBAi0AFAAGAAgAAAAhAK+DEyTTAgAAEgYAAA4AAAAAAAAAAAAAAAAALgIAAGRycy9lMm9Eb2Mu&#10;eG1sUEsBAi0AFAAGAAgAAAAhAO8t/RTaAAAACAEAAA8AAAAAAAAAAAAAAAAALQUAAGRycy9kb3du&#10;cmV2LnhtbFBLBQYAAAAABAAEAPMAAAA0BgAAAAA=&#10;" fillcolor="#b6a04c" stroked="f" strokeweight="1pt">
                <v:shadow on="t" color="black" opacity="26214f" origin="-.5,-.5" offset=".74836mm,.74836mm"/>
              </v:rect>
            </w:pict>
          </mc:Fallback>
        </mc:AlternateContent>
      </w:r>
      <w:r w:rsidR="0038554D" w:rsidRPr="00152D6A">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Relationship and convergence of the </w:t>
      </w:r>
      <w:r w:rsidR="00F01D39" w:rsidRPr="00152D6A">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EU Charter and the </w:t>
      </w:r>
      <w:r w:rsidR="00871E9D" w:rsidRPr="00152D6A">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European </w:t>
      </w:r>
      <w:r w:rsidR="00871E9D" w:rsidRPr="00152D6A">
        <w:rPr>
          <w:rFonts w:ascii="Calibri" w:hAnsi="Calibri" w:cs="Calibri"/>
          <w:b/>
          <w:bCs/>
          <w:color w:val="C9CAE5"/>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Convention o</w:t>
      </w:r>
      <w:r w:rsidR="001B5403" w:rsidRPr="00152D6A">
        <w:rPr>
          <w:rFonts w:ascii="Calibri" w:hAnsi="Calibri" w:cs="Calibri"/>
          <w:b/>
          <w:bCs/>
          <w:color w:val="C9CAE5"/>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w:t>
      </w:r>
      <w:r w:rsidR="008B4B98" w:rsidRPr="00152D6A">
        <w:rPr>
          <w:rFonts w:ascii="Calibri" w:hAnsi="Calibri" w:cs="Calibri"/>
          <w:b/>
          <w:bCs/>
          <w:color w:val="C9CAE5"/>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222A0F" w:rsidRPr="00152D6A">
        <w:rPr>
          <w:rFonts w:ascii="Calibri" w:hAnsi="Calibri" w:cs="Calibri"/>
          <w:b/>
          <w:bCs/>
          <w:color w:val="C9CAE5"/>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Human Rights</w:t>
      </w:r>
      <w:bookmarkEnd w:id="14"/>
      <w:r w:rsidR="0038554D" w:rsidRPr="00152D6A">
        <w:rPr>
          <w:rFonts w:ascii="Calibri" w:hAnsi="Calibri" w:cs="Calibri"/>
          <w:b/>
          <w:bCs/>
          <w:color w:val="C9CAE5"/>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3C775617" w14:textId="44048B64" w:rsidR="00884BC9" w:rsidRDefault="00CB0240" w:rsidP="00884BC9">
      <w:r w:rsidRPr="00AC4EAF">
        <w:rPr>
          <w:rStyle w:val="Siln"/>
          <w:rFonts w:ascii="Calibri Light" w:hAnsi="Calibri Light" w:cs="Calibri Light"/>
          <w:noProof/>
          <w:sz w:val="26"/>
          <w:szCs w:val="26"/>
        </w:rPr>
        <w:drawing>
          <wp:anchor distT="0" distB="0" distL="114300" distR="114300" simplePos="0" relativeHeight="251893760" behindDoc="0" locked="0" layoutInCell="1" allowOverlap="1" wp14:anchorId="7080F49B" wp14:editId="1D2D6CF1">
            <wp:simplePos x="0" y="0"/>
            <wp:positionH relativeFrom="column">
              <wp:posOffset>1411111</wp:posOffset>
            </wp:positionH>
            <wp:positionV relativeFrom="paragraph">
              <wp:posOffset>36971</wp:posOffset>
            </wp:positionV>
            <wp:extent cx="676910" cy="646430"/>
            <wp:effectExtent l="0" t="0" r="8890" b="1270"/>
            <wp:wrapNone/>
            <wp:docPr id="1434738759" name="Image 1" descr="Une image contenant croquis, clipart, dessin humoristique, Dessin d’enf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187443" name="Image 1" descr="Une image contenant croquis, clipart, dessin humoristique, Dessin d’enfant&#10;&#10;Description générée automatiquement"/>
                    <pic:cNvPicPr/>
                  </pic:nvPicPr>
                  <pic:blipFill>
                    <a:blip r:embed="rId12">
                      <a:extLst>
                        <a:ext uri="{28A0092B-C50C-407E-A947-70E740481C1C}">
                          <a14:useLocalDpi xmlns:a14="http://schemas.microsoft.com/office/drawing/2010/main" val="0"/>
                        </a:ext>
                      </a:extLst>
                    </a:blip>
                    <a:stretch>
                      <a:fillRect/>
                    </a:stretch>
                  </pic:blipFill>
                  <pic:spPr>
                    <a:xfrm>
                      <a:off x="0" y="0"/>
                      <a:ext cx="676910" cy="646430"/>
                    </a:xfrm>
                    <a:prstGeom prst="rect">
                      <a:avLst/>
                    </a:prstGeom>
                  </pic:spPr>
                </pic:pic>
              </a:graphicData>
            </a:graphic>
            <wp14:sizeRelH relativeFrom="page">
              <wp14:pctWidth>0</wp14:pctWidth>
            </wp14:sizeRelH>
            <wp14:sizeRelV relativeFrom="page">
              <wp14:pctHeight>0</wp14:pctHeight>
            </wp14:sizeRelV>
          </wp:anchor>
        </w:drawing>
      </w:r>
    </w:p>
    <w:p w14:paraId="2ECDCF8D" w14:textId="45DEFB20" w:rsidR="00D64BBF" w:rsidRDefault="008A3768" w:rsidP="00884BC9">
      <w:r>
        <w:rPr>
          <w:rFonts w:ascii="Calibri Light" w:hAnsi="Calibri Light" w:cs="Calibri Light"/>
          <w:b/>
          <w:bCs/>
          <w:noProof/>
          <w:sz w:val="26"/>
          <w:szCs w:val="26"/>
          <w14:ligatures w14:val="standardContextual"/>
        </w:rPr>
        <mc:AlternateContent>
          <mc:Choice Requires="wps">
            <w:drawing>
              <wp:anchor distT="0" distB="0" distL="114300" distR="114300" simplePos="0" relativeHeight="251883520" behindDoc="1" locked="0" layoutInCell="1" allowOverlap="1" wp14:anchorId="000E851C" wp14:editId="08F493FC">
                <wp:simplePos x="0" y="0"/>
                <wp:positionH relativeFrom="column">
                  <wp:posOffset>-212</wp:posOffset>
                </wp:positionH>
                <wp:positionV relativeFrom="paragraph">
                  <wp:posOffset>84173</wp:posOffset>
                </wp:positionV>
                <wp:extent cx="2167467" cy="428977"/>
                <wp:effectExtent l="0" t="0" r="4445" b="9525"/>
                <wp:wrapNone/>
                <wp:docPr id="1161139500" name="Ellipse 66"/>
                <wp:cNvGraphicFramePr/>
                <a:graphic xmlns:a="http://schemas.openxmlformats.org/drawingml/2006/main">
                  <a:graphicData uri="http://schemas.microsoft.com/office/word/2010/wordprocessingShape">
                    <wps:wsp>
                      <wps:cNvSpPr/>
                      <wps:spPr>
                        <a:xfrm>
                          <a:off x="0" y="0"/>
                          <a:ext cx="2167467" cy="428977"/>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469FDF6" id="Ellipse 66" o:spid="_x0000_s1026" style="position:absolute;margin-left:0;margin-top:6.65pt;width:170.65pt;height:33.8pt;z-index:-251432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vxFfAIAAGEFAAAOAAAAZHJzL2Uyb0RvYy54bWysVE1v2zAMvQ/YfxB0X20HadIGcYqgRYcB&#10;QVssHXpWZCkWIIuapMTJfv0o2XHatdhh2EUWRfLxw4+c3xwaTfbCeQWmpMVFTokwHCpltiX98Xz/&#10;5YoSH5ipmAYjSnoUnt4sPn+at3YmRlCDroQjCGL8rLUlrUOwsyzzvBYN8xdghUGlBNewgKLbZpVj&#10;LaI3Ohvl+SRrwVXWARfe4+tdp6SLhC+l4OFRSi8C0SXF3EI6XTo38cwWczbbOmZrxfs02D9k0TBl&#10;MOgAdccCIzun3kE1ijvwIMMFhyYDKRUXqQaspsj/qGZdMytSLdgcb4c2+f8Hyx/2a/vksA2t9TOP&#10;11jFQbomfjE/ckjNOg7NEodAOD6Oisl0PJlSwlE3Hl1dT6exm9nZ2zofvgpoSLyUVGitrI/1sBnb&#10;r3zorE9W8dmDVtW90joJkQPiVjuyZ/j3Ntuix39jpU20NRC9OsD4kp2rSbdw1CLaafNdSKKqmH9K&#10;JBHtHIRxLkwoOlXNKtHFLi7zPHEFqxs8Uq0JMCJLjD9g9wBvCzhhd1n29tFVJJ4OzvnfEuucB48U&#10;GUwYnBtlwH0EoLGqPnJnf2pS15rYpQ1UxydHHHRT4i2/V/jnVsyHJ+ZwLHCAcNTDIx5SQ1tS6G+U&#10;1OB+ffQe7ZGtqKWkxTErqf+5Y05Qor8Z5PF1MR7HuUzC+HI6QsG91mxea8yuuQXkQoFLxfJ0jfZB&#10;n67SQfOCG2EZo6KKGY6xS8qDOwm3oRt/3ClcLJfJDGfRsrAya8sjeOxqpOXz4YU529M3IPEf4DSS&#10;7yjc2UZPA8tdAKkSv8997fuNc5yI0++cuChey8nqvBkXvwEAAP//AwBQSwMEFAAGAAgAAAAhACWR&#10;QkHeAAAABgEAAA8AAABkcnMvZG93bnJldi54bWxMj81OwzAQhO9IvIO1SNyoU0xRCXEqxN+lBURA&#10;QtzceEmixuvIdpvw9iwnuO3srGa+LVaT68UBQ+w8aZjPMhBItbcdNRre3x7OliBiMmRN7wk1fGOE&#10;VXl8VJjc+pFe8VClRnAIxdxoaFMacilj3aIzceYHJPa+fHAmsQyNtMGMHO56eZ5ll9KZjrihNQPe&#10;tljvqr3TsPl43qmweLx7ebpfj1WmFl21/tT69GS6uQaRcEp/x/CLz+hQMtPW78lG0WvgRxJvlQLB&#10;rrqY87DVsMyuQJaF/I9f/gAAAP//AwBQSwECLQAUAAYACAAAACEAtoM4kv4AAADhAQAAEwAAAAAA&#10;AAAAAAAAAAAAAAAAW0NvbnRlbnRfVHlwZXNdLnhtbFBLAQItABQABgAIAAAAIQA4/SH/1gAAAJQB&#10;AAALAAAAAAAAAAAAAAAAAC8BAABfcmVscy8ucmVsc1BLAQItABQABgAIAAAAIQBIZvxFfAIAAGEF&#10;AAAOAAAAAAAAAAAAAAAAAC4CAABkcnMvZTJvRG9jLnhtbFBLAQItABQABgAIAAAAIQAlkUJB3gAA&#10;AAYBAAAPAAAAAAAAAAAAAAAAANYEAABkcnMvZG93bnJldi54bWxQSwUGAAAAAAQABADzAAAA4QUA&#10;AAAA&#10;" fillcolor="white [3212]" stroked="f" strokeweight="1pt">
                <v:stroke joinstyle="miter"/>
              </v:oval>
            </w:pict>
          </mc:Fallback>
        </mc:AlternateContent>
      </w:r>
    </w:p>
    <w:p w14:paraId="31B79561" w14:textId="1654CC73" w:rsidR="009A184E" w:rsidRPr="00BE2184" w:rsidRDefault="008A3768" w:rsidP="00BE2184">
      <w:pPr>
        <w:pStyle w:val="Nadpis4"/>
        <w:jc w:val="both"/>
        <w:rPr>
          <w:b/>
          <w:bCs/>
          <w:sz w:val="26"/>
          <w:szCs w:val="26"/>
          <w:lang w:eastAsia="fr-FR"/>
        </w:rPr>
      </w:pPr>
      <w:r>
        <w:rPr>
          <w:rFonts w:ascii="Calibri Light" w:hAnsi="Calibri Light" w:cs="Calibri Light"/>
          <w:b/>
          <w:bCs/>
          <w:noProof/>
          <w:sz w:val="26"/>
          <w:szCs w:val="26"/>
          <w14:ligatures w14:val="standardContextual"/>
        </w:rPr>
        <mc:AlternateContent>
          <mc:Choice Requires="wps">
            <w:drawing>
              <wp:anchor distT="0" distB="0" distL="114300" distR="114300" simplePos="0" relativeHeight="251882496" behindDoc="1" locked="0" layoutInCell="1" allowOverlap="1" wp14:anchorId="1A2B9287" wp14:editId="6DF3C856">
                <wp:simplePos x="0" y="0"/>
                <wp:positionH relativeFrom="column">
                  <wp:posOffset>-131868</wp:posOffset>
                </wp:positionH>
                <wp:positionV relativeFrom="paragraph">
                  <wp:posOffset>128834</wp:posOffset>
                </wp:positionV>
                <wp:extent cx="5949244" cy="1320800"/>
                <wp:effectExtent l="0" t="0" r="13970" b="12700"/>
                <wp:wrapNone/>
                <wp:docPr id="1940058560" name="Rectangle : coins arrondis 65"/>
                <wp:cNvGraphicFramePr/>
                <a:graphic xmlns:a="http://schemas.openxmlformats.org/drawingml/2006/main">
                  <a:graphicData uri="http://schemas.microsoft.com/office/word/2010/wordprocessingShape">
                    <wps:wsp>
                      <wps:cNvSpPr/>
                      <wps:spPr>
                        <a:xfrm>
                          <a:off x="0" y="0"/>
                          <a:ext cx="5949244" cy="1320800"/>
                        </a:xfrm>
                        <a:prstGeom prst="roundRect">
                          <a:avLst/>
                        </a:prstGeom>
                        <a:noFill/>
                        <a:ln w="19050">
                          <a:solidFill>
                            <a:schemeClr val="accent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1165F30" id="Rectangle : coins arrondis 65" o:spid="_x0000_s1026" style="position:absolute;margin-left:-10.4pt;margin-top:10.15pt;width:468.45pt;height:104pt;z-index:-25143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JsegjwIAAJYFAAAOAAAAZHJzL2Uyb0RvYy54bWysVMFu2zAMvQ/YPwi6r7azZG2COkWQosOA&#10;ri3aDj2rshQLkEVNUuJkXz9Kdpy0yy7DLjYlko/kE8nLq22jyUY4r8CUtDjLKRGGQ6XMqqQ/nm8+&#10;XVDiAzMV02BESXfC06v5xw+XrZ2JEdSgK+EIghg/a21J6xDsLMs8r0XD/BlYYVApwTUs4NGtssqx&#10;FtEbnY3y/EvWgqusAy68x9vrTknnCV9KwcO9lF4EokuKuYX0den7Gr/Z/JLNVo7ZWvE+DfYPWTRM&#10;GQw6QF2zwMjaqT+gGsUdeJDhjEOTgZSKi1QDVlPk76p5qpkVqRYkx9uBJv//YPnd5sk+OKShtX7m&#10;UYxVbKVr4h/zI9tE1m4gS2wD4Xg5mY6no/GYEo664vMov8gTndnB3TofvgpoSBRK6mBtqkd8ksQU&#10;29z6gHHRfm8XQxq4UVqnZ9GGtAg9zSd58vCgVRW10S51iFhqRzYM35ZxLkwokp1eN9+h6u7PJ/mQ&#10;1uCSgh6hYQra4OWBgiSFnRYxlDaPQhJVYdGjLpHYnadj+5pVogtd/DV0AozIEosZsLvkhyTf1tUR&#10;1dtHV5Gae3DuGTqdWOc8eKTIYMLg3CgD7lRlGhntI3f2e5I6aiJLr1DtHhxx0I2Wt/xG4WvfMh8e&#10;mMNZwqnD/RDu8SM14INCL1FSg/t16j7aY4ujlpIWZ7Ok/ueaOUGJ/maw+afFeByHOR3Gk/MRHtyx&#10;5vVYY9bNErBFCtxElicx2ge9F6WD5gXXyCJGRRUzHGOXlAe3PyxDtzNwEXGxWCQzHGDLwq15sjyC&#10;R1ZjIz9vX5izfcsHnJY72M8xm71r+s42ehpYrANIlSbiwGvPNw5/6tl+UcXtcnxOVod1Ov8NAAD/&#10;/wMAUEsDBBQABgAIAAAAIQAR1Af33gAAAAoBAAAPAAAAZHJzL2Rvd25yZXYueG1sTI/BTsMwEETv&#10;SPyDtUjcWjupVJUQp0IgTlxo2qpXN946UeN1iN02/D3LCY47O5p5U64n34srjrELpCGbKxBITbAd&#10;OQ277ftsBSImQ9b0gVDDN0ZYV/d3pSlsuNEGr3VygkMoFkZDm9JQSBmbFr2J8zAg8e8URm8Sn6OT&#10;djQ3Dve9zJVaSm864obWDPjaYnOuL15DnX/tP9Xm4JqPt8k73MbDzkWtHx+ml2cQCaf0Z4ZffEaH&#10;ipmO4UI2il7DLFeMnjTkagGCDU/ZMgNxZCFfLUBWpfw/ofoBAAD//wMAUEsBAi0AFAAGAAgAAAAh&#10;ALaDOJL+AAAA4QEAABMAAAAAAAAAAAAAAAAAAAAAAFtDb250ZW50X1R5cGVzXS54bWxQSwECLQAU&#10;AAYACAAAACEAOP0h/9YAAACUAQAACwAAAAAAAAAAAAAAAAAvAQAAX3JlbHMvLnJlbHNQSwECLQAU&#10;AAYACAAAACEAMSbHoI8CAACWBQAADgAAAAAAAAAAAAAAAAAuAgAAZHJzL2Uyb0RvYy54bWxQSwEC&#10;LQAUAAYACAAAACEAEdQH994AAAAKAQAADwAAAAAAAAAAAAAAAADpBAAAZHJzL2Rvd25yZXYueG1s&#10;UEsFBgAAAAAEAAQA8wAAAPQFAAAAAA==&#10;" filled="f" strokecolor="#2f5496 [2404]" strokeweight="1.5pt">
                <v:stroke joinstyle="miter"/>
              </v:roundrect>
            </w:pict>
          </mc:Fallback>
        </mc:AlternateContent>
      </w:r>
      <w:r w:rsidR="009A184E" w:rsidRPr="00BE2184">
        <w:rPr>
          <w:rStyle w:val="Siln"/>
          <w:sz w:val="26"/>
          <w:szCs w:val="26"/>
        </w:rPr>
        <w:t>What You</w:t>
      </w:r>
      <w:r w:rsidR="00BE2184">
        <w:rPr>
          <w:rStyle w:val="Siln"/>
          <w:sz w:val="26"/>
          <w:szCs w:val="26"/>
        </w:rPr>
        <w:t xml:space="preserve"> will Learn </w:t>
      </w:r>
    </w:p>
    <w:p w14:paraId="6AEA6F52" w14:textId="1F3BA575" w:rsidR="009A184E" w:rsidRPr="00152D6A" w:rsidRDefault="009A184E" w:rsidP="00BE2184">
      <w:pPr>
        <w:pStyle w:val="Normlnweb"/>
        <w:jc w:val="both"/>
        <w:rPr>
          <w:rFonts w:ascii="Calibri Light" w:hAnsi="Calibri Light" w:cs="Calibri Light"/>
          <w:color w:val="2C2D5B"/>
        </w:rPr>
      </w:pPr>
      <w:r w:rsidRPr="00152D6A">
        <w:rPr>
          <w:rFonts w:ascii="Calibri Light" w:hAnsi="Calibri Light" w:cs="Calibri Light"/>
          <w:color w:val="2C2D5B"/>
        </w:rPr>
        <w:t xml:space="preserve">This section delves into the interplay between the </w:t>
      </w:r>
      <w:r w:rsidRPr="00152D6A">
        <w:rPr>
          <w:rStyle w:val="Siln"/>
          <w:rFonts w:ascii="Calibri Light" w:hAnsi="Calibri Light" w:cs="Calibri Light"/>
          <w:color w:val="2C2D5B"/>
        </w:rPr>
        <w:t>European Charter of Fundamental Rights (EChFR)</w:t>
      </w:r>
      <w:r w:rsidRPr="00152D6A">
        <w:rPr>
          <w:rFonts w:ascii="Calibri Light" w:hAnsi="Calibri Light" w:cs="Calibri Light"/>
          <w:color w:val="2C2D5B"/>
        </w:rPr>
        <w:t xml:space="preserve"> and the </w:t>
      </w:r>
      <w:r w:rsidRPr="00152D6A">
        <w:rPr>
          <w:rStyle w:val="Siln"/>
          <w:rFonts w:ascii="Calibri Light" w:hAnsi="Calibri Light" w:cs="Calibri Light"/>
          <w:color w:val="2C2D5B"/>
        </w:rPr>
        <w:t>European Convention on Human Rights (ECHR)</w:t>
      </w:r>
      <w:r w:rsidRPr="00152D6A">
        <w:rPr>
          <w:rFonts w:ascii="Calibri Light" w:hAnsi="Calibri Light" w:cs="Calibri Light"/>
          <w:color w:val="2C2D5B"/>
        </w:rPr>
        <w:t>, two pivotal instruments in the protection of fundamental rights in Europe. It explores their similarities, differences, and complementary nature, offering practical insights for lawyers working across these frameworks</w:t>
      </w:r>
      <w:r w:rsidR="00152D6A">
        <w:rPr>
          <w:rFonts w:ascii="Calibri Light" w:hAnsi="Calibri Light" w:cs="Calibri Light"/>
          <w:color w:val="2C2D5B"/>
        </w:rPr>
        <w:t>.</w:t>
      </w:r>
    </w:p>
    <w:p w14:paraId="59B1A469" w14:textId="370739C4" w:rsidR="001B5403" w:rsidRPr="008B4B98" w:rsidRDefault="001B5403" w:rsidP="008B4B98">
      <w:pPr>
        <w:spacing w:line="276" w:lineRule="auto"/>
        <w:jc w:val="both"/>
        <w:rPr>
          <w:rFonts w:ascii="Calibri" w:hAnsi="Calibri" w:cs="Calibri"/>
          <w:b/>
          <w:bCs/>
        </w:rPr>
      </w:pPr>
    </w:p>
    <w:p w14:paraId="281C77BB" w14:textId="1CB109D7" w:rsidR="001B5403" w:rsidRPr="00152D6A" w:rsidRDefault="000D1ED9" w:rsidP="00152D6A">
      <w:pPr>
        <w:pStyle w:val="Nadpis2"/>
        <w:ind w:left="284" w:hanging="568"/>
        <w:rPr>
          <w:rFonts w:asciiTheme="minorHAnsi" w:hAnsiTheme="minorHAnsi" w:cstheme="minorHAnsi"/>
          <w:b/>
          <w:bCs/>
          <w:sz w:val="32"/>
          <w:szCs w:val="32"/>
        </w:rPr>
      </w:pPr>
      <w:bookmarkStart w:id="15" w:name="_Toc188457873"/>
      <w:r w:rsidRPr="00152D6A">
        <w:rPr>
          <w:rFonts w:asciiTheme="minorHAnsi" w:hAnsiTheme="minorHAnsi" w:cstheme="minorHAnsi"/>
          <w:b/>
          <w:bCs/>
          <w:color w:val="B6A04C"/>
          <w:sz w:val="32"/>
          <w:szCs w:val="32"/>
        </w:rPr>
        <w:t>5.</w:t>
      </w:r>
      <w:r w:rsidR="00B82A6B" w:rsidRPr="00152D6A">
        <w:rPr>
          <w:rFonts w:asciiTheme="minorHAnsi" w:hAnsiTheme="minorHAnsi" w:cstheme="minorHAnsi"/>
          <w:b/>
          <w:bCs/>
          <w:color w:val="B6A04C"/>
          <w:sz w:val="32"/>
          <w:szCs w:val="32"/>
        </w:rPr>
        <w:t xml:space="preserve">1 </w:t>
      </w:r>
      <w:r w:rsidR="001B5403" w:rsidRPr="00152D6A">
        <w:rPr>
          <w:rFonts w:asciiTheme="minorHAnsi" w:hAnsiTheme="minorHAnsi" w:cstheme="minorHAnsi"/>
          <w:b/>
          <w:bCs/>
          <w:sz w:val="32"/>
          <w:szCs w:val="32"/>
        </w:rPr>
        <w:t>Overview of the EU Charter and the European Convention on Human Rights</w:t>
      </w:r>
      <w:bookmarkEnd w:id="15"/>
      <w:r w:rsidR="001B5403" w:rsidRPr="00152D6A">
        <w:rPr>
          <w:rFonts w:asciiTheme="minorHAnsi" w:hAnsiTheme="minorHAnsi" w:cstheme="minorHAnsi"/>
          <w:b/>
          <w:bCs/>
          <w:sz w:val="32"/>
          <w:szCs w:val="32"/>
        </w:rPr>
        <w:t xml:space="preserve"> </w:t>
      </w:r>
    </w:p>
    <w:p w14:paraId="648B6B50" w14:textId="77777777" w:rsidR="00884BC9" w:rsidRDefault="00884BC9" w:rsidP="00C14DA2">
      <w:pPr>
        <w:autoSpaceDE w:val="0"/>
        <w:autoSpaceDN w:val="0"/>
        <w:adjustRightInd w:val="0"/>
        <w:spacing w:after="120" w:line="276" w:lineRule="auto"/>
        <w:jc w:val="both"/>
        <w:rPr>
          <w:rFonts w:ascii="Calibri" w:hAnsi="Calibri" w:cs="Calibri"/>
          <w:kern w:val="24"/>
        </w:rPr>
      </w:pPr>
    </w:p>
    <w:p w14:paraId="0390C3A8" w14:textId="77777777" w:rsidR="00BE2184" w:rsidRPr="00C53280" w:rsidRDefault="00C14DA2" w:rsidP="00B05272">
      <w:pPr>
        <w:autoSpaceDE w:val="0"/>
        <w:autoSpaceDN w:val="0"/>
        <w:adjustRightInd w:val="0"/>
        <w:spacing w:after="120" w:line="276" w:lineRule="auto"/>
        <w:jc w:val="both"/>
        <w:rPr>
          <w:rFonts w:asciiTheme="majorHAnsi" w:hAnsiTheme="majorHAnsi" w:cstheme="majorHAnsi"/>
          <w:color w:val="2C2D5B"/>
          <w:kern w:val="24"/>
        </w:rPr>
      </w:pPr>
      <w:r w:rsidRPr="00C53280">
        <w:rPr>
          <w:rFonts w:asciiTheme="majorHAnsi" w:hAnsiTheme="majorHAnsi" w:cstheme="majorHAnsi"/>
          <w:color w:val="2C2D5B"/>
          <w:kern w:val="24"/>
        </w:rPr>
        <w:t>T</w:t>
      </w:r>
      <w:r w:rsidR="00B05272" w:rsidRPr="00C53280">
        <w:rPr>
          <w:rFonts w:asciiTheme="majorHAnsi" w:hAnsiTheme="majorHAnsi" w:cstheme="majorHAnsi"/>
          <w:color w:val="2C2D5B"/>
          <w:kern w:val="24"/>
        </w:rPr>
        <w:t xml:space="preserve">he </w:t>
      </w:r>
      <w:r w:rsidR="00C268BE" w:rsidRPr="00C53280">
        <w:rPr>
          <w:rFonts w:asciiTheme="majorHAnsi" w:hAnsiTheme="majorHAnsi" w:cstheme="majorHAnsi"/>
          <w:color w:val="2C2D5B"/>
          <w:kern w:val="24"/>
        </w:rPr>
        <w:t xml:space="preserve">ECHR </w:t>
      </w:r>
      <w:r w:rsidR="00B05272" w:rsidRPr="00C53280">
        <w:rPr>
          <w:rFonts w:asciiTheme="majorHAnsi" w:hAnsiTheme="majorHAnsi" w:cstheme="majorHAnsi"/>
          <w:color w:val="2C2D5B"/>
          <w:kern w:val="24"/>
        </w:rPr>
        <w:t xml:space="preserve">adopted in 1950 </w:t>
      </w:r>
      <w:r w:rsidRPr="00C53280">
        <w:rPr>
          <w:rFonts w:asciiTheme="majorHAnsi" w:hAnsiTheme="majorHAnsi" w:cstheme="majorHAnsi"/>
          <w:color w:val="2C2D5B"/>
          <w:kern w:val="24"/>
        </w:rPr>
        <w:t>alongside its</w:t>
      </w:r>
      <w:r w:rsidR="00B05272" w:rsidRPr="00C53280">
        <w:rPr>
          <w:rFonts w:asciiTheme="majorHAnsi" w:hAnsiTheme="majorHAnsi" w:cstheme="majorHAnsi"/>
          <w:color w:val="2C2D5B"/>
          <w:kern w:val="24"/>
        </w:rPr>
        <w:t xml:space="preserve"> Additional Protocols, guarantees a smaller number of rights </w:t>
      </w:r>
      <w:r w:rsidRPr="00C53280">
        <w:rPr>
          <w:rFonts w:asciiTheme="majorHAnsi" w:hAnsiTheme="majorHAnsi" w:cstheme="majorHAnsi"/>
          <w:color w:val="2C2D5B"/>
          <w:kern w:val="24"/>
        </w:rPr>
        <w:t>compared to</w:t>
      </w:r>
      <w:r w:rsidR="00B05272" w:rsidRPr="00C53280">
        <w:rPr>
          <w:rFonts w:asciiTheme="majorHAnsi" w:hAnsiTheme="majorHAnsi" w:cstheme="majorHAnsi"/>
          <w:color w:val="2C2D5B"/>
          <w:kern w:val="24"/>
        </w:rPr>
        <w:t xml:space="preserve"> the 2012 </w:t>
      </w:r>
      <w:r w:rsidR="005A20BD" w:rsidRPr="00C53280">
        <w:rPr>
          <w:rFonts w:asciiTheme="majorHAnsi" w:hAnsiTheme="majorHAnsi" w:cstheme="majorHAnsi"/>
          <w:color w:val="2C2D5B"/>
          <w:kern w:val="24"/>
        </w:rPr>
        <w:t>EChFR. The</w:t>
      </w:r>
      <w:r w:rsidR="000D23AC" w:rsidRPr="00C53280">
        <w:rPr>
          <w:rFonts w:asciiTheme="majorHAnsi" w:hAnsiTheme="majorHAnsi" w:cstheme="majorHAnsi"/>
          <w:color w:val="2C2D5B"/>
          <w:kern w:val="24"/>
        </w:rPr>
        <w:t xml:space="preserve"> ECHR</w:t>
      </w:r>
      <w:r w:rsidR="00C268BE" w:rsidRPr="00C53280">
        <w:rPr>
          <w:rFonts w:asciiTheme="majorHAnsi" w:hAnsiTheme="majorHAnsi" w:cstheme="majorHAnsi"/>
          <w:color w:val="2C2D5B"/>
          <w:kern w:val="24"/>
        </w:rPr>
        <w:t xml:space="preserve"> </w:t>
      </w:r>
      <w:r w:rsidR="00B05272" w:rsidRPr="00C53280">
        <w:rPr>
          <w:rFonts w:asciiTheme="majorHAnsi" w:hAnsiTheme="majorHAnsi" w:cstheme="majorHAnsi"/>
          <w:color w:val="2C2D5B"/>
          <w:kern w:val="24"/>
        </w:rPr>
        <w:t>mainly exclud</w:t>
      </w:r>
      <w:r w:rsidRPr="00C53280">
        <w:rPr>
          <w:rFonts w:asciiTheme="majorHAnsi" w:hAnsiTheme="majorHAnsi" w:cstheme="majorHAnsi"/>
          <w:color w:val="2C2D5B"/>
          <w:kern w:val="24"/>
        </w:rPr>
        <w:t>es</w:t>
      </w:r>
      <w:r w:rsidR="00B05272" w:rsidRPr="00C53280">
        <w:rPr>
          <w:rFonts w:asciiTheme="majorHAnsi" w:hAnsiTheme="majorHAnsi" w:cstheme="majorHAnsi"/>
          <w:color w:val="2C2D5B"/>
          <w:kern w:val="24"/>
        </w:rPr>
        <w:t xml:space="preserve"> the economic and social rights enshrined in the Council of Europe's European Social Charter</w:t>
      </w:r>
      <w:r w:rsidR="00C268BE" w:rsidRPr="00C53280">
        <w:rPr>
          <w:rFonts w:asciiTheme="majorHAnsi" w:hAnsiTheme="majorHAnsi" w:cstheme="majorHAnsi"/>
          <w:color w:val="2C2D5B"/>
          <w:kern w:val="24"/>
        </w:rPr>
        <w:t xml:space="preserve">. </w:t>
      </w:r>
    </w:p>
    <w:p w14:paraId="5AFFC33B" w14:textId="5FF39B23" w:rsidR="00BE2184" w:rsidRPr="00C53280" w:rsidRDefault="00447E92" w:rsidP="00734A07">
      <w:pPr>
        <w:autoSpaceDE w:val="0"/>
        <w:autoSpaceDN w:val="0"/>
        <w:adjustRightInd w:val="0"/>
        <w:spacing w:after="120" w:line="276" w:lineRule="auto"/>
        <w:jc w:val="both"/>
        <w:rPr>
          <w:rFonts w:asciiTheme="majorHAnsi" w:hAnsiTheme="majorHAnsi" w:cstheme="majorHAnsi"/>
          <w:color w:val="2C2D5B"/>
          <w:kern w:val="24"/>
        </w:rPr>
      </w:pPr>
      <w:r w:rsidRPr="00C53280">
        <w:rPr>
          <w:rFonts w:asciiTheme="majorHAnsi" w:hAnsiTheme="majorHAnsi" w:cstheme="majorHAnsi"/>
          <w:color w:val="2C2D5B"/>
          <w:kern w:val="24"/>
        </w:rPr>
        <w:t>Examples include the rights set out in Title IV of the Charter on Solidarity, most of which are not covered by the ECHR, or freedom to choose an occupation and work (article 15 of the Charter). But the evolving interpretation given to the ECHR by the ECtHR means that certain Charter rights not specifically guaranteed by the Convention can be covered (e.g. data protection under article 8 of the Charter through article 8 of the Convention). The European Court points out that the ECHR is a living instrument to be interpreted in the light of current conditions.</w:t>
      </w:r>
    </w:p>
    <w:p w14:paraId="45EBCD79" w14:textId="77777777" w:rsidR="00BE2184" w:rsidRPr="00734A07" w:rsidRDefault="00BE2184" w:rsidP="00734A07">
      <w:pPr>
        <w:autoSpaceDE w:val="0"/>
        <w:autoSpaceDN w:val="0"/>
        <w:adjustRightInd w:val="0"/>
        <w:spacing w:after="120" w:line="276" w:lineRule="auto"/>
        <w:jc w:val="both"/>
        <w:rPr>
          <w:rFonts w:asciiTheme="majorHAnsi" w:hAnsiTheme="majorHAnsi" w:cstheme="majorHAnsi"/>
          <w:kern w:val="24"/>
        </w:rPr>
      </w:pPr>
    </w:p>
    <w:p w14:paraId="2AA5B410" w14:textId="38343DEF" w:rsidR="001B5403" w:rsidRPr="00152D6A" w:rsidRDefault="004F6D98" w:rsidP="00152D6A">
      <w:pPr>
        <w:pStyle w:val="Nadpis2"/>
        <w:ind w:left="708" w:hanging="992"/>
        <w:rPr>
          <w:rFonts w:ascii="Calibri" w:hAnsi="Calibri" w:cs="Calibri"/>
          <w:b/>
          <w:bCs/>
          <w:sz w:val="32"/>
          <w:szCs w:val="32"/>
        </w:rPr>
      </w:pPr>
      <w:bookmarkStart w:id="16" w:name="_Toc188457874"/>
      <w:r w:rsidRPr="00152D6A">
        <w:rPr>
          <w:rFonts w:ascii="Calibri" w:hAnsi="Calibri" w:cs="Calibri"/>
          <w:b/>
          <w:bCs/>
          <w:color w:val="B6A04C"/>
          <w:sz w:val="32"/>
          <w:szCs w:val="32"/>
        </w:rPr>
        <w:t>5.</w:t>
      </w:r>
      <w:r w:rsidR="00B82A6B" w:rsidRPr="00152D6A">
        <w:rPr>
          <w:rFonts w:ascii="Calibri" w:hAnsi="Calibri" w:cs="Calibri"/>
          <w:b/>
          <w:bCs/>
          <w:color w:val="B6A04C"/>
          <w:sz w:val="32"/>
          <w:szCs w:val="32"/>
        </w:rPr>
        <w:t xml:space="preserve">2 </w:t>
      </w:r>
      <w:r w:rsidR="001B5403" w:rsidRPr="00152D6A">
        <w:rPr>
          <w:rFonts w:ascii="Calibri" w:hAnsi="Calibri" w:cs="Calibri"/>
          <w:b/>
          <w:bCs/>
          <w:sz w:val="32"/>
          <w:szCs w:val="32"/>
        </w:rPr>
        <w:t>EU Accession to the European Convention on Human Rights</w:t>
      </w:r>
      <w:bookmarkEnd w:id="16"/>
      <w:r w:rsidR="001B5403" w:rsidRPr="00152D6A">
        <w:rPr>
          <w:rFonts w:ascii="Calibri" w:hAnsi="Calibri" w:cs="Calibri"/>
          <w:b/>
          <w:bCs/>
          <w:sz w:val="32"/>
          <w:szCs w:val="32"/>
        </w:rPr>
        <w:t xml:space="preserve"> </w:t>
      </w:r>
    </w:p>
    <w:p w14:paraId="005F1508" w14:textId="77777777" w:rsidR="0038554D" w:rsidRDefault="0038554D" w:rsidP="00B05272">
      <w:pPr>
        <w:autoSpaceDE w:val="0"/>
        <w:autoSpaceDN w:val="0"/>
        <w:adjustRightInd w:val="0"/>
        <w:spacing w:after="120" w:line="276" w:lineRule="auto"/>
        <w:jc w:val="both"/>
        <w:rPr>
          <w:rFonts w:asciiTheme="majorHAnsi" w:hAnsiTheme="majorHAnsi" w:cstheme="majorHAnsi"/>
          <w:kern w:val="24"/>
        </w:rPr>
      </w:pPr>
    </w:p>
    <w:p w14:paraId="557BA0AA" w14:textId="150F10D4" w:rsidR="00B05272" w:rsidRPr="00152D6A" w:rsidRDefault="00B05272" w:rsidP="00B05272">
      <w:pPr>
        <w:autoSpaceDE w:val="0"/>
        <w:autoSpaceDN w:val="0"/>
        <w:adjustRightInd w:val="0"/>
        <w:spacing w:after="120" w:line="276" w:lineRule="auto"/>
        <w:jc w:val="both"/>
        <w:rPr>
          <w:rFonts w:asciiTheme="majorHAnsi" w:hAnsiTheme="majorHAnsi" w:cstheme="majorHAnsi"/>
          <w:color w:val="2C2D5B"/>
          <w:kern w:val="24"/>
        </w:rPr>
      </w:pPr>
      <w:r w:rsidRPr="00152D6A">
        <w:rPr>
          <w:rFonts w:asciiTheme="majorHAnsi" w:hAnsiTheme="majorHAnsi" w:cstheme="majorHAnsi"/>
          <w:color w:val="2C2D5B"/>
          <w:kern w:val="24"/>
        </w:rPr>
        <w:t>The European Union is not yet a signatory to the European Convention on Human Rights. The Union has been considering accession for some time, particularly since the adoption</w:t>
      </w:r>
      <w:r w:rsidR="00BE2184" w:rsidRPr="00152D6A">
        <w:rPr>
          <w:rFonts w:asciiTheme="majorHAnsi" w:hAnsiTheme="majorHAnsi" w:cstheme="majorHAnsi"/>
          <w:color w:val="2C2D5B"/>
          <w:kern w:val="24"/>
        </w:rPr>
        <w:t xml:space="preserve"> </w:t>
      </w:r>
      <w:r w:rsidRPr="00152D6A">
        <w:rPr>
          <w:rFonts w:asciiTheme="majorHAnsi" w:hAnsiTheme="majorHAnsi" w:cstheme="majorHAnsi"/>
          <w:color w:val="2C2D5B"/>
          <w:kern w:val="24"/>
        </w:rPr>
        <w:t xml:space="preserve">of the </w:t>
      </w:r>
      <w:r w:rsidR="000D23AC" w:rsidRPr="00152D6A">
        <w:rPr>
          <w:rFonts w:asciiTheme="majorHAnsi" w:hAnsiTheme="majorHAnsi" w:cstheme="majorHAnsi"/>
          <w:color w:val="2C2D5B"/>
          <w:kern w:val="24"/>
        </w:rPr>
        <w:t>EChFR</w:t>
      </w:r>
      <w:r w:rsidRPr="00152D6A">
        <w:rPr>
          <w:rFonts w:asciiTheme="majorHAnsi" w:hAnsiTheme="majorHAnsi" w:cstheme="majorHAnsi"/>
          <w:color w:val="2C2D5B"/>
          <w:kern w:val="24"/>
        </w:rPr>
        <w:t xml:space="preserve"> in 2000. </w:t>
      </w:r>
      <w:r w:rsidR="000D23AC" w:rsidRPr="00152D6A">
        <w:rPr>
          <w:rFonts w:asciiTheme="majorHAnsi" w:hAnsiTheme="majorHAnsi" w:cstheme="majorHAnsi"/>
          <w:color w:val="2C2D5B"/>
          <w:kern w:val="24"/>
        </w:rPr>
        <w:t xml:space="preserve">Following </w:t>
      </w:r>
      <w:r w:rsidRPr="00152D6A">
        <w:rPr>
          <w:rFonts w:asciiTheme="majorHAnsi" w:hAnsiTheme="majorHAnsi" w:cstheme="majorHAnsi"/>
          <w:color w:val="2C2D5B"/>
          <w:kern w:val="24"/>
        </w:rPr>
        <w:t>the Lisbon Treaty</w:t>
      </w:r>
      <w:r w:rsidR="000D23AC" w:rsidRPr="00152D6A">
        <w:rPr>
          <w:rFonts w:asciiTheme="majorHAnsi" w:hAnsiTheme="majorHAnsi" w:cstheme="majorHAnsi"/>
          <w:color w:val="2C2D5B"/>
          <w:kern w:val="24"/>
        </w:rPr>
        <w:t>’s entry into force on</w:t>
      </w:r>
      <w:r w:rsidRPr="00152D6A">
        <w:rPr>
          <w:rFonts w:asciiTheme="majorHAnsi" w:hAnsiTheme="majorHAnsi" w:cstheme="majorHAnsi"/>
          <w:color w:val="2C2D5B"/>
          <w:kern w:val="24"/>
        </w:rPr>
        <w:t xml:space="preserve"> December 1, 2009, accession </w:t>
      </w:r>
      <w:r w:rsidR="000D23AC" w:rsidRPr="00152D6A">
        <w:rPr>
          <w:rFonts w:asciiTheme="majorHAnsi" w:hAnsiTheme="majorHAnsi" w:cstheme="majorHAnsi"/>
          <w:color w:val="2C2D5B"/>
          <w:kern w:val="24"/>
        </w:rPr>
        <w:t xml:space="preserve">became </w:t>
      </w:r>
      <w:r w:rsidRPr="00152D6A">
        <w:rPr>
          <w:rFonts w:asciiTheme="majorHAnsi" w:hAnsiTheme="majorHAnsi" w:cstheme="majorHAnsi"/>
          <w:color w:val="2C2D5B"/>
          <w:kern w:val="24"/>
        </w:rPr>
        <w:t xml:space="preserve">a Treaty obligation </w:t>
      </w:r>
      <w:r w:rsidR="000D23AC" w:rsidRPr="00152D6A">
        <w:rPr>
          <w:rFonts w:asciiTheme="majorHAnsi" w:hAnsiTheme="majorHAnsi" w:cstheme="majorHAnsi"/>
          <w:color w:val="2C2D5B"/>
          <w:kern w:val="24"/>
        </w:rPr>
        <w:t xml:space="preserve">under </w:t>
      </w:r>
      <w:r w:rsidRPr="00152D6A">
        <w:rPr>
          <w:rFonts w:asciiTheme="majorHAnsi" w:hAnsiTheme="majorHAnsi" w:cstheme="majorHAnsi"/>
          <w:color w:val="2C2D5B"/>
          <w:kern w:val="24"/>
        </w:rPr>
        <w:t xml:space="preserve">Article 6(2) </w:t>
      </w:r>
      <w:r w:rsidR="000D23AC" w:rsidRPr="00152D6A">
        <w:rPr>
          <w:rFonts w:asciiTheme="majorHAnsi" w:hAnsiTheme="majorHAnsi" w:cstheme="majorHAnsi"/>
          <w:color w:val="2C2D5B"/>
          <w:kern w:val="24"/>
        </w:rPr>
        <w:t xml:space="preserve">of the </w:t>
      </w:r>
      <w:r w:rsidRPr="00152D6A">
        <w:rPr>
          <w:rFonts w:asciiTheme="majorHAnsi" w:hAnsiTheme="majorHAnsi" w:cstheme="majorHAnsi"/>
          <w:color w:val="2C2D5B"/>
          <w:kern w:val="24"/>
        </w:rPr>
        <w:t>TEU.</w:t>
      </w:r>
    </w:p>
    <w:p w14:paraId="48ECB9DE" w14:textId="77777777" w:rsidR="00152D6A" w:rsidRDefault="00152D6A" w:rsidP="00B05272">
      <w:pPr>
        <w:autoSpaceDE w:val="0"/>
        <w:autoSpaceDN w:val="0"/>
        <w:adjustRightInd w:val="0"/>
        <w:spacing w:after="120" w:line="276" w:lineRule="auto"/>
        <w:jc w:val="both"/>
        <w:rPr>
          <w:rFonts w:asciiTheme="majorHAnsi" w:hAnsiTheme="majorHAnsi" w:cstheme="majorHAnsi"/>
          <w:kern w:val="24"/>
        </w:rPr>
      </w:pPr>
    </w:p>
    <w:p w14:paraId="61E90705" w14:textId="77777777" w:rsidR="00152D6A" w:rsidRDefault="00152D6A" w:rsidP="00B05272">
      <w:pPr>
        <w:autoSpaceDE w:val="0"/>
        <w:autoSpaceDN w:val="0"/>
        <w:adjustRightInd w:val="0"/>
        <w:spacing w:after="120" w:line="276" w:lineRule="auto"/>
        <w:jc w:val="both"/>
        <w:rPr>
          <w:rFonts w:asciiTheme="majorHAnsi" w:hAnsiTheme="majorHAnsi" w:cstheme="majorHAnsi"/>
          <w:kern w:val="24"/>
        </w:rPr>
      </w:pPr>
    </w:p>
    <w:p w14:paraId="17BA2986" w14:textId="77777777" w:rsidR="00152D6A" w:rsidRDefault="00152D6A" w:rsidP="00B05272">
      <w:pPr>
        <w:autoSpaceDE w:val="0"/>
        <w:autoSpaceDN w:val="0"/>
        <w:adjustRightInd w:val="0"/>
        <w:spacing w:after="120" w:line="276" w:lineRule="auto"/>
        <w:jc w:val="both"/>
        <w:rPr>
          <w:rFonts w:asciiTheme="majorHAnsi" w:hAnsiTheme="majorHAnsi" w:cstheme="majorHAnsi"/>
          <w:kern w:val="24"/>
        </w:rPr>
      </w:pPr>
    </w:p>
    <w:p w14:paraId="6F235EBE" w14:textId="77777777" w:rsidR="00E25CB4" w:rsidRDefault="00E25CB4" w:rsidP="00B05272">
      <w:pPr>
        <w:autoSpaceDE w:val="0"/>
        <w:autoSpaceDN w:val="0"/>
        <w:adjustRightInd w:val="0"/>
        <w:spacing w:after="120" w:line="276" w:lineRule="auto"/>
        <w:jc w:val="both"/>
        <w:rPr>
          <w:rFonts w:asciiTheme="majorHAnsi" w:hAnsiTheme="majorHAnsi" w:cstheme="majorHAnsi"/>
          <w:kern w:val="24"/>
        </w:rPr>
      </w:pPr>
    </w:p>
    <w:p w14:paraId="7E2E7146" w14:textId="77777777" w:rsidR="00152D6A" w:rsidRDefault="00152D6A" w:rsidP="00B05272">
      <w:pPr>
        <w:autoSpaceDE w:val="0"/>
        <w:autoSpaceDN w:val="0"/>
        <w:adjustRightInd w:val="0"/>
        <w:spacing w:after="120" w:line="276" w:lineRule="auto"/>
        <w:jc w:val="both"/>
        <w:rPr>
          <w:rFonts w:asciiTheme="majorHAnsi" w:hAnsiTheme="majorHAnsi" w:cstheme="majorHAnsi"/>
          <w:kern w:val="24"/>
        </w:rPr>
      </w:pPr>
    </w:p>
    <w:p w14:paraId="1AC8D30C" w14:textId="77777777" w:rsidR="00152D6A" w:rsidRPr="00452F88" w:rsidRDefault="00152D6A" w:rsidP="00B05272">
      <w:pPr>
        <w:autoSpaceDE w:val="0"/>
        <w:autoSpaceDN w:val="0"/>
        <w:adjustRightInd w:val="0"/>
        <w:spacing w:after="120" w:line="276" w:lineRule="auto"/>
        <w:jc w:val="both"/>
        <w:rPr>
          <w:rFonts w:asciiTheme="majorHAnsi" w:hAnsiTheme="majorHAnsi" w:cstheme="majorHAnsi"/>
          <w:kern w:val="24"/>
        </w:rPr>
      </w:pPr>
    </w:p>
    <w:p w14:paraId="02CF8369" w14:textId="7416F15B" w:rsidR="00B05272" w:rsidRPr="00E25CB4" w:rsidRDefault="00472167" w:rsidP="00B05272">
      <w:pPr>
        <w:autoSpaceDE w:val="0"/>
        <w:autoSpaceDN w:val="0"/>
        <w:adjustRightInd w:val="0"/>
        <w:spacing w:after="120" w:line="276" w:lineRule="auto"/>
        <w:jc w:val="both"/>
        <w:rPr>
          <w:rFonts w:asciiTheme="majorHAnsi" w:hAnsiTheme="majorHAnsi" w:cstheme="majorHAnsi"/>
          <w:color w:val="2C2D5B"/>
          <w:kern w:val="24"/>
        </w:rPr>
      </w:pPr>
      <w:r w:rsidRPr="00E25CB4">
        <w:rPr>
          <w:rFonts w:asciiTheme="majorHAnsi" w:hAnsiTheme="majorHAnsi" w:cstheme="majorHAnsi"/>
          <w:color w:val="2C2D5B"/>
          <w:kern w:val="24"/>
        </w:rPr>
        <w:t xml:space="preserve">In </w:t>
      </w:r>
      <w:r w:rsidR="00B05272" w:rsidRPr="00E25CB4">
        <w:rPr>
          <w:rFonts w:asciiTheme="majorHAnsi" w:hAnsiTheme="majorHAnsi" w:cstheme="majorHAnsi"/>
          <w:color w:val="2C2D5B"/>
          <w:kern w:val="24"/>
        </w:rPr>
        <w:t xml:space="preserve">Opinion 2/13 </w:t>
      </w:r>
      <w:r w:rsidRPr="00E25CB4">
        <w:rPr>
          <w:rFonts w:asciiTheme="majorHAnsi" w:hAnsiTheme="majorHAnsi" w:cstheme="majorHAnsi"/>
          <w:color w:val="2C2D5B"/>
          <w:kern w:val="24"/>
        </w:rPr>
        <w:t>issue</w:t>
      </w:r>
      <w:r w:rsidR="00C67602" w:rsidRPr="00E25CB4">
        <w:rPr>
          <w:rFonts w:asciiTheme="majorHAnsi" w:hAnsiTheme="majorHAnsi" w:cstheme="majorHAnsi"/>
          <w:color w:val="2C2D5B"/>
          <w:kern w:val="24"/>
        </w:rPr>
        <w:t>d</w:t>
      </w:r>
      <w:r w:rsidRPr="00E25CB4">
        <w:rPr>
          <w:rFonts w:asciiTheme="majorHAnsi" w:hAnsiTheme="majorHAnsi" w:cstheme="majorHAnsi"/>
          <w:color w:val="2C2D5B"/>
          <w:kern w:val="24"/>
        </w:rPr>
        <w:t xml:space="preserve"> on </w:t>
      </w:r>
      <w:r w:rsidR="00B05272" w:rsidRPr="00E25CB4">
        <w:rPr>
          <w:rFonts w:asciiTheme="majorHAnsi" w:hAnsiTheme="majorHAnsi" w:cstheme="majorHAnsi"/>
          <w:color w:val="2C2D5B"/>
          <w:kern w:val="24"/>
        </w:rPr>
        <w:t>December 18, 2014</w:t>
      </w:r>
      <w:r w:rsidRPr="00E25CB4">
        <w:rPr>
          <w:rFonts w:asciiTheme="majorHAnsi" w:hAnsiTheme="majorHAnsi" w:cstheme="majorHAnsi"/>
          <w:color w:val="2C2D5B"/>
          <w:kern w:val="24"/>
        </w:rPr>
        <w:t>, the CJEU</w:t>
      </w:r>
      <w:r w:rsidR="00B05272" w:rsidRPr="00E25CB4">
        <w:rPr>
          <w:rFonts w:asciiTheme="majorHAnsi" w:hAnsiTheme="majorHAnsi" w:cstheme="majorHAnsi"/>
          <w:color w:val="2C2D5B"/>
          <w:kern w:val="24"/>
        </w:rPr>
        <w:t xml:space="preserve"> </w:t>
      </w:r>
      <w:r w:rsidRPr="00E25CB4">
        <w:rPr>
          <w:rFonts w:asciiTheme="majorHAnsi" w:hAnsiTheme="majorHAnsi" w:cstheme="majorHAnsi"/>
          <w:color w:val="2C2D5B"/>
          <w:kern w:val="24"/>
        </w:rPr>
        <w:t>found</w:t>
      </w:r>
      <w:r w:rsidR="00B05272" w:rsidRPr="00E25CB4">
        <w:rPr>
          <w:rFonts w:asciiTheme="majorHAnsi" w:hAnsiTheme="majorHAnsi" w:cstheme="majorHAnsi"/>
          <w:color w:val="2C2D5B"/>
          <w:kern w:val="24"/>
        </w:rPr>
        <w:t xml:space="preserve"> the draft accession agreement </w:t>
      </w:r>
      <w:r w:rsidRPr="00E25CB4">
        <w:rPr>
          <w:rFonts w:asciiTheme="majorHAnsi" w:hAnsiTheme="majorHAnsi" w:cstheme="majorHAnsi"/>
          <w:color w:val="2C2D5B"/>
          <w:kern w:val="24"/>
        </w:rPr>
        <w:t>in</w:t>
      </w:r>
      <w:r w:rsidR="00B05272" w:rsidRPr="00E25CB4">
        <w:rPr>
          <w:rFonts w:asciiTheme="majorHAnsi" w:hAnsiTheme="majorHAnsi" w:cstheme="majorHAnsi"/>
          <w:color w:val="2C2D5B"/>
          <w:kern w:val="24"/>
        </w:rPr>
        <w:t>compatible</w:t>
      </w:r>
      <w:r w:rsidR="00152D6A" w:rsidRPr="00E25CB4">
        <w:rPr>
          <w:rFonts w:asciiTheme="majorHAnsi" w:hAnsiTheme="majorHAnsi" w:cstheme="majorHAnsi"/>
          <w:color w:val="2C2D5B"/>
          <w:kern w:val="24"/>
        </w:rPr>
        <w:t xml:space="preserve"> </w:t>
      </w:r>
      <w:r w:rsidR="00B05272" w:rsidRPr="00E25CB4">
        <w:rPr>
          <w:rFonts w:asciiTheme="majorHAnsi" w:hAnsiTheme="majorHAnsi" w:cstheme="majorHAnsi"/>
          <w:color w:val="2C2D5B"/>
          <w:kern w:val="24"/>
        </w:rPr>
        <w:t>with Union law,</w:t>
      </w:r>
      <w:r w:rsidRPr="00E25CB4">
        <w:rPr>
          <w:rFonts w:asciiTheme="majorHAnsi" w:hAnsiTheme="majorHAnsi" w:cstheme="majorHAnsi"/>
          <w:color w:val="2C2D5B"/>
          <w:kern w:val="24"/>
        </w:rPr>
        <w:t xml:space="preserve"> </w:t>
      </w:r>
      <w:r w:rsidR="00B05272" w:rsidRPr="00E25CB4">
        <w:rPr>
          <w:rFonts w:asciiTheme="majorHAnsi" w:hAnsiTheme="majorHAnsi" w:cstheme="majorHAnsi"/>
          <w:color w:val="2C2D5B"/>
          <w:kern w:val="24"/>
        </w:rPr>
        <w:t xml:space="preserve">which almost put an end to accession negotiations. </w:t>
      </w:r>
      <w:r w:rsidRPr="00E25CB4">
        <w:rPr>
          <w:rFonts w:asciiTheme="majorHAnsi" w:hAnsiTheme="majorHAnsi" w:cstheme="majorHAnsi"/>
          <w:color w:val="2C2D5B"/>
          <w:kern w:val="24"/>
        </w:rPr>
        <w:t xml:space="preserve">However, </w:t>
      </w:r>
      <w:r w:rsidR="00C67602" w:rsidRPr="00E25CB4">
        <w:rPr>
          <w:rFonts w:asciiTheme="majorHAnsi" w:hAnsiTheme="majorHAnsi" w:cstheme="majorHAnsi"/>
          <w:color w:val="2C2D5B"/>
          <w:kern w:val="24"/>
        </w:rPr>
        <w:t>t</w:t>
      </w:r>
      <w:r w:rsidR="00B05272" w:rsidRPr="00E25CB4">
        <w:rPr>
          <w:rFonts w:asciiTheme="majorHAnsi" w:hAnsiTheme="majorHAnsi" w:cstheme="majorHAnsi"/>
          <w:color w:val="2C2D5B"/>
          <w:kern w:val="24"/>
        </w:rPr>
        <w:t xml:space="preserve">hese were resumed </w:t>
      </w:r>
      <w:r w:rsidRPr="00E25CB4">
        <w:rPr>
          <w:rFonts w:asciiTheme="majorHAnsi" w:hAnsiTheme="majorHAnsi" w:cstheme="majorHAnsi"/>
          <w:color w:val="2C2D5B"/>
          <w:kern w:val="24"/>
        </w:rPr>
        <w:t xml:space="preserve">towards the end </w:t>
      </w:r>
      <w:r w:rsidR="005A20BD" w:rsidRPr="00E25CB4">
        <w:rPr>
          <w:rFonts w:asciiTheme="majorHAnsi" w:hAnsiTheme="majorHAnsi" w:cstheme="majorHAnsi"/>
          <w:color w:val="2C2D5B"/>
          <w:kern w:val="24"/>
        </w:rPr>
        <w:t xml:space="preserve">of </w:t>
      </w:r>
      <w:r w:rsidR="00B05272" w:rsidRPr="00E25CB4">
        <w:rPr>
          <w:rFonts w:asciiTheme="majorHAnsi" w:hAnsiTheme="majorHAnsi" w:cstheme="majorHAnsi"/>
          <w:color w:val="2C2D5B"/>
          <w:kern w:val="24"/>
        </w:rPr>
        <w:t>2019</w:t>
      </w:r>
      <w:r w:rsidRPr="00E25CB4">
        <w:rPr>
          <w:rFonts w:asciiTheme="majorHAnsi" w:hAnsiTheme="majorHAnsi" w:cstheme="majorHAnsi"/>
          <w:color w:val="2C2D5B"/>
          <w:kern w:val="24"/>
        </w:rPr>
        <w:t xml:space="preserve"> and a</w:t>
      </w:r>
      <w:r w:rsidR="00B05272" w:rsidRPr="00E25CB4">
        <w:rPr>
          <w:rFonts w:asciiTheme="majorHAnsi" w:hAnsiTheme="majorHAnsi" w:cstheme="majorHAnsi"/>
          <w:color w:val="2C2D5B"/>
          <w:kern w:val="24"/>
        </w:rPr>
        <w:t xml:space="preserve"> </w:t>
      </w:r>
      <w:r w:rsidR="00C67602" w:rsidRPr="00E25CB4">
        <w:rPr>
          <w:rFonts w:asciiTheme="majorHAnsi" w:hAnsiTheme="majorHAnsi" w:cstheme="majorHAnsi"/>
          <w:color w:val="2C2D5B"/>
          <w:kern w:val="24"/>
        </w:rPr>
        <w:t>favourable</w:t>
      </w:r>
      <w:r w:rsidR="00B05272" w:rsidRPr="00E25CB4">
        <w:rPr>
          <w:rFonts w:asciiTheme="majorHAnsi" w:hAnsiTheme="majorHAnsi" w:cstheme="majorHAnsi"/>
          <w:color w:val="2C2D5B"/>
          <w:kern w:val="24"/>
        </w:rPr>
        <w:t xml:space="preserve"> outcome is now </w:t>
      </w:r>
      <w:r w:rsidRPr="00E25CB4">
        <w:rPr>
          <w:rFonts w:asciiTheme="majorHAnsi" w:hAnsiTheme="majorHAnsi" w:cstheme="majorHAnsi"/>
          <w:color w:val="2C2D5B"/>
          <w:kern w:val="24"/>
        </w:rPr>
        <w:t>foreseeable</w:t>
      </w:r>
      <w:r w:rsidR="002F07B8" w:rsidRPr="00E25CB4">
        <w:rPr>
          <w:rFonts w:asciiTheme="majorHAnsi" w:hAnsiTheme="majorHAnsi" w:cstheme="majorHAnsi"/>
          <w:color w:val="2C2D5B"/>
          <w:kern w:val="24"/>
        </w:rPr>
        <w:t xml:space="preserve"> </w:t>
      </w:r>
      <w:r w:rsidR="00B05272" w:rsidRPr="00E25CB4">
        <w:rPr>
          <w:rFonts w:asciiTheme="majorHAnsi" w:hAnsiTheme="majorHAnsi" w:cstheme="majorHAnsi"/>
          <w:color w:val="2C2D5B"/>
          <w:kern w:val="24"/>
        </w:rPr>
        <w:t xml:space="preserve">in </w:t>
      </w:r>
      <w:r w:rsidRPr="00E25CB4">
        <w:rPr>
          <w:rFonts w:asciiTheme="majorHAnsi" w:hAnsiTheme="majorHAnsi" w:cstheme="majorHAnsi"/>
          <w:color w:val="2C2D5B"/>
          <w:kern w:val="24"/>
        </w:rPr>
        <w:t xml:space="preserve">the near future. </w:t>
      </w:r>
    </w:p>
    <w:p w14:paraId="306C4E62" w14:textId="4607C391" w:rsidR="009C3E8E" w:rsidRPr="00E25CB4" w:rsidRDefault="00B05272" w:rsidP="002F07B8">
      <w:pPr>
        <w:autoSpaceDE w:val="0"/>
        <w:autoSpaceDN w:val="0"/>
        <w:adjustRightInd w:val="0"/>
        <w:spacing w:after="120" w:line="276" w:lineRule="auto"/>
        <w:jc w:val="both"/>
        <w:rPr>
          <w:rFonts w:asciiTheme="majorHAnsi" w:hAnsiTheme="majorHAnsi" w:cstheme="majorHAnsi"/>
          <w:color w:val="2C2D5B"/>
          <w:kern w:val="24"/>
        </w:rPr>
      </w:pPr>
      <w:r w:rsidRPr="00E25CB4">
        <w:rPr>
          <w:rFonts w:asciiTheme="majorHAnsi" w:hAnsiTheme="majorHAnsi" w:cstheme="majorHAnsi"/>
          <w:color w:val="2C2D5B"/>
          <w:kern w:val="24"/>
        </w:rPr>
        <w:t>The Union's accession will mean that, in addition to the protection of fundamental rights under EU law (and in particular the Charter), the European Union will</w:t>
      </w:r>
      <w:r w:rsidR="00472167" w:rsidRPr="00E25CB4">
        <w:rPr>
          <w:rFonts w:asciiTheme="majorHAnsi" w:hAnsiTheme="majorHAnsi" w:cstheme="majorHAnsi"/>
          <w:color w:val="2C2D5B"/>
          <w:kern w:val="24"/>
        </w:rPr>
        <w:t xml:space="preserve"> be</w:t>
      </w:r>
      <w:r w:rsidRPr="00E25CB4">
        <w:rPr>
          <w:rFonts w:asciiTheme="majorHAnsi" w:hAnsiTheme="majorHAnsi" w:cstheme="majorHAnsi"/>
          <w:color w:val="2C2D5B"/>
          <w:kern w:val="24"/>
        </w:rPr>
        <w:t xml:space="preserve"> </w:t>
      </w:r>
      <w:r w:rsidR="00472167" w:rsidRPr="00E25CB4">
        <w:rPr>
          <w:rFonts w:asciiTheme="majorHAnsi" w:hAnsiTheme="majorHAnsi" w:cstheme="majorHAnsi"/>
          <w:color w:val="2C2D5B"/>
          <w:kern w:val="24"/>
        </w:rPr>
        <w:t xml:space="preserve">bound by the </w:t>
      </w:r>
      <w:r w:rsidRPr="00E25CB4">
        <w:rPr>
          <w:rFonts w:asciiTheme="majorHAnsi" w:hAnsiTheme="majorHAnsi" w:cstheme="majorHAnsi"/>
          <w:color w:val="2C2D5B"/>
          <w:kern w:val="24"/>
        </w:rPr>
        <w:t>Convention</w:t>
      </w:r>
      <w:r w:rsidR="00472167" w:rsidRPr="00E25CB4">
        <w:rPr>
          <w:rFonts w:asciiTheme="majorHAnsi" w:hAnsiTheme="majorHAnsi" w:cstheme="majorHAnsi"/>
          <w:color w:val="2C2D5B"/>
          <w:kern w:val="24"/>
        </w:rPr>
        <w:t>’s standards</w:t>
      </w:r>
      <w:r w:rsidRPr="00E25CB4">
        <w:rPr>
          <w:rFonts w:asciiTheme="majorHAnsi" w:hAnsiTheme="majorHAnsi" w:cstheme="majorHAnsi"/>
          <w:color w:val="2C2D5B"/>
          <w:kern w:val="24"/>
        </w:rPr>
        <w:t xml:space="preserve"> and will be subject to the control of the</w:t>
      </w:r>
      <w:r w:rsidR="005A20BD" w:rsidRPr="00E25CB4">
        <w:rPr>
          <w:rFonts w:asciiTheme="majorHAnsi" w:hAnsiTheme="majorHAnsi" w:cstheme="majorHAnsi"/>
          <w:color w:val="2C2D5B"/>
          <w:kern w:val="24"/>
        </w:rPr>
        <w:t xml:space="preserve"> </w:t>
      </w:r>
      <w:r w:rsidR="00472167" w:rsidRPr="00E25CB4">
        <w:rPr>
          <w:rFonts w:asciiTheme="majorHAnsi" w:hAnsiTheme="majorHAnsi" w:cstheme="majorHAnsi"/>
          <w:color w:val="2C2D5B"/>
          <w:kern w:val="24"/>
        </w:rPr>
        <w:t>ECtHR</w:t>
      </w:r>
      <w:r w:rsidRPr="00E25CB4">
        <w:rPr>
          <w:rFonts w:asciiTheme="majorHAnsi" w:hAnsiTheme="majorHAnsi" w:cstheme="majorHAnsi"/>
          <w:color w:val="2C2D5B"/>
          <w:kern w:val="24"/>
        </w:rPr>
        <w:t xml:space="preserve">. </w:t>
      </w:r>
      <w:r w:rsidR="005A20BD" w:rsidRPr="00E25CB4">
        <w:rPr>
          <w:rFonts w:asciiTheme="majorHAnsi" w:hAnsiTheme="majorHAnsi" w:cstheme="majorHAnsi"/>
          <w:color w:val="2C2D5B"/>
          <w:kern w:val="24"/>
        </w:rPr>
        <w:t xml:space="preserve">Indeed, </w:t>
      </w:r>
      <w:r w:rsidRPr="00E25CB4">
        <w:rPr>
          <w:rFonts w:asciiTheme="majorHAnsi" w:hAnsiTheme="majorHAnsi" w:cstheme="majorHAnsi"/>
          <w:color w:val="2C2D5B"/>
          <w:kern w:val="24"/>
        </w:rPr>
        <w:t xml:space="preserve">EU acts will be subject to the control exercised by the </w:t>
      </w:r>
      <w:r w:rsidR="00472167" w:rsidRPr="00E25CB4">
        <w:rPr>
          <w:rFonts w:asciiTheme="majorHAnsi" w:hAnsiTheme="majorHAnsi" w:cstheme="majorHAnsi"/>
          <w:color w:val="2C2D5B"/>
          <w:kern w:val="24"/>
        </w:rPr>
        <w:t>ECtHR</w:t>
      </w:r>
      <w:r w:rsidRPr="00E25CB4">
        <w:rPr>
          <w:rFonts w:asciiTheme="majorHAnsi" w:hAnsiTheme="majorHAnsi" w:cstheme="majorHAnsi"/>
          <w:color w:val="2C2D5B"/>
          <w:kern w:val="24"/>
        </w:rPr>
        <w:t xml:space="preserve"> with regard to the rights guaranteed by the Convention.</w:t>
      </w:r>
    </w:p>
    <w:p w14:paraId="4DF68A45" w14:textId="77777777" w:rsidR="009C3E8E" w:rsidRDefault="009C3E8E" w:rsidP="002F07B8">
      <w:pPr>
        <w:autoSpaceDE w:val="0"/>
        <w:autoSpaceDN w:val="0"/>
        <w:adjustRightInd w:val="0"/>
        <w:spacing w:after="120" w:line="276" w:lineRule="auto"/>
        <w:jc w:val="both"/>
        <w:rPr>
          <w:rFonts w:asciiTheme="majorHAnsi" w:hAnsiTheme="majorHAnsi" w:cstheme="majorHAnsi"/>
          <w:kern w:val="24"/>
        </w:rPr>
      </w:pPr>
    </w:p>
    <w:p w14:paraId="10284A4D" w14:textId="77777777" w:rsidR="009C3E8E" w:rsidRPr="00E25CB4" w:rsidRDefault="009C3E8E" w:rsidP="00E25CB4">
      <w:pPr>
        <w:pStyle w:val="Nadpis2"/>
        <w:ind w:left="284" w:hanging="568"/>
        <w:rPr>
          <w:rFonts w:eastAsia="Times New Roman" w:cstheme="majorHAnsi"/>
          <w:color w:val="auto"/>
          <w:kern w:val="24"/>
          <w:sz w:val="24"/>
          <w:szCs w:val="24"/>
        </w:rPr>
      </w:pPr>
      <w:bookmarkStart w:id="17" w:name="_Toc188457875"/>
      <w:r w:rsidRPr="00E25CB4">
        <w:rPr>
          <w:rFonts w:ascii="Calibri" w:hAnsi="Calibri" w:cs="Calibri"/>
          <w:b/>
          <w:bCs/>
          <w:color w:val="B6A04C"/>
          <w:sz w:val="32"/>
          <w:szCs w:val="32"/>
        </w:rPr>
        <w:t xml:space="preserve">5.3 </w:t>
      </w:r>
      <w:r w:rsidRPr="00E25CB4">
        <w:rPr>
          <w:rFonts w:ascii="Calibri" w:hAnsi="Calibri" w:cs="Calibri"/>
          <w:b/>
          <w:bCs/>
          <w:sz w:val="32"/>
          <w:szCs w:val="32"/>
        </w:rPr>
        <w:t>Interplay between the Charter and the European Convention on Human Rights: Articles 6(3) TEU and 52(3) EChFR</w:t>
      </w:r>
      <w:bookmarkEnd w:id="17"/>
      <w:r w:rsidRPr="00E25CB4">
        <w:rPr>
          <w:rFonts w:eastAsia="Times New Roman" w:cstheme="majorHAnsi"/>
          <w:color w:val="auto"/>
          <w:kern w:val="24"/>
          <w:sz w:val="24"/>
          <w:szCs w:val="24"/>
        </w:rPr>
        <w:t xml:space="preserve"> </w:t>
      </w:r>
    </w:p>
    <w:p w14:paraId="148F3BB0" w14:textId="77777777" w:rsidR="009C3E8E" w:rsidRDefault="009C3E8E" w:rsidP="002F07B8">
      <w:pPr>
        <w:autoSpaceDE w:val="0"/>
        <w:autoSpaceDN w:val="0"/>
        <w:adjustRightInd w:val="0"/>
        <w:spacing w:after="120" w:line="276" w:lineRule="auto"/>
        <w:jc w:val="both"/>
        <w:rPr>
          <w:rFonts w:asciiTheme="majorHAnsi" w:hAnsiTheme="majorHAnsi" w:cstheme="majorHAnsi"/>
          <w:kern w:val="24"/>
        </w:rPr>
      </w:pPr>
    </w:p>
    <w:p w14:paraId="13D0B5B4" w14:textId="77777777" w:rsidR="009C3E8E" w:rsidRPr="00E25CB4" w:rsidRDefault="009C3E8E" w:rsidP="009C3E8E">
      <w:pPr>
        <w:autoSpaceDE w:val="0"/>
        <w:autoSpaceDN w:val="0"/>
        <w:adjustRightInd w:val="0"/>
        <w:spacing w:after="120" w:line="276" w:lineRule="auto"/>
        <w:jc w:val="both"/>
        <w:rPr>
          <w:rFonts w:asciiTheme="majorHAnsi" w:hAnsiTheme="majorHAnsi" w:cstheme="majorHAnsi"/>
          <w:color w:val="2C2D5B"/>
          <w:kern w:val="24"/>
        </w:rPr>
      </w:pPr>
      <w:r w:rsidRPr="00E25CB4">
        <w:rPr>
          <w:rFonts w:asciiTheme="majorHAnsi" w:hAnsiTheme="majorHAnsi" w:cstheme="majorHAnsi"/>
          <w:b/>
          <w:bCs/>
          <w:color w:val="2C2D5B"/>
          <w:kern w:val="24"/>
        </w:rPr>
        <w:t>Depending on the nature of the dispute, the lawyer must examine both the Charter and the Convention to identify the right most appropriate to the case</w:t>
      </w:r>
      <w:r w:rsidRPr="00E25CB4">
        <w:rPr>
          <w:rFonts w:asciiTheme="majorHAnsi" w:hAnsiTheme="majorHAnsi" w:cstheme="majorHAnsi"/>
          <w:color w:val="2C2D5B"/>
          <w:kern w:val="24"/>
        </w:rPr>
        <w:t>, and potentially apply both fundamental texts as interpreted by the CJEU and the ECtHR.</w:t>
      </w:r>
    </w:p>
    <w:p w14:paraId="48D76600" w14:textId="77777777" w:rsidR="009C3E8E" w:rsidRPr="00E25CB4" w:rsidRDefault="009C3E8E" w:rsidP="009C3E8E">
      <w:pPr>
        <w:autoSpaceDE w:val="0"/>
        <w:autoSpaceDN w:val="0"/>
        <w:adjustRightInd w:val="0"/>
        <w:spacing w:after="120" w:line="276" w:lineRule="auto"/>
        <w:jc w:val="both"/>
        <w:rPr>
          <w:rFonts w:asciiTheme="majorHAnsi" w:hAnsiTheme="majorHAnsi" w:cstheme="majorHAnsi"/>
          <w:color w:val="2C2D5B"/>
          <w:kern w:val="24"/>
        </w:rPr>
      </w:pPr>
      <w:r w:rsidRPr="00E25CB4">
        <w:rPr>
          <w:rFonts w:asciiTheme="majorHAnsi" w:hAnsiTheme="majorHAnsi" w:cstheme="majorHAnsi"/>
          <w:color w:val="2C2D5B"/>
          <w:kern w:val="24"/>
        </w:rPr>
        <w:t xml:space="preserve">It is essential to reference EU primary law regarding the interaction between these legal instruments. Under </w:t>
      </w:r>
      <w:r w:rsidRPr="00E25CB4">
        <w:rPr>
          <w:rFonts w:asciiTheme="majorHAnsi" w:hAnsiTheme="majorHAnsi" w:cstheme="majorHAnsi"/>
          <w:b/>
          <w:bCs/>
          <w:color w:val="2C2D5B"/>
          <w:kern w:val="24"/>
        </w:rPr>
        <w:t>Article 6(3) TEU</w:t>
      </w:r>
      <w:r w:rsidRPr="00E25CB4">
        <w:rPr>
          <w:rFonts w:asciiTheme="majorHAnsi" w:hAnsiTheme="majorHAnsi" w:cstheme="majorHAnsi"/>
          <w:color w:val="2C2D5B"/>
          <w:kern w:val="24"/>
        </w:rPr>
        <w:t>, the rights enshrined in the ECHR constitute part of the general principles of EU law. Additionally, Article 52(3) EChFR states that rights contained in both legal instruments share the same “</w:t>
      </w:r>
      <w:r w:rsidRPr="00E25CB4">
        <w:rPr>
          <w:rFonts w:asciiTheme="majorHAnsi" w:hAnsiTheme="majorHAnsi" w:cstheme="majorHAnsi"/>
          <w:i/>
          <w:color w:val="2C2D5B"/>
          <w:kern w:val="24"/>
        </w:rPr>
        <w:t>meaning and scope</w:t>
      </w:r>
      <w:r w:rsidRPr="00E25CB4">
        <w:rPr>
          <w:rFonts w:asciiTheme="majorHAnsi" w:hAnsiTheme="majorHAnsi" w:cstheme="majorHAnsi"/>
          <w:color w:val="2C2D5B"/>
          <w:kern w:val="24"/>
        </w:rPr>
        <w:t>”. In fact, this provision recognises that</w:t>
      </w:r>
      <w:r w:rsidRPr="00E25CB4">
        <w:rPr>
          <w:rFonts w:asciiTheme="majorHAnsi" w:hAnsiTheme="majorHAnsi" w:cstheme="majorHAnsi"/>
          <w:b/>
          <w:bCs/>
          <w:color w:val="2C2D5B"/>
          <w:kern w:val="24"/>
        </w:rPr>
        <w:t xml:space="preserve"> the protection conferred by the ECHR is a minimum to be respected in the EU </w:t>
      </w:r>
      <w:r w:rsidRPr="00E25CB4">
        <w:rPr>
          <w:rFonts w:asciiTheme="majorHAnsi" w:hAnsiTheme="majorHAnsi" w:cstheme="majorHAnsi"/>
          <w:color w:val="2C2D5B"/>
          <w:kern w:val="24"/>
        </w:rPr>
        <w:t>as it states that “</w:t>
      </w:r>
      <w:r w:rsidRPr="00E25CB4">
        <w:rPr>
          <w:rFonts w:asciiTheme="majorHAnsi" w:hAnsiTheme="majorHAnsi" w:cstheme="majorHAnsi"/>
          <w:i/>
          <w:color w:val="2C2D5B"/>
          <w:kern w:val="24"/>
        </w:rPr>
        <w:t>This provision shall not prevent Union law providing more extensive protection</w:t>
      </w:r>
      <w:r w:rsidRPr="00E25CB4">
        <w:rPr>
          <w:rFonts w:asciiTheme="majorHAnsi" w:hAnsiTheme="majorHAnsi" w:cstheme="majorHAnsi"/>
          <w:color w:val="2C2D5B"/>
          <w:kern w:val="24"/>
        </w:rPr>
        <w:t>.”</w:t>
      </w:r>
    </w:p>
    <w:p w14:paraId="0A70DCE7" w14:textId="77777777" w:rsidR="009C3E8E" w:rsidRDefault="009C3E8E" w:rsidP="009C3E8E">
      <w:pPr>
        <w:autoSpaceDE w:val="0"/>
        <w:autoSpaceDN w:val="0"/>
        <w:adjustRightInd w:val="0"/>
        <w:spacing w:after="120" w:line="276" w:lineRule="auto"/>
        <w:jc w:val="both"/>
        <w:rPr>
          <w:rFonts w:asciiTheme="majorHAnsi" w:hAnsiTheme="majorHAnsi" w:cstheme="majorHAnsi"/>
          <w:color w:val="2C2D5B"/>
          <w:kern w:val="24"/>
        </w:rPr>
      </w:pPr>
      <w:r w:rsidRPr="00E25CB4">
        <w:rPr>
          <w:rFonts w:asciiTheme="majorHAnsi" w:hAnsiTheme="majorHAnsi" w:cstheme="majorHAnsi"/>
          <w:color w:val="2C2D5B"/>
          <w:kern w:val="24"/>
        </w:rPr>
        <w:t xml:space="preserve">In other words, </w:t>
      </w:r>
      <w:r w:rsidRPr="00E25CB4">
        <w:rPr>
          <w:rFonts w:asciiTheme="majorHAnsi" w:hAnsiTheme="majorHAnsi" w:cstheme="majorHAnsi"/>
          <w:b/>
          <w:bCs/>
          <w:color w:val="2C2D5B"/>
          <w:kern w:val="24"/>
        </w:rPr>
        <w:t>the ECHR represents a minimum standard of protection insofar as “corresponding rights” are concerned.</w:t>
      </w:r>
      <w:r w:rsidRPr="00E25CB4">
        <w:rPr>
          <w:rFonts w:asciiTheme="majorHAnsi" w:hAnsiTheme="majorHAnsi" w:cstheme="majorHAnsi"/>
          <w:color w:val="2C2D5B"/>
          <w:kern w:val="24"/>
        </w:rPr>
        <w:t xml:space="preserve"> Accordingly, all EU acts, as well as national legal</w:t>
      </w:r>
      <w:r w:rsidRPr="00E25CB4">
        <w:rPr>
          <w:rFonts w:ascii="Calibri" w:hAnsi="Calibri" w:cs="Calibri"/>
          <w:color w:val="2C2D5B"/>
          <w:kern w:val="24"/>
        </w:rPr>
        <w:t xml:space="preserve">  </w:t>
      </w:r>
      <w:r w:rsidRPr="00E25CB4">
        <w:rPr>
          <w:rFonts w:asciiTheme="majorHAnsi" w:hAnsiTheme="majorHAnsi" w:cstheme="majorHAnsi"/>
          <w:color w:val="2C2D5B"/>
          <w:kern w:val="24"/>
        </w:rPr>
        <w:t>provisions implementing EU law must provide a level of protection to corresponding rights consistent with the ECHR’s standards.</w:t>
      </w:r>
    </w:p>
    <w:p w14:paraId="4BE0AEFB" w14:textId="77777777" w:rsidR="00D64BBF" w:rsidRDefault="00D64BBF" w:rsidP="009C3E8E">
      <w:pPr>
        <w:autoSpaceDE w:val="0"/>
        <w:autoSpaceDN w:val="0"/>
        <w:adjustRightInd w:val="0"/>
        <w:spacing w:after="120" w:line="276" w:lineRule="auto"/>
        <w:jc w:val="both"/>
        <w:rPr>
          <w:rFonts w:asciiTheme="majorHAnsi" w:hAnsiTheme="majorHAnsi" w:cstheme="majorHAnsi"/>
          <w:color w:val="2C2D5B"/>
          <w:kern w:val="24"/>
        </w:rPr>
      </w:pPr>
    </w:p>
    <w:p w14:paraId="402ACE02" w14:textId="77777777" w:rsidR="00D64BBF" w:rsidRDefault="00D64BBF" w:rsidP="009C3E8E">
      <w:pPr>
        <w:autoSpaceDE w:val="0"/>
        <w:autoSpaceDN w:val="0"/>
        <w:adjustRightInd w:val="0"/>
        <w:spacing w:after="120" w:line="276" w:lineRule="auto"/>
        <w:jc w:val="both"/>
        <w:rPr>
          <w:rFonts w:asciiTheme="majorHAnsi" w:hAnsiTheme="majorHAnsi" w:cstheme="majorHAnsi"/>
          <w:color w:val="2C2D5B"/>
          <w:kern w:val="24"/>
        </w:rPr>
      </w:pPr>
    </w:p>
    <w:p w14:paraId="0E17312E" w14:textId="77777777" w:rsidR="00D64BBF" w:rsidRDefault="00D64BBF" w:rsidP="009C3E8E">
      <w:pPr>
        <w:autoSpaceDE w:val="0"/>
        <w:autoSpaceDN w:val="0"/>
        <w:adjustRightInd w:val="0"/>
        <w:spacing w:after="120" w:line="276" w:lineRule="auto"/>
        <w:jc w:val="both"/>
        <w:rPr>
          <w:rFonts w:asciiTheme="majorHAnsi" w:hAnsiTheme="majorHAnsi" w:cstheme="majorHAnsi"/>
          <w:color w:val="2C2D5B"/>
          <w:kern w:val="24"/>
        </w:rPr>
      </w:pPr>
    </w:p>
    <w:p w14:paraId="6D64F310" w14:textId="77777777" w:rsidR="00D64BBF" w:rsidRPr="00E25CB4" w:rsidRDefault="00D64BBF" w:rsidP="009C3E8E">
      <w:pPr>
        <w:autoSpaceDE w:val="0"/>
        <w:autoSpaceDN w:val="0"/>
        <w:adjustRightInd w:val="0"/>
        <w:spacing w:after="120" w:line="276" w:lineRule="auto"/>
        <w:jc w:val="both"/>
        <w:rPr>
          <w:rFonts w:ascii="Calibri" w:hAnsi="Calibri" w:cs="Calibri"/>
          <w:color w:val="2C2D5B"/>
          <w:kern w:val="24"/>
        </w:rPr>
      </w:pPr>
    </w:p>
    <w:p w14:paraId="7BE523D3" w14:textId="06235562" w:rsidR="002F07B8" w:rsidRPr="002F07B8" w:rsidRDefault="00BE2184" w:rsidP="002F07B8">
      <w:pPr>
        <w:autoSpaceDE w:val="0"/>
        <w:autoSpaceDN w:val="0"/>
        <w:adjustRightInd w:val="0"/>
        <w:spacing w:after="120" w:line="276" w:lineRule="auto"/>
        <w:jc w:val="both"/>
        <w:rPr>
          <w:rFonts w:asciiTheme="majorHAnsi" w:hAnsiTheme="majorHAnsi" w:cstheme="majorHAnsi"/>
          <w:kern w:val="24"/>
        </w:rPr>
      </w:pPr>
      <w:r>
        <w:rPr>
          <w:rFonts w:asciiTheme="majorHAnsi" w:hAnsiTheme="majorHAnsi" w:cstheme="majorHAnsi"/>
          <w:kern w:val="24"/>
        </w:rPr>
        <w:br w:type="page"/>
      </w:r>
    </w:p>
    <w:p w14:paraId="6EAA6445" w14:textId="19950342" w:rsidR="00D64BBF" w:rsidRDefault="00D64BBF" w:rsidP="00B05272">
      <w:pPr>
        <w:autoSpaceDE w:val="0"/>
        <w:autoSpaceDN w:val="0"/>
        <w:adjustRightInd w:val="0"/>
        <w:spacing w:after="120" w:line="276" w:lineRule="auto"/>
        <w:jc w:val="both"/>
        <w:rPr>
          <w:rFonts w:asciiTheme="majorHAnsi" w:hAnsiTheme="majorHAnsi" w:cstheme="majorHAnsi"/>
          <w:kern w:val="24"/>
        </w:rPr>
      </w:pPr>
    </w:p>
    <w:p w14:paraId="47A8EC10" w14:textId="1FD35852" w:rsidR="00D64BBF" w:rsidRDefault="00D64BBF" w:rsidP="00B05272">
      <w:pPr>
        <w:autoSpaceDE w:val="0"/>
        <w:autoSpaceDN w:val="0"/>
        <w:adjustRightInd w:val="0"/>
        <w:spacing w:after="120" w:line="276" w:lineRule="auto"/>
        <w:jc w:val="both"/>
        <w:rPr>
          <w:rFonts w:asciiTheme="majorHAnsi" w:hAnsiTheme="majorHAnsi" w:cstheme="majorHAnsi"/>
          <w:kern w:val="24"/>
        </w:rPr>
      </w:pPr>
    </w:p>
    <w:p w14:paraId="64F61159" w14:textId="040A0C4A" w:rsidR="003A3F5E" w:rsidRPr="00452F88" w:rsidRDefault="003A3F5E" w:rsidP="00B05272">
      <w:pPr>
        <w:autoSpaceDE w:val="0"/>
        <w:autoSpaceDN w:val="0"/>
        <w:adjustRightInd w:val="0"/>
        <w:spacing w:after="120" w:line="276" w:lineRule="auto"/>
        <w:jc w:val="both"/>
        <w:rPr>
          <w:rFonts w:asciiTheme="majorHAnsi" w:hAnsiTheme="majorHAnsi" w:cstheme="majorHAnsi"/>
          <w:kern w:val="24"/>
        </w:rPr>
      </w:pPr>
    </w:p>
    <w:p w14:paraId="4EFCD60B" w14:textId="0E72AADD" w:rsidR="00B05272" w:rsidRPr="005A6959" w:rsidRDefault="00BC20DE" w:rsidP="00B05272">
      <w:pPr>
        <w:spacing w:line="276" w:lineRule="auto"/>
        <w:jc w:val="both"/>
        <w:rPr>
          <w:rFonts w:ascii="Calibri" w:hAnsi="Calibri" w:cs="Calibri"/>
          <w:sz w:val="22"/>
          <w:szCs w:val="22"/>
          <w:lang w:eastAsia="en-US"/>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38816" behindDoc="0" locked="0" layoutInCell="1" allowOverlap="1" wp14:anchorId="32537773" wp14:editId="3A57DF39">
            <wp:simplePos x="0" y="0"/>
            <wp:positionH relativeFrom="column">
              <wp:posOffset>5147733</wp:posOffset>
            </wp:positionH>
            <wp:positionV relativeFrom="paragraph">
              <wp:posOffset>127282</wp:posOffset>
            </wp:positionV>
            <wp:extent cx="713105" cy="575310"/>
            <wp:effectExtent l="0" t="0" r="0" b="0"/>
            <wp:wrapNone/>
            <wp:docPr id="1085091282"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Pr="005A6959">
        <w:rPr>
          <w:rFonts w:ascii="Calibri" w:hAnsi="Calibri" w:cs="Calibri"/>
          <w:noProof/>
          <w:kern w:val="24"/>
        </w:rPr>
        <mc:AlternateContent>
          <mc:Choice Requires="wps">
            <w:drawing>
              <wp:anchor distT="45720" distB="45720" distL="114300" distR="114300" simplePos="0" relativeHeight="251746304" behindDoc="0" locked="0" layoutInCell="1" allowOverlap="1" wp14:anchorId="5D1EAC4B" wp14:editId="5AF20744">
                <wp:simplePos x="0" y="0"/>
                <wp:positionH relativeFrom="margin">
                  <wp:posOffset>262890</wp:posOffset>
                </wp:positionH>
                <wp:positionV relativeFrom="paragraph">
                  <wp:posOffset>351790</wp:posOffset>
                </wp:positionV>
                <wp:extent cx="5381625" cy="4695825"/>
                <wp:effectExtent l="0" t="0" r="28575" b="28575"/>
                <wp:wrapSquare wrapText="bothSides"/>
                <wp:docPr id="69519367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1625" cy="4695825"/>
                        </a:xfrm>
                        <a:prstGeom prst="roundRect">
                          <a:avLst/>
                        </a:prstGeom>
                        <a:solidFill>
                          <a:schemeClr val="bg1"/>
                        </a:solidFill>
                        <a:ln w="19050">
                          <a:solidFill>
                            <a:srgbClr val="B6A04C"/>
                          </a:solidFill>
                          <a:miter lim="800000"/>
                          <a:headEnd/>
                          <a:tailEnd/>
                        </a:ln>
                      </wps:spPr>
                      <wps:txbx>
                        <w:txbxContent>
                          <w:p w14:paraId="3EAA4122" w14:textId="3674EAA5" w:rsidR="003A3F5E" w:rsidRPr="00D64BBF" w:rsidRDefault="003A3F5E" w:rsidP="00D64BBF">
                            <w:pPr>
                              <w:spacing w:line="276" w:lineRule="auto"/>
                              <w:jc w:val="center"/>
                              <w:rPr>
                                <w:rFonts w:asciiTheme="minorHAnsi" w:hAnsiTheme="minorHAnsi" w:cstheme="minorHAnsi"/>
                                <w:b/>
                                <w:color w:val="B6A04C"/>
                                <w:sz w:val="20"/>
                                <w:szCs w:val="20"/>
                                <w:lang w:val="de-DE"/>
                              </w:rPr>
                            </w:pPr>
                            <w:hyperlink r:id="rId38" w:history="1">
                              <w:r w:rsidRPr="00D64BBF">
                                <w:rPr>
                                  <w:rStyle w:val="Hypertextovodkaz"/>
                                  <w:rFonts w:asciiTheme="minorHAnsi" w:hAnsiTheme="minorHAnsi" w:cstheme="minorHAnsi"/>
                                  <w:b/>
                                  <w:color w:val="B6A04C"/>
                                  <w:sz w:val="20"/>
                                  <w:szCs w:val="20"/>
                                  <w:lang w:val="de-DE"/>
                                </w:rPr>
                                <w:t xml:space="preserve">CJEU, Grd. Ch.,20 september 2022, </w:t>
                              </w:r>
                              <w:r w:rsidRPr="00D64BBF">
                                <w:rPr>
                                  <w:rStyle w:val="Hypertextovodkaz"/>
                                  <w:rFonts w:asciiTheme="minorHAnsi" w:hAnsiTheme="minorHAnsi" w:cstheme="minorHAnsi"/>
                                  <w:b/>
                                  <w:i/>
                                  <w:color w:val="B6A04C"/>
                                  <w:sz w:val="20"/>
                                  <w:szCs w:val="20"/>
                                  <w:lang w:val="de-DE"/>
                                </w:rPr>
                                <w:t>Bundesrepublik Deutschland v SpaceNet AG, Telekom Deutschland GmbH</w:t>
                              </w:r>
                              <w:r w:rsidRPr="00D64BBF">
                                <w:rPr>
                                  <w:rStyle w:val="Hypertextovodkaz"/>
                                  <w:rFonts w:asciiTheme="minorHAnsi" w:hAnsiTheme="minorHAnsi" w:cstheme="minorHAnsi"/>
                                  <w:b/>
                                  <w:color w:val="B6A04C"/>
                                  <w:sz w:val="20"/>
                                  <w:szCs w:val="20"/>
                                  <w:lang w:val="de-DE"/>
                                </w:rPr>
                                <w:t xml:space="preserve">, C-793/19 and C-749/19, </w:t>
                              </w:r>
                              <w:r w:rsidRPr="00D64BBF">
                                <w:rPr>
                                  <w:rStyle w:val="Hypertextovodkaz"/>
                                  <w:rFonts w:asciiTheme="minorHAnsi" w:hAnsiTheme="minorHAnsi" w:cstheme="minorHAnsi"/>
                                  <w:b/>
                                  <w:color w:val="B6A04C"/>
                                  <w:sz w:val="20"/>
                                  <w:szCs w:val="20"/>
                                  <w:lang w:val="de-DE" w:eastAsia="ca-ES"/>
                                </w:rPr>
                                <w:t>ECLI:EU:</w:t>
                              </w:r>
                              <w:r w:rsidRPr="00D64BBF">
                                <w:rPr>
                                  <w:rStyle w:val="Hypertextovodkaz"/>
                                  <w:rFonts w:asciiTheme="minorHAnsi" w:hAnsiTheme="minorHAnsi" w:cstheme="minorHAnsi"/>
                                  <w:b/>
                                  <w:color w:val="B6A04C"/>
                                  <w:sz w:val="20"/>
                                  <w:szCs w:val="20"/>
                                  <w:lang w:val="de-DE"/>
                                </w:rPr>
                                <w:t xml:space="preserve"> C:2022:702</w:t>
                              </w:r>
                            </w:hyperlink>
                          </w:p>
                          <w:p w14:paraId="24919D81" w14:textId="77777777" w:rsidR="003A3F5E" w:rsidRPr="00856642" w:rsidRDefault="003A3F5E" w:rsidP="003A3F5E">
                            <w:pPr>
                              <w:spacing w:line="276" w:lineRule="auto"/>
                              <w:jc w:val="right"/>
                              <w:rPr>
                                <w:rFonts w:asciiTheme="minorHAnsi" w:hAnsiTheme="minorHAnsi" w:cstheme="minorHAnsi"/>
                                <w:kern w:val="2"/>
                                <w:sz w:val="20"/>
                                <w:szCs w:val="20"/>
                                <w:lang w:val="de-DE" w:eastAsia="ca-ES"/>
                              </w:rPr>
                            </w:pPr>
                          </w:p>
                          <w:p w14:paraId="015423C7" w14:textId="3FF22C60" w:rsidR="003A3F5E" w:rsidRPr="00D64BBF" w:rsidRDefault="003A3F5E" w:rsidP="003A3F5E">
                            <w:pPr>
                              <w:spacing w:line="276" w:lineRule="auto"/>
                              <w:jc w:val="both"/>
                              <w:rPr>
                                <w:rFonts w:asciiTheme="minorHAnsi" w:hAnsiTheme="minorHAnsi" w:cstheme="minorHAnsi"/>
                                <w:color w:val="2C2D5B"/>
                                <w:sz w:val="20"/>
                                <w:szCs w:val="20"/>
                                <w:lang w:eastAsia="ca-ES"/>
                              </w:rPr>
                            </w:pPr>
                            <w:r w:rsidRPr="00D64BBF">
                              <w:rPr>
                                <w:rFonts w:asciiTheme="minorHAnsi" w:hAnsiTheme="minorHAnsi" w:cstheme="minorHAnsi"/>
                                <w:b/>
                                <w:bCs/>
                                <w:color w:val="2C2D5B"/>
                                <w:sz w:val="20"/>
                                <w:szCs w:val="20"/>
                                <w:lang w:eastAsia="ca-ES"/>
                              </w:rPr>
                              <w:t xml:space="preserve">Facts : </w:t>
                            </w:r>
                            <w:r w:rsidRPr="00D64BBF">
                              <w:rPr>
                                <w:rFonts w:asciiTheme="minorHAnsi" w:hAnsiTheme="minorHAnsi" w:cstheme="minorHAnsi"/>
                                <w:color w:val="2C2D5B"/>
                                <w:sz w:val="20"/>
                                <w:szCs w:val="20"/>
                                <w:lang w:eastAsia="ca-ES"/>
                              </w:rPr>
                              <w:t xml:space="preserve">This case </w:t>
                            </w:r>
                            <w:r w:rsidR="00966D10" w:rsidRPr="00D64BBF">
                              <w:rPr>
                                <w:rFonts w:asciiTheme="minorHAnsi" w:hAnsiTheme="minorHAnsi" w:cstheme="minorHAnsi"/>
                                <w:color w:val="2C2D5B"/>
                                <w:sz w:val="20"/>
                                <w:szCs w:val="20"/>
                                <w:lang w:eastAsia="ca-ES"/>
                              </w:rPr>
                              <w:t xml:space="preserve">examined </w:t>
                            </w:r>
                            <w:r w:rsidRPr="00D64BBF">
                              <w:rPr>
                                <w:rFonts w:asciiTheme="minorHAnsi" w:hAnsiTheme="minorHAnsi" w:cstheme="minorHAnsi"/>
                                <w:color w:val="2C2D5B"/>
                                <w:sz w:val="20"/>
                                <w:szCs w:val="20"/>
                                <w:lang w:eastAsia="ca-ES"/>
                              </w:rPr>
                              <w:t>the interpretation of Article 15(1) of Directive 2002/58/EC on the obligation imposed on companies in the electronics sector to retain traffic and location data relating to their customers’ telecommunications and the protection of, read in light of the Charter of Fundamental Rights of the European Union</w:t>
                            </w:r>
                            <w:r w:rsidR="00992E9D" w:rsidRPr="00D64BBF">
                              <w:rPr>
                                <w:rFonts w:asciiTheme="minorHAnsi" w:hAnsiTheme="minorHAnsi" w:cstheme="minorHAnsi"/>
                                <w:color w:val="2C2D5B"/>
                                <w:sz w:val="20"/>
                                <w:szCs w:val="20"/>
                                <w:lang w:eastAsia="ca-ES"/>
                              </w:rPr>
                              <w:t xml:space="preserve">. </w:t>
                            </w:r>
                          </w:p>
                          <w:p w14:paraId="3B029BA3" w14:textId="77777777" w:rsidR="00966D10" w:rsidRPr="00D64BBF" w:rsidRDefault="00966D10" w:rsidP="003A3F5E">
                            <w:pPr>
                              <w:spacing w:line="276" w:lineRule="auto"/>
                              <w:jc w:val="both"/>
                              <w:rPr>
                                <w:rFonts w:asciiTheme="minorHAnsi" w:hAnsiTheme="minorHAnsi" w:cstheme="minorHAnsi"/>
                                <w:color w:val="2C2D5B"/>
                                <w:sz w:val="20"/>
                                <w:szCs w:val="20"/>
                                <w:lang w:eastAsia="ca-ES"/>
                              </w:rPr>
                            </w:pPr>
                          </w:p>
                          <w:p w14:paraId="2325C3D2" w14:textId="3E5A84B2" w:rsidR="00966D10" w:rsidRPr="00D64BBF" w:rsidRDefault="00966D10" w:rsidP="003A3F5E">
                            <w:pPr>
                              <w:spacing w:line="276" w:lineRule="auto"/>
                              <w:jc w:val="both"/>
                              <w:rPr>
                                <w:rFonts w:asciiTheme="minorHAnsi" w:hAnsiTheme="minorHAnsi" w:cstheme="minorHAnsi"/>
                                <w:b/>
                                <w:bCs/>
                                <w:color w:val="2C2D5B"/>
                                <w:sz w:val="20"/>
                                <w:szCs w:val="20"/>
                                <w:lang w:eastAsia="ca-ES"/>
                              </w:rPr>
                            </w:pPr>
                            <w:r w:rsidRPr="00D64BBF">
                              <w:rPr>
                                <w:rFonts w:asciiTheme="minorHAnsi" w:hAnsiTheme="minorHAnsi" w:cstheme="minorHAnsi"/>
                                <w:b/>
                                <w:bCs/>
                                <w:color w:val="2C2D5B"/>
                                <w:sz w:val="20"/>
                                <w:szCs w:val="20"/>
                                <w:lang w:eastAsia="ca-ES"/>
                              </w:rPr>
                              <w:t>Ruling</w:t>
                            </w:r>
                            <w:r w:rsidR="00D64BBF" w:rsidRPr="00D64BBF">
                              <w:rPr>
                                <w:rFonts w:asciiTheme="minorHAnsi" w:hAnsiTheme="minorHAnsi" w:cstheme="minorHAnsi"/>
                                <w:b/>
                                <w:bCs/>
                                <w:color w:val="2C2D5B"/>
                                <w:sz w:val="20"/>
                                <w:szCs w:val="20"/>
                                <w:lang w:eastAsia="ca-ES"/>
                              </w:rPr>
                              <w:t xml:space="preserve"> </w:t>
                            </w:r>
                            <w:r w:rsidRPr="00D64BBF">
                              <w:rPr>
                                <w:rFonts w:asciiTheme="minorHAnsi" w:hAnsiTheme="minorHAnsi" w:cstheme="minorHAnsi"/>
                                <w:b/>
                                <w:bCs/>
                                <w:color w:val="2C2D5B"/>
                                <w:sz w:val="20"/>
                                <w:szCs w:val="20"/>
                                <w:lang w:eastAsia="ca-ES"/>
                              </w:rPr>
                              <w:t xml:space="preserve">: </w:t>
                            </w:r>
                          </w:p>
                          <w:p w14:paraId="77A9EF0D" w14:textId="1AA1AA6B" w:rsidR="00966D10" w:rsidRPr="00D64BBF" w:rsidRDefault="00966D10" w:rsidP="003A3F5E">
                            <w:pPr>
                              <w:spacing w:line="276" w:lineRule="auto"/>
                              <w:jc w:val="both"/>
                              <w:rPr>
                                <w:rFonts w:asciiTheme="minorHAnsi" w:hAnsiTheme="minorHAnsi" w:cstheme="minorHAnsi"/>
                                <w:color w:val="2C2D5B"/>
                                <w:sz w:val="20"/>
                                <w:szCs w:val="20"/>
                                <w:lang w:eastAsia="ca-ES"/>
                              </w:rPr>
                            </w:pPr>
                            <w:r w:rsidRPr="00D64BBF">
                              <w:rPr>
                                <w:rFonts w:asciiTheme="minorHAnsi" w:hAnsiTheme="minorHAnsi" w:cstheme="minorHAnsi"/>
                                <w:color w:val="2C2D5B"/>
                                <w:sz w:val="20"/>
                                <w:szCs w:val="20"/>
                                <w:lang w:eastAsia="ca-ES"/>
                              </w:rPr>
                              <w:t xml:space="preserve">The CJEU clarified that while Article 52(3) of the Charter ensures coherence with ECHR standards, EU law retains autonomy. </w:t>
                            </w:r>
                          </w:p>
                          <w:p w14:paraId="13ED2877" w14:textId="77777777" w:rsidR="003A3F5E" w:rsidRPr="00D64BBF" w:rsidRDefault="003A3F5E" w:rsidP="00992E9D">
                            <w:pPr>
                              <w:spacing w:line="276" w:lineRule="auto"/>
                              <w:jc w:val="both"/>
                              <w:rPr>
                                <w:rFonts w:asciiTheme="minorHAnsi" w:hAnsiTheme="minorHAnsi" w:cstheme="minorHAnsi"/>
                                <w:color w:val="2C2D5B"/>
                                <w:sz w:val="20"/>
                                <w:szCs w:val="20"/>
                                <w:lang w:eastAsia="ca-ES"/>
                              </w:rPr>
                            </w:pPr>
                          </w:p>
                          <w:p w14:paraId="04B31AB8" w14:textId="0C36264A" w:rsidR="003A3F5E" w:rsidRPr="00D64BBF" w:rsidRDefault="003A3F5E" w:rsidP="00327D5A">
                            <w:pPr>
                              <w:jc w:val="both"/>
                              <w:rPr>
                                <w:color w:val="2C2D5B"/>
                              </w:rPr>
                            </w:pPr>
                            <w:r w:rsidRPr="00D64BBF">
                              <w:rPr>
                                <w:rFonts w:asciiTheme="minorHAnsi" w:hAnsiTheme="minorHAnsi" w:cstheme="minorHAnsi"/>
                                <w:i/>
                                <w:color w:val="2C2D5B"/>
                                <w:sz w:val="20"/>
                                <w:szCs w:val="20"/>
                                <w:lang w:eastAsia="ca-ES"/>
                              </w:rPr>
                              <w:t xml:space="preserve">“125. Furthermore, the judgments of the European Court of Human Rights of 25 May 2021, Big Brother Watch and Others v. the United Kingdom, and of 25 May 2021, Centrum för Rättvisa v. Sweden concerned the bulk interception of data relating to international communications. Thus, as the Commission observed at the hearing, the European Court of Human Rights did not rule, in those judgments, on the compatibility with the ECHR of a general and indiscriminate retention of traffic and location data on national territory or even a large-scale interception of those data for the purposes of the prevention, detection and investigation of serious criminal offences. In any event, it should be borne in mind that </w:t>
                            </w:r>
                            <w:r w:rsidRPr="00D64BBF">
                              <w:rPr>
                                <w:rFonts w:asciiTheme="minorHAnsi" w:hAnsiTheme="minorHAnsi" w:cstheme="minorHAnsi"/>
                                <w:b/>
                                <w:bCs/>
                                <w:i/>
                                <w:color w:val="2C2D5B"/>
                                <w:sz w:val="20"/>
                                <w:szCs w:val="20"/>
                                <w:lang w:eastAsia="ca-ES"/>
                              </w:rPr>
                              <w:t>Article 52(3) of the Charter is intended to ensure the necessary consistency between the rights contained in the Charter and the corresponding rights guaranteed in the ECHR</w:t>
                            </w:r>
                            <w:r w:rsidRPr="00D64BBF">
                              <w:rPr>
                                <w:rFonts w:asciiTheme="minorHAnsi" w:hAnsiTheme="minorHAnsi" w:cstheme="minorHAnsi"/>
                                <w:i/>
                                <w:color w:val="2C2D5B"/>
                                <w:sz w:val="20"/>
                                <w:szCs w:val="20"/>
                                <w:lang w:eastAsia="ca-ES"/>
                              </w:rPr>
                              <w:t>, without adversely affecting the autonomy of EU law and that of the Court of Justice of the European Union, with the result that, for the purpose of interpreting the Charter, account must be taken of the corresponding rights of the ECHR only as the minimum threshold of protection.”</w:t>
                            </w:r>
                          </w:p>
                          <w:p w14:paraId="31A188D1" w14:textId="77777777" w:rsidR="00D64BBF" w:rsidRDefault="00D64BB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5D1EAC4B" id="_x0000_s1047" style="position:absolute;left:0;text-align:left;margin-left:20.7pt;margin-top:27.7pt;width:423.75pt;height:369.75pt;z-index:2517463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2R5IgIAAC0EAAAOAAAAZHJzL2Uyb0RvYy54bWysU9uO2yAQfa/Uf0C8N3bSJE2sOKtstltV&#10;2l7UbT8AA45RMUOBxN5+fQfszWa3b1X9gBgPnJlz5rC56ltNTtJ5Baak00lOiTQchDKHkv74fvtm&#10;RYkPzAimwciSPkhPr7avX206W8gZNKCFdARBjC86W9ImBFtkmeeNbJmfgJUGkzW4lgUM3SETjnWI&#10;3upslufLrAMnrAMuvce/N0OSbhN+XUsevtS1l4HokmJvIa0urVVcs+2GFQfHbKP42Ab7hy5apgwW&#10;PUPdsMDI0am/oFrFHXiow4RDm0FdKy4TB2QzzV+wuW+YlYkLiuPtWSb//2D559O9/epI6K+hxwEm&#10;Et7eAf/piYF9w8xB7pyDrpFMYOFplCzrrC/Gq1FqX/gIUnWfQOCQ2TFAAupr10ZVkCdBdBzAw1l0&#10;2QfC8efi7Wq6nC0o4ZibL9eLFQaxBiser1vnwwcJLYmbkjo4GvENR5tqsNOdD8P5x3OxpAetxK3S&#10;OgXRTnKvHTkxNEJ1GFi8OKUN6ZDgOl/kgwzPINyhOgNcL3f5fD92+axSqwL6Wau2pKs8foPDonjv&#10;jUhuC0zpYY8UtRnVjAIOUoa+6okSJZ2lLqO6FYgH1NfB4F98b7hpwP2mpEPvltT/OjInKdEfDc5o&#10;PZ3Po9lTMF+8m2HgLjPVZYYZjlAlDZQM231IDyQKZ2CHs6xVEvipk7Fn9GSa0/h+oukv43Tq6ZVv&#10;/wAAAP//AwBQSwMEFAAGAAgAAAAhANh60rzeAAAACQEAAA8AAABkcnMvZG93bnJldi54bWxMj8FO&#10;wzAQRO9I/IO1SNyoU5SAk2ZTRZW4cGsoB25ObOKU2I5iNw1/z3KC02g1o5m35X61I1v0HAbvELab&#10;BJh2nVeD6xFOby8PAliI0ik5eqcRvnWAfXV7U8pC+as76qWJPaMSFwqJYGKcCs5DZ7SVYeMn7cj7&#10;9LOVkc6552qWVyq3I39Mkidu5eBowchJH4zuvpqLRVhOx6wWh4+0Me/8nL/WohVWIN7frfUOWNRr&#10;/AvDLz6hQ0VMrb84FdiIkG5TSiJkGSn5QogcWIvwnKc58Krk/z+ofgAAAP//AwBQSwECLQAUAAYA&#10;CAAAACEAtoM4kv4AAADhAQAAEwAAAAAAAAAAAAAAAAAAAAAAW0NvbnRlbnRfVHlwZXNdLnhtbFBL&#10;AQItABQABgAIAAAAIQA4/SH/1gAAAJQBAAALAAAAAAAAAAAAAAAAAC8BAABfcmVscy8ucmVsc1BL&#10;AQItABQABgAIAAAAIQA1G2R5IgIAAC0EAAAOAAAAAAAAAAAAAAAAAC4CAABkcnMvZTJvRG9jLnht&#10;bFBLAQItABQABgAIAAAAIQDYetK83gAAAAkBAAAPAAAAAAAAAAAAAAAAAHwEAABkcnMvZG93bnJl&#10;di54bWxQSwUGAAAAAAQABADzAAAAhwUAAAAA&#10;" fillcolor="white [3212]" strokecolor="#b6a04c" strokeweight="1.5pt">
                <v:stroke joinstyle="miter"/>
                <v:textbox>
                  <w:txbxContent>
                    <w:p w14:paraId="3EAA4122" w14:textId="3674EAA5" w:rsidR="003A3F5E" w:rsidRPr="00D64BBF" w:rsidRDefault="003A3F5E" w:rsidP="00D64BBF">
                      <w:pPr>
                        <w:spacing w:line="276" w:lineRule="auto"/>
                        <w:jc w:val="center"/>
                        <w:rPr>
                          <w:rFonts w:asciiTheme="minorHAnsi" w:hAnsiTheme="minorHAnsi" w:cstheme="minorHAnsi"/>
                          <w:b/>
                          <w:color w:val="B6A04C"/>
                          <w:sz w:val="20"/>
                          <w:szCs w:val="20"/>
                          <w:lang w:val="de-DE"/>
                        </w:rPr>
                      </w:pPr>
                      <w:r>
                        <w:fldChar w:fldCharType="begin"/>
                      </w:r>
                      <w:r w:rsidRPr="00E57DB6">
                        <w:rPr>
                          <w:lang w:val="de-DE"/>
                        </w:rPr>
                        <w:instrText>HYPERLINK "https://eur-lex.europa.eu/legal-content/EN/TXT/?uri=ecli%3AECLI%3AEU%3AC%3A2022%3A702"</w:instrText>
                      </w:r>
                      <w:r>
                        <w:fldChar w:fldCharType="separate"/>
                      </w:r>
                      <w:r w:rsidRPr="00D64BBF">
                        <w:rPr>
                          <w:rStyle w:val="Lienhypertexte"/>
                          <w:rFonts w:asciiTheme="minorHAnsi" w:hAnsiTheme="minorHAnsi" w:cstheme="minorHAnsi"/>
                          <w:b/>
                          <w:color w:val="B6A04C"/>
                          <w:sz w:val="20"/>
                          <w:szCs w:val="20"/>
                          <w:lang w:val="de-DE"/>
                        </w:rPr>
                        <w:t xml:space="preserve">CJEU, Grd. Ch.,20 september 2022, </w:t>
                      </w:r>
                      <w:r w:rsidRPr="00D64BBF">
                        <w:rPr>
                          <w:rStyle w:val="Lienhypertexte"/>
                          <w:rFonts w:asciiTheme="minorHAnsi" w:hAnsiTheme="minorHAnsi" w:cstheme="minorHAnsi"/>
                          <w:b/>
                          <w:i/>
                          <w:color w:val="B6A04C"/>
                          <w:sz w:val="20"/>
                          <w:szCs w:val="20"/>
                          <w:lang w:val="de-DE"/>
                        </w:rPr>
                        <w:t>Bundesrepublik Deutschland v SpaceNet AG, Telekom Deutschland GmbH</w:t>
                      </w:r>
                      <w:r w:rsidRPr="00D64BBF">
                        <w:rPr>
                          <w:rStyle w:val="Lienhypertexte"/>
                          <w:rFonts w:asciiTheme="minorHAnsi" w:hAnsiTheme="minorHAnsi" w:cstheme="minorHAnsi"/>
                          <w:b/>
                          <w:color w:val="B6A04C"/>
                          <w:sz w:val="20"/>
                          <w:szCs w:val="20"/>
                          <w:lang w:val="de-DE"/>
                        </w:rPr>
                        <w:t xml:space="preserve">, C-793/19 and C-749/19, </w:t>
                      </w:r>
                      <w:r w:rsidRPr="00D64BBF">
                        <w:rPr>
                          <w:rStyle w:val="Lienhypertexte"/>
                          <w:rFonts w:asciiTheme="minorHAnsi" w:hAnsiTheme="minorHAnsi" w:cstheme="minorHAnsi"/>
                          <w:b/>
                          <w:color w:val="B6A04C"/>
                          <w:sz w:val="20"/>
                          <w:szCs w:val="20"/>
                          <w:lang w:val="de-DE" w:eastAsia="ca-ES"/>
                        </w:rPr>
                        <w:t>ECLI:EU:</w:t>
                      </w:r>
                      <w:r w:rsidRPr="00D64BBF">
                        <w:rPr>
                          <w:rStyle w:val="Lienhypertexte"/>
                          <w:rFonts w:asciiTheme="minorHAnsi" w:hAnsiTheme="minorHAnsi" w:cstheme="minorHAnsi"/>
                          <w:b/>
                          <w:color w:val="B6A04C"/>
                          <w:sz w:val="20"/>
                          <w:szCs w:val="20"/>
                          <w:lang w:val="de-DE"/>
                        </w:rPr>
                        <w:t xml:space="preserve"> C:2022:702</w:t>
                      </w:r>
                      <w:r>
                        <w:fldChar w:fldCharType="end"/>
                      </w:r>
                    </w:p>
                    <w:p w14:paraId="24919D81" w14:textId="77777777" w:rsidR="003A3F5E" w:rsidRPr="00856642" w:rsidRDefault="003A3F5E" w:rsidP="003A3F5E">
                      <w:pPr>
                        <w:spacing w:line="276" w:lineRule="auto"/>
                        <w:jc w:val="right"/>
                        <w:rPr>
                          <w:rFonts w:asciiTheme="minorHAnsi" w:hAnsiTheme="minorHAnsi" w:cstheme="minorHAnsi"/>
                          <w:kern w:val="2"/>
                          <w:sz w:val="20"/>
                          <w:szCs w:val="20"/>
                          <w:lang w:val="de-DE" w:eastAsia="ca-ES"/>
                        </w:rPr>
                      </w:pPr>
                    </w:p>
                    <w:p w14:paraId="015423C7" w14:textId="3FF22C60" w:rsidR="003A3F5E" w:rsidRPr="00D64BBF" w:rsidRDefault="003A3F5E" w:rsidP="003A3F5E">
                      <w:pPr>
                        <w:spacing w:line="276" w:lineRule="auto"/>
                        <w:jc w:val="both"/>
                        <w:rPr>
                          <w:rFonts w:asciiTheme="minorHAnsi" w:hAnsiTheme="minorHAnsi" w:cstheme="minorHAnsi"/>
                          <w:color w:val="2C2D5B"/>
                          <w:sz w:val="20"/>
                          <w:szCs w:val="20"/>
                          <w:lang w:eastAsia="ca-ES"/>
                        </w:rPr>
                      </w:pPr>
                      <w:r w:rsidRPr="00D64BBF">
                        <w:rPr>
                          <w:rFonts w:asciiTheme="minorHAnsi" w:hAnsiTheme="minorHAnsi" w:cstheme="minorHAnsi"/>
                          <w:b/>
                          <w:bCs/>
                          <w:color w:val="2C2D5B"/>
                          <w:sz w:val="20"/>
                          <w:szCs w:val="20"/>
                          <w:lang w:eastAsia="ca-ES"/>
                        </w:rPr>
                        <w:t xml:space="preserve">Facts : </w:t>
                      </w:r>
                      <w:r w:rsidRPr="00D64BBF">
                        <w:rPr>
                          <w:rFonts w:asciiTheme="minorHAnsi" w:hAnsiTheme="minorHAnsi" w:cstheme="minorHAnsi"/>
                          <w:color w:val="2C2D5B"/>
                          <w:sz w:val="20"/>
                          <w:szCs w:val="20"/>
                          <w:lang w:eastAsia="ca-ES"/>
                        </w:rPr>
                        <w:t xml:space="preserve">This case </w:t>
                      </w:r>
                      <w:r w:rsidR="00966D10" w:rsidRPr="00D64BBF">
                        <w:rPr>
                          <w:rFonts w:asciiTheme="minorHAnsi" w:hAnsiTheme="minorHAnsi" w:cstheme="minorHAnsi"/>
                          <w:color w:val="2C2D5B"/>
                          <w:sz w:val="20"/>
                          <w:szCs w:val="20"/>
                          <w:lang w:eastAsia="ca-ES"/>
                        </w:rPr>
                        <w:t xml:space="preserve">examined </w:t>
                      </w:r>
                      <w:r w:rsidRPr="00D64BBF">
                        <w:rPr>
                          <w:rFonts w:asciiTheme="minorHAnsi" w:hAnsiTheme="minorHAnsi" w:cstheme="minorHAnsi"/>
                          <w:color w:val="2C2D5B"/>
                          <w:sz w:val="20"/>
                          <w:szCs w:val="20"/>
                          <w:lang w:eastAsia="ca-ES"/>
                        </w:rPr>
                        <w:t>the interpretation of Article 15(1) of Directive 2002/58/EC on the obligation imposed on companies in the electronics sector to retain traffic and location data relating to their customers’ telecommunications and the protection of, read in light of the Charter of Fundamental Rights of the European Union</w:t>
                      </w:r>
                      <w:r w:rsidR="00992E9D" w:rsidRPr="00D64BBF">
                        <w:rPr>
                          <w:rFonts w:asciiTheme="minorHAnsi" w:hAnsiTheme="minorHAnsi" w:cstheme="minorHAnsi"/>
                          <w:color w:val="2C2D5B"/>
                          <w:sz w:val="20"/>
                          <w:szCs w:val="20"/>
                          <w:lang w:eastAsia="ca-ES"/>
                        </w:rPr>
                        <w:t xml:space="preserve">. </w:t>
                      </w:r>
                    </w:p>
                    <w:p w14:paraId="3B029BA3" w14:textId="77777777" w:rsidR="00966D10" w:rsidRPr="00D64BBF" w:rsidRDefault="00966D10" w:rsidP="003A3F5E">
                      <w:pPr>
                        <w:spacing w:line="276" w:lineRule="auto"/>
                        <w:jc w:val="both"/>
                        <w:rPr>
                          <w:rFonts w:asciiTheme="minorHAnsi" w:hAnsiTheme="minorHAnsi" w:cstheme="minorHAnsi"/>
                          <w:color w:val="2C2D5B"/>
                          <w:sz w:val="20"/>
                          <w:szCs w:val="20"/>
                          <w:lang w:eastAsia="ca-ES"/>
                        </w:rPr>
                      </w:pPr>
                    </w:p>
                    <w:p w14:paraId="2325C3D2" w14:textId="3E5A84B2" w:rsidR="00966D10" w:rsidRPr="00D64BBF" w:rsidRDefault="00966D10" w:rsidP="003A3F5E">
                      <w:pPr>
                        <w:spacing w:line="276" w:lineRule="auto"/>
                        <w:jc w:val="both"/>
                        <w:rPr>
                          <w:rFonts w:asciiTheme="minorHAnsi" w:hAnsiTheme="minorHAnsi" w:cstheme="minorHAnsi"/>
                          <w:b/>
                          <w:bCs/>
                          <w:color w:val="2C2D5B"/>
                          <w:sz w:val="20"/>
                          <w:szCs w:val="20"/>
                          <w:lang w:eastAsia="ca-ES"/>
                        </w:rPr>
                      </w:pPr>
                      <w:r w:rsidRPr="00D64BBF">
                        <w:rPr>
                          <w:rFonts w:asciiTheme="minorHAnsi" w:hAnsiTheme="minorHAnsi" w:cstheme="minorHAnsi"/>
                          <w:b/>
                          <w:bCs/>
                          <w:color w:val="2C2D5B"/>
                          <w:sz w:val="20"/>
                          <w:szCs w:val="20"/>
                          <w:lang w:eastAsia="ca-ES"/>
                        </w:rPr>
                        <w:t>Ruling</w:t>
                      </w:r>
                      <w:r w:rsidR="00D64BBF" w:rsidRPr="00D64BBF">
                        <w:rPr>
                          <w:rFonts w:asciiTheme="minorHAnsi" w:hAnsiTheme="minorHAnsi" w:cstheme="minorHAnsi"/>
                          <w:b/>
                          <w:bCs/>
                          <w:color w:val="2C2D5B"/>
                          <w:sz w:val="20"/>
                          <w:szCs w:val="20"/>
                          <w:lang w:eastAsia="ca-ES"/>
                        </w:rPr>
                        <w:t xml:space="preserve"> </w:t>
                      </w:r>
                      <w:r w:rsidRPr="00D64BBF">
                        <w:rPr>
                          <w:rFonts w:asciiTheme="minorHAnsi" w:hAnsiTheme="minorHAnsi" w:cstheme="minorHAnsi"/>
                          <w:b/>
                          <w:bCs/>
                          <w:color w:val="2C2D5B"/>
                          <w:sz w:val="20"/>
                          <w:szCs w:val="20"/>
                          <w:lang w:eastAsia="ca-ES"/>
                        </w:rPr>
                        <w:t xml:space="preserve">: </w:t>
                      </w:r>
                    </w:p>
                    <w:p w14:paraId="77A9EF0D" w14:textId="1AA1AA6B" w:rsidR="00966D10" w:rsidRPr="00D64BBF" w:rsidRDefault="00966D10" w:rsidP="003A3F5E">
                      <w:pPr>
                        <w:spacing w:line="276" w:lineRule="auto"/>
                        <w:jc w:val="both"/>
                        <w:rPr>
                          <w:rFonts w:asciiTheme="minorHAnsi" w:hAnsiTheme="minorHAnsi" w:cstheme="minorHAnsi"/>
                          <w:color w:val="2C2D5B"/>
                          <w:sz w:val="20"/>
                          <w:szCs w:val="20"/>
                          <w:lang w:eastAsia="ca-ES"/>
                        </w:rPr>
                      </w:pPr>
                      <w:r w:rsidRPr="00D64BBF">
                        <w:rPr>
                          <w:rFonts w:asciiTheme="minorHAnsi" w:hAnsiTheme="minorHAnsi" w:cstheme="minorHAnsi"/>
                          <w:color w:val="2C2D5B"/>
                          <w:sz w:val="20"/>
                          <w:szCs w:val="20"/>
                          <w:lang w:eastAsia="ca-ES"/>
                        </w:rPr>
                        <w:t xml:space="preserve">The CJEU clarified that while Article 52(3) of the Charter ensures coherence with ECHR standards, EU law retains autonomy. </w:t>
                      </w:r>
                    </w:p>
                    <w:p w14:paraId="13ED2877" w14:textId="77777777" w:rsidR="003A3F5E" w:rsidRPr="00D64BBF" w:rsidRDefault="003A3F5E" w:rsidP="00992E9D">
                      <w:pPr>
                        <w:spacing w:line="276" w:lineRule="auto"/>
                        <w:jc w:val="both"/>
                        <w:rPr>
                          <w:rFonts w:asciiTheme="minorHAnsi" w:hAnsiTheme="minorHAnsi" w:cstheme="minorHAnsi"/>
                          <w:color w:val="2C2D5B"/>
                          <w:sz w:val="20"/>
                          <w:szCs w:val="20"/>
                          <w:lang w:eastAsia="ca-ES"/>
                        </w:rPr>
                      </w:pPr>
                    </w:p>
                    <w:p w14:paraId="04B31AB8" w14:textId="0C36264A" w:rsidR="003A3F5E" w:rsidRPr="00D64BBF" w:rsidRDefault="003A3F5E" w:rsidP="00327D5A">
                      <w:pPr>
                        <w:jc w:val="both"/>
                        <w:rPr>
                          <w:color w:val="2C2D5B"/>
                        </w:rPr>
                      </w:pPr>
                      <w:r w:rsidRPr="00D64BBF">
                        <w:rPr>
                          <w:rFonts w:asciiTheme="minorHAnsi" w:hAnsiTheme="minorHAnsi" w:cstheme="minorHAnsi"/>
                          <w:i/>
                          <w:color w:val="2C2D5B"/>
                          <w:sz w:val="20"/>
                          <w:szCs w:val="20"/>
                          <w:lang w:eastAsia="ca-ES"/>
                        </w:rPr>
                        <w:t xml:space="preserve">“125. Furthermore, the judgments of the European Court of Human Rights of 25 May 2021, Big Brother Watch and Others v. the United Kingdom, and of 25 May 2021, Centrum för Rättvisa v. Sweden concerned the bulk interception of data relating to international communications. Thus, as the Commission observed at the hearing, the European Court of Human Rights did not rule, in those judgments, on the compatibility with the ECHR of a general and indiscriminate retention of traffic and location data on national territory or even a large-scale interception of those data for the purposes of the prevention, detection and investigation of serious criminal offences. In any event, it should be borne in mind that </w:t>
                      </w:r>
                      <w:r w:rsidRPr="00D64BBF">
                        <w:rPr>
                          <w:rFonts w:asciiTheme="minorHAnsi" w:hAnsiTheme="minorHAnsi" w:cstheme="minorHAnsi"/>
                          <w:b/>
                          <w:bCs/>
                          <w:i/>
                          <w:color w:val="2C2D5B"/>
                          <w:sz w:val="20"/>
                          <w:szCs w:val="20"/>
                          <w:lang w:eastAsia="ca-ES"/>
                        </w:rPr>
                        <w:t>Article 52(3) of the Charter is intended to ensure the necessary consistency between the rights contained in the Charter and the corresponding rights guaranteed in the ECHR</w:t>
                      </w:r>
                      <w:r w:rsidRPr="00D64BBF">
                        <w:rPr>
                          <w:rFonts w:asciiTheme="minorHAnsi" w:hAnsiTheme="minorHAnsi" w:cstheme="minorHAnsi"/>
                          <w:i/>
                          <w:color w:val="2C2D5B"/>
                          <w:sz w:val="20"/>
                          <w:szCs w:val="20"/>
                          <w:lang w:eastAsia="ca-ES"/>
                        </w:rPr>
                        <w:t>, without adversely affecting the autonomy of EU law and that of the Court of Justice of the European Union, with the result that, for the purpose of interpreting the Charter, account must be taken of the corresponding rights of the ECHR only as the minimum threshold of protection.”</w:t>
                      </w:r>
                    </w:p>
                    <w:p w14:paraId="31A188D1" w14:textId="77777777" w:rsidR="00D64BBF" w:rsidRDefault="00D64BBF"/>
                  </w:txbxContent>
                </v:textbox>
                <w10:wrap type="square" anchorx="margin"/>
              </v:roundrect>
            </w:pict>
          </mc:Fallback>
        </mc:AlternateContent>
      </w:r>
    </w:p>
    <w:p w14:paraId="3B59D477" w14:textId="77777777" w:rsidR="00BC20DE" w:rsidRDefault="00BC20DE" w:rsidP="00B05272">
      <w:pPr>
        <w:autoSpaceDE w:val="0"/>
        <w:autoSpaceDN w:val="0"/>
        <w:adjustRightInd w:val="0"/>
        <w:spacing w:after="120" w:line="276" w:lineRule="auto"/>
        <w:jc w:val="both"/>
        <w:rPr>
          <w:rFonts w:asciiTheme="majorHAnsi" w:hAnsiTheme="majorHAnsi" w:cstheme="majorHAnsi"/>
          <w:color w:val="2C2D5B"/>
          <w:kern w:val="24"/>
        </w:rPr>
      </w:pPr>
    </w:p>
    <w:p w14:paraId="54AC5450" w14:textId="423BE2A5" w:rsidR="00B05272" w:rsidRPr="00D64BBF" w:rsidRDefault="00B05272" w:rsidP="00B05272">
      <w:pPr>
        <w:autoSpaceDE w:val="0"/>
        <w:autoSpaceDN w:val="0"/>
        <w:adjustRightInd w:val="0"/>
        <w:spacing w:after="120" w:line="276" w:lineRule="auto"/>
        <w:jc w:val="both"/>
        <w:rPr>
          <w:rFonts w:asciiTheme="majorHAnsi" w:hAnsiTheme="majorHAnsi" w:cstheme="majorHAnsi"/>
          <w:color w:val="2C2D5B"/>
          <w:kern w:val="24"/>
        </w:rPr>
      </w:pPr>
      <w:r w:rsidRPr="00D64BBF">
        <w:rPr>
          <w:rFonts w:asciiTheme="majorHAnsi" w:hAnsiTheme="majorHAnsi" w:cstheme="majorHAnsi"/>
          <w:color w:val="2C2D5B"/>
          <w:kern w:val="24"/>
        </w:rPr>
        <w:t>The scope and meaning of the corresponding rights must be determined by taking into consideration the text of the ECHR and its Protocols, as interpreted by the ECtHR. Th</w:t>
      </w:r>
      <w:r w:rsidR="00B038AF" w:rsidRPr="00D64BBF">
        <w:rPr>
          <w:rFonts w:asciiTheme="majorHAnsi" w:hAnsiTheme="majorHAnsi" w:cstheme="majorHAnsi"/>
          <w:color w:val="2C2D5B"/>
          <w:kern w:val="24"/>
        </w:rPr>
        <w:t>is</w:t>
      </w:r>
      <w:r w:rsidRPr="00D64BBF">
        <w:rPr>
          <w:rFonts w:asciiTheme="majorHAnsi" w:hAnsiTheme="majorHAnsi" w:cstheme="majorHAnsi"/>
          <w:color w:val="2C2D5B"/>
          <w:kern w:val="24"/>
        </w:rPr>
        <w:t xml:space="preserve"> means that </w:t>
      </w:r>
      <w:r w:rsidR="00B038AF" w:rsidRPr="00D64BBF">
        <w:rPr>
          <w:rFonts w:asciiTheme="majorHAnsi" w:hAnsiTheme="majorHAnsi" w:cstheme="majorHAnsi"/>
          <w:color w:val="2C2D5B"/>
          <w:kern w:val="24"/>
        </w:rPr>
        <w:t xml:space="preserve">where the ECHR imposes limitations on certain </w:t>
      </w:r>
      <w:r w:rsidRPr="00D64BBF">
        <w:rPr>
          <w:rFonts w:asciiTheme="majorHAnsi" w:hAnsiTheme="majorHAnsi" w:cstheme="majorHAnsi"/>
          <w:color w:val="2C2D5B"/>
          <w:kern w:val="24"/>
        </w:rPr>
        <w:t>rights</w:t>
      </w:r>
      <w:r w:rsidR="006A7E56" w:rsidRPr="00D64BBF">
        <w:rPr>
          <w:rFonts w:asciiTheme="majorHAnsi" w:hAnsiTheme="majorHAnsi" w:cstheme="majorHAnsi"/>
          <w:color w:val="2C2D5B"/>
          <w:kern w:val="24"/>
        </w:rPr>
        <w:t xml:space="preserve">, </w:t>
      </w:r>
      <w:r w:rsidR="00B038AF" w:rsidRPr="00D64BBF">
        <w:rPr>
          <w:rFonts w:asciiTheme="majorHAnsi" w:hAnsiTheme="majorHAnsi" w:cstheme="majorHAnsi"/>
          <w:color w:val="2C2D5B"/>
          <w:kern w:val="24"/>
        </w:rPr>
        <w:t xml:space="preserve">these limitations </w:t>
      </w:r>
      <w:r w:rsidRPr="00D64BBF">
        <w:rPr>
          <w:rFonts w:asciiTheme="majorHAnsi" w:hAnsiTheme="majorHAnsi" w:cstheme="majorHAnsi"/>
          <w:color w:val="2C2D5B"/>
          <w:kern w:val="24"/>
        </w:rPr>
        <w:t xml:space="preserve">must also be </w:t>
      </w:r>
      <w:r w:rsidR="00B038AF" w:rsidRPr="00D64BBF">
        <w:rPr>
          <w:rFonts w:asciiTheme="majorHAnsi" w:hAnsiTheme="majorHAnsi" w:cstheme="majorHAnsi"/>
          <w:color w:val="2C2D5B"/>
          <w:kern w:val="24"/>
        </w:rPr>
        <w:t>observed</w:t>
      </w:r>
      <w:r w:rsidRPr="00D64BBF">
        <w:rPr>
          <w:rFonts w:asciiTheme="majorHAnsi" w:hAnsiTheme="majorHAnsi" w:cstheme="majorHAnsi"/>
          <w:color w:val="2C2D5B"/>
          <w:kern w:val="24"/>
        </w:rPr>
        <w:t xml:space="preserve"> </w:t>
      </w:r>
      <w:r w:rsidR="00B038AF" w:rsidRPr="00D64BBF">
        <w:rPr>
          <w:rFonts w:asciiTheme="majorHAnsi" w:hAnsiTheme="majorHAnsi" w:cstheme="majorHAnsi"/>
          <w:color w:val="2C2D5B"/>
          <w:kern w:val="24"/>
        </w:rPr>
        <w:t>when</w:t>
      </w:r>
      <w:r w:rsidRPr="00D64BBF">
        <w:rPr>
          <w:rFonts w:asciiTheme="majorHAnsi" w:hAnsiTheme="majorHAnsi" w:cstheme="majorHAnsi"/>
          <w:color w:val="2C2D5B"/>
          <w:kern w:val="24"/>
        </w:rPr>
        <w:t xml:space="preserve"> interpreting </w:t>
      </w:r>
      <w:r w:rsidR="00B038AF" w:rsidRPr="00D64BBF">
        <w:rPr>
          <w:rFonts w:asciiTheme="majorHAnsi" w:hAnsiTheme="majorHAnsi" w:cstheme="majorHAnsi"/>
          <w:color w:val="2C2D5B"/>
          <w:kern w:val="24"/>
        </w:rPr>
        <w:t xml:space="preserve">corresponding rights under </w:t>
      </w:r>
      <w:r w:rsidRPr="00D64BBF">
        <w:rPr>
          <w:rFonts w:asciiTheme="majorHAnsi" w:hAnsiTheme="majorHAnsi" w:cstheme="majorHAnsi"/>
          <w:color w:val="2C2D5B"/>
          <w:kern w:val="24"/>
        </w:rPr>
        <w:t xml:space="preserve">the Charter. </w:t>
      </w:r>
      <w:r w:rsidR="00B038AF" w:rsidRPr="00D64BBF">
        <w:rPr>
          <w:rFonts w:asciiTheme="majorHAnsi" w:hAnsiTheme="majorHAnsi" w:cstheme="majorHAnsi"/>
          <w:color w:val="2C2D5B"/>
          <w:kern w:val="24"/>
        </w:rPr>
        <w:t xml:space="preserve">Conversely, where the ECHR does not impose </w:t>
      </w:r>
      <w:r w:rsidRPr="00D64BBF">
        <w:rPr>
          <w:rFonts w:asciiTheme="majorHAnsi" w:hAnsiTheme="majorHAnsi" w:cstheme="majorHAnsi"/>
          <w:color w:val="2C2D5B"/>
          <w:kern w:val="24"/>
        </w:rPr>
        <w:t>limitations,</w:t>
      </w:r>
      <w:r w:rsidR="00B038AF" w:rsidRPr="00D64BBF">
        <w:rPr>
          <w:rFonts w:asciiTheme="majorHAnsi" w:hAnsiTheme="majorHAnsi" w:cstheme="majorHAnsi"/>
          <w:color w:val="2C2D5B"/>
          <w:kern w:val="24"/>
        </w:rPr>
        <w:t xml:space="preserve"> no such limitations can be applied under </w:t>
      </w:r>
      <w:r w:rsidRPr="00D64BBF">
        <w:rPr>
          <w:rFonts w:asciiTheme="majorHAnsi" w:hAnsiTheme="majorHAnsi" w:cstheme="majorHAnsi"/>
          <w:color w:val="2C2D5B"/>
          <w:kern w:val="24"/>
        </w:rPr>
        <w:t xml:space="preserve"> the Charter either.</w:t>
      </w:r>
    </w:p>
    <w:p w14:paraId="5BD623B0" w14:textId="2A15893E" w:rsidR="00DC593F" w:rsidRPr="00D64BBF" w:rsidRDefault="00DC593F" w:rsidP="00DC593F">
      <w:pPr>
        <w:autoSpaceDE w:val="0"/>
        <w:autoSpaceDN w:val="0"/>
        <w:adjustRightInd w:val="0"/>
        <w:spacing w:after="120" w:line="276" w:lineRule="auto"/>
        <w:jc w:val="both"/>
        <w:rPr>
          <w:rFonts w:ascii="Calibri" w:hAnsi="Calibri" w:cs="Calibri"/>
          <w:color w:val="2C2D5B"/>
          <w:kern w:val="24"/>
        </w:rPr>
      </w:pPr>
      <w:r w:rsidRPr="00D64BBF">
        <w:rPr>
          <w:rFonts w:asciiTheme="majorHAnsi" w:hAnsiTheme="majorHAnsi" w:cstheme="majorHAnsi"/>
          <w:color w:val="2C2D5B"/>
          <w:kern w:val="24"/>
        </w:rPr>
        <w:t>The interaction between the Charter and the ECHR has positive effects for both systems regarding the scope and interpretation of rights and principles. At the current stage,</w:t>
      </w:r>
      <w:r w:rsidRPr="00D64BBF">
        <w:rPr>
          <w:rFonts w:asciiTheme="majorHAnsi" w:hAnsiTheme="majorHAnsi" w:cstheme="majorHAnsi"/>
          <w:b/>
          <w:bCs/>
          <w:color w:val="2C2D5B"/>
          <w:kern w:val="24"/>
        </w:rPr>
        <w:t xml:space="preserve"> the EChFR rights corresponding to ECHR rights with the same meaning and scope</w:t>
      </w:r>
      <w:r w:rsidRPr="00D64BBF">
        <w:rPr>
          <w:rFonts w:asciiTheme="majorHAnsi" w:hAnsiTheme="majorHAnsi" w:cstheme="majorHAnsi"/>
          <w:color w:val="2C2D5B"/>
          <w:kern w:val="24"/>
        </w:rPr>
        <w:t>, can be summari</w:t>
      </w:r>
      <w:r w:rsidR="00816E41" w:rsidRPr="00D64BBF">
        <w:rPr>
          <w:rFonts w:asciiTheme="majorHAnsi" w:hAnsiTheme="majorHAnsi" w:cstheme="majorHAnsi"/>
          <w:color w:val="2C2D5B"/>
          <w:kern w:val="24"/>
        </w:rPr>
        <w:t>s</w:t>
      </w:r>
      <w:r w:rsidRPr="00D64BBF">
        <w:rPr>
          <w:rFonts w:asciiTheme="majorHAnsi" w:hAnsiTheme="majorHAnsi" w:cstheme="majorHAnsi"/>
          <w:color w:val="2C2D5B"/>
          <w:kern w:val="24"/>
        </w:rPr>
        <w:t>ed in the following table</w:t>
      </w:r>
      <w:r w:rsidR="00D64BBF" w:rsidRPr="00D64BBF">
        <w:rPr>
          <w:rFonts w:asciiTheme="majorHAnsi" w:hAnsiTheme="majorHAnsi" w:cstheme="majorHAnsi"/>
          <w:color w:val="2C2D5B"/>
          <w:kern w:val="24"/>
        </w:rPr>
        <w:t xml:space="preserve"> </w:t>
      </w:r>
      <w:r w:rsidRPr="00D64BBF">
        <w:rPr>
          <w:rFonts w:ascii="Calibri" w:hAnsi="Calibri" w:cs="Calibri"/>
          <w:color w:val="2C2D5B"/>
          <w:kern w:val="24"/>
        </w:rPr>
        <w:t>:</w:t>
      </w:r>
    </w:p>
    <w:p w14:paraId="5F529715" w14:textId="77777777" w:rsidR="00D64BBF" w:rsidRDefault="00D64BBF" w:rsidP="00DC593F">
      <w:pPr>
        <w:autoSpaceDE w:val="0"/>
        <w:autoSpaceDN w:val="0"/>
        <w:adjustRightInd w:val="0"/>
        <w:spacing w:after="120" w:line="276" w:lineRule="auto"/>
        <w:jc w:val="both"/>
        <w:rPr>
          <w:rFonts w:ascii="Calibri" w:hAnsi="Calibri" w:cs="Calibri"/>
          <w:kern w:val="24"/>
        </w:rPr>
      </w:pPr>
    </w:p>
    <w:p w14:paraId="4C49A62D" w14:textId="77777777" w:rsidR="00D64BBF" w:rsidRDefault="00D64BBF" w:rsidP="00DC593F">
      <w:pPr>
        <w:autoSpaceDE w:val="0"/>
        <w:autoSpaceDN w:val="0"/>
        <w:adjustRightInd w:val="0"/>
        <w:spacing w:after="120" w:line="276" w:lineRule="auto"/>
        <w:jc w:val="both"/>
        <w:rPr>
          <w:rFonts w:ascii="Calibri" w:hAnsi="Calibri" w:cs="Calibri"/>
          <w:kern w:val="24"/>
        </w:rPr>
      </w:pPr>
    </w:p>
    <w:p w14:paraId="18EED51F" w14:textId="60D32BF5" w:rsidR="00D64BBF" w:rsidRDefault="00D64BBF" w:rsidP="00DC593F">
      <w:pPr>
        <w:autoSpaceDE w:val="0"/>
        <w:autoSpaceDN w:val="0"/>
        <w:adjustRightInd w:val="0"/>
        <w:spacing w:after="120" w:line="276" w:lineRule="auto"/>
        <w:jc w:val="both"/>
        <w:rPr>
          <w:rFonts w:ascii="Calibri" w:hAnsi="Calibri" w:cs="Calibri"/>
          <w:kern w:val="24"/>
        </w:rPr>
      </w:pPr>
    </w:p>
    <w:p w14:paraId="563AEE99" w14:textId="77777777" w:rsidR="00D64BBF" w:rsidRDefault="00D64BBF" w:rsidP="00DC593F">
      <w:pPr>
        <w:autoSpaceDE w:val="0"/>
        <w:autoSpaceDN w:val="0"/>
        <w:adjustRightInd w:val="0"/>
        <w:spacing w:after="120" w:line="276" w:lineRule="auto"/>
        <w:jc w:val="both"/>
        <w:rPr>
          <w:rFonts w:ascii="Calibri" w:hAnsi="Calibri" w:cs="Calibri"/>
          <w:kern w:val="24"/>
        </w:rPr>
      </w:pPr>
    </w:p>
    <w:p w14:paraId="0F0B8520" w14:textId="77777777" w:rsidR="00D64BBF" w:rsidRDefault="00D64BBF" w:rsidP="00DC593F">
      <w:pPr>
        <w:autoSpaceDE w:val="0"/>
        <w:autoSpaceDN w:val="0"/>
        <w:adjustRightInd w:val="0"/>
        <w:spacing w:after="120" w:line="276" w:lineRule="auto"/>
        <w:jc w:val="both"/>
        <w:rPr>
          <w:rFonts w:ascii="Calibri" w:hAnsi="Calibri" w:cs="Calibri"/>
          <w:kern w:val="24"/>
        </w:rPr>
      </w:pPr>
    </w:p>
    <w:p w14:paraId="15966637" w14:textId="77777777" w:rsidR="00D64BBF" w:rsidRDefault="00D64BBF" w:rsidP="00DC593F">
      <w:pPr>
        <w:autoSpaceDE w:val="0"/>
        <w:autoSpaceDN w:val="0"/>
        <w:adjustRightInd w:val="0"/>
        <w:spacing w:after="120" w:line="276" w:lineRule="auto"/>
        <w:jc w:val="both"/>
        <w:rPr>
          <w:rFonts w:ascii="Calibri" w:hAnsi="Calibri" w:cs="Calibri"/>
          <w:kern w:val="24"/>
        </w:rPr>
      </w:pPr>
    </w:p>
    <w:p w14:paraId="00970A07" w14:textId="77777777" w:rsidR="00D64BBF" w:rsidRPr="005A6959" w:rsidRDefault="00D64BBF" w:rsidP="00DC593F">
      <w:pPr>
        <w:autoSpaceDE w:val="0"/>
        <w:autoSpaceDN w:val="0"/>
        <w:adjustRightInd w:val="0"/>
        <w:spacing w:after="120" w:line="276" w:lineRule="auto"/>
        <w:jc w:val="both"/>
        <w:rPr>
          <w:rFonts w:ascii="Calibri" w:hAnsi="Calibri" w:cs="Calibri"/>
          <w:kern w:val="24"/>
        </w:rPr>
      </w:pPr>
    </w:p>
    <w:tbl>
      <w:tblPr>
        <w:tblStyle w:val="Mkatabulky"/>
        <w:tblW w:w="7083" w:type="dxa"/>
        <w:jc w:val="center"/>
        <w:tblLook w:val="04A0" w:firstRow="1" w:lastRow="0" w:firstColumn="1" w:lastColumn="0" w:noHBand="0" w:noVBand="1"/>
      </w:tblPr>
      <w:tblGrid>
        <w:gridCol w:w="2831"/>
        <w:gridCol w:w="2267"/>
        <w:gridCol w:w="1985"/>
      </w:tblGrid>
      <w:tr w:rsidR="007C10F0" w:rsidRPr="005A6959" w14:paraId="4607EC43" w14:textId="77777777" w:rsidTr="00D64BBF">
        <w:trPr>
          <w:jc w:val="center"/>
        </w:trPr>
        <w:tc>
          <w:tcPr>
            <w:tcW w:w="2831" w:type="dxa"/>
            <w:tcBorders>
              <w:top w:val="nil"/>
              <w:left w:val="nil"/>
              <w:bottom w:val="single" w:sz="4" w:space="0" w:color="B6A04C"/>
              <w:right w:val="nil"/>
            </w:tcBorders>
          </w:tcPr>
          <w:p w14:paraId="75AD3A72" w14:textId="27CFE3CC" w:rsidR="007C10F0" w:rsidRPr="005A6959" w:rsidRDefault="007C10F0" w:rsidP="00784097">
            <w:pPr>
              <w:autoSpaceDE w:val="0"/>
              <w:autoSpaceDN w:val="0"/>
              <w:adjustRightInd w:val="0"/>
              <w:spacing w:after="120" w:line="276" w:lineRule="auto"/>
              <w:jc w:val="both"/>
              <w:rPr>
                <w:rFonts w:ascii="Calibri" w:hAnsi="Calibri" w:cs="Calibri"/>
                <w:kern w:val="24"/>
              </w:rPr>
            </w:pPr>
          </w:p>
        </w:tc>
        <w:tc>
          <w:tcPr>
            <w:tcW w:w="2267" w:type="dxa"/>
            <w:tcBorders>
              <w:top w:val="nil"/>
              <w:left w:val="nil"/>
              <w:bottom w:val="single" w:sz="4" w:space="0" w:color="B6A04C"/>
              <w:right w:val="nil"/>
            </w:tcBorders>
            <w:shd w:val="clear" w:color="auto" w:fill="B6A04C"/>
            <w:vAlign w:val="center"/>
          </w:tcPr>
          <w:p w14:paraId="7550788A" w14:textId="21A06157" w:rsidR="007C10F0" w:rsidRPr="00D64BBF" w:rsidRDefault="007C10F0" w:rsidP="00D64BBF">
            <w:pPr>
              <w:autoSpaceDE w:val="0"/>
              <w:autoSpaceDN w:val="0"/>
              <w:adjustRightInd w:val="0"/>
              <w:spacing w:after="120" w:line="276" w:lineRule="auto"/>
              <w:jc w:val="center"/>
              <w:rPr>
                <w:rFonts w:ascii="Calibri" w:hAnsi="Calibri" w:cs="Calibri"/>
                <w:color w:val="FFFFFF" w:themeColor="background1"/>
                <w:kern w:val="24"/>
              </w:rPr>
            </w:pPr>
            <w:r w:rsidRPr="00D64BBF">
              <w:rPr>
                <w:rFonts w:ascii="Calibri" w:hAnsi="Calibri" w:cs="Calibri"/>
                <w:b/>
                <w:bCs/>
                <w:i/>
                <w:iCs/>
                <w:color w:val="FFFFFF" w:themeColor="background1"/>
              </w:rPr>
              <w:t>EChFR</w:t>
            </w:r>
          </w:p>
        </w:tc>
        <w:tc>
          <w:tcPr>
            <w:tcW w:w="1985" w:type="dxa"/>
            <w:tcBorders>
              <w:top w:val="nil"/>
              <w:left w:val="nil"/>
              <w:bottom w:val="single" w:sz="4" w:space="0" w:color="B6A04C"/>
              <w:right w:val="nil"/>
            </w:tcBorders>
            <w:shd w:val="clear" w:color="auto" w:fill="B6A04C"/>
            <w:vAlign w:val="center"/>
          </w:tcPr>
          <w:p w14:paraId="16243AC9" w14:textId="0172F086" w:rsidR="007C10F0" w:rsidRPr="00D64BBF" w:rsidRDefault="007C10F0" w:rsidP="00D64BBF">
            <w:pPr>
              <w:autoSpaceDE w:val="0"/>
              <w:autoSpaceDN w:val="0"/>
              <w:adjustRightInd w:val="0"/>
              <w:spacing w:after="120" w:line="276" w:lineRule="auto"/>
              <w:jc w:val="center"/>
              <w:rPr>
                <w:rFonts w:ascii="Calibri" w:hAnsi="Calibri" w:cs="Calibri"/>
                <w:color w:val="FFFFFF" w:themeColor="background1"/>
                <w:kern w:val="24"/>
              </w:rPr>
            </w:pPr>
            <w:r w:rsidRPr="00D64BBF">
              <w:rPr>
                <w:rFonts w:ascii="Calibri" w:hAnsi="Calibri" w:cs="Calibri"/>
                <w:b/>
                <w:bCs/>
                <w:i/>
                <w:iCs/>
                <w:color w:val="FFFFFF" w:themeColor="background1"/>
              </w:rPr>
              <w:t>ECHR</w:t>
            </w:r>
          </w:p>
        </w:tc>
      </w:tr>
      <w:tr w:rsidR="007C10F0" w:rsidRPr="005A6959" w14:paraId="102B47AC" w14:textId="77777777" w:rsidTr="00D64BBF">
        <w:trPr>
          <w:jc w:val="center"/>
        </w:trPr>
        <w:tc>
          <w:tcPr>
            <w:tcW w:w="2831" w:type="dxa"/>
            <w:tcBorders>
              <w:top w:val="single" w:sz="4" w:space="0" w:color="B6A04C"/>
              <w:left w:val="single" w:sz="4" w:space="0" w:color="B6A04C"/>
              <w:bottom w:val="single" w:sz="4" w:space="0" w:color="B6A04C"/>
              <w:right w:val="single" w:sz="4" w:space="0" w:color="B6A04C"/>
            </w:tcBorders>
          </w:tcPr>
          <w:p w14:paraId="38FFAA38" w14:textId="0E48E4A4"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Right to life</w:t>
            </w:r>
          </w:p>
        </w:tc>
        <w:tc>
          <w:tcPr>
            <w:tcW w:w="2267" w:type="dxa"/>
            <w:tcBorders>
              <w:top w:val="single" w:sz="4" w:space="0" w:color="B6A04C"/>
              <w:left w:val="single" w:sz="4" w:space="0" w:color="B6A04C"/>
              <w:bottom w:val="single" w:sz="4" w:space="0" w:color="B6A04C"/>
              <w:right w:val="single" w:sz="4" w:space="0" w:color="B6A04C"/>
            </w:tcBorders>
          </w:tcPr>
          <w:p w14:paraId="03ADDA75" w14:textId="70A995FC"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2</w:t>
            </w:r>
          </w:p>
        </w:tc>
        <w:tc>
          <w:tcPr>
            <w:tcW w:w="1985" w:type="dxa"/>
            <w:tcBorders>
              <w:top w:val="single" w:sz="4" w:space="0" w:color="B6A04C"/>
              <w:left w:val="single" w:sz="4" w:space="0" w:color="B6A04C"/>
              <w:bottom w:val="single" w:sz="4" w:space="0" w:color="B6A04C"/>
              <w:right w:val="single" w:sz="4" w:space="0" w:color="B6A04C"/>
            </w:tcBorders>
          </w:tcPr>
          <w:p w14:paraId="3DD29A27" w14:textId="3181FB14"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2</w:t>
            </w:r>
          </w:p>
        </w:tc>
      </w:tr>
      <w:tr w:rsidR="007C10F0" w:rsidRPr="005A6959" w14:paraId="288B06E0" w14:textId="77777777" w:rsidTr="00D64BBF">
        <w:trPr>
          <w:jc w:val="center"/>
        </w:trPr>
        <w:tc>
          <w:tcPr>
            <w:tcW w:w="2831" w:type="dxa"/>
            <w:tcBorders>
              <w:top w:val="single" w:sz="4" w:space="0" w:color="B6A04C"/>
              <w:left w:val="single" w:sz="4" w:space="0" w:color="B6A04C"/>
              <w:bottom w:val="single" w:sz="4" w:space="0" w:color="B6A04C"/>
              <w:right w:val="single" w:sz="4" w:space="0" w:color="B6A04C"/>
            </w:tcBorders>
          </w:tcPr>
          <w:p w14:paraId="676951B2" w14:textId="1B83B6CD"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Prohibition of torture and inhuman or degrading treatment or punishment</w:t>
            </w:r>
          </w:p>
        </w:tc>
        <w:tc>
          <w:tcPr>
            <w:tcW w:w="2267" w:type="dxa"/>
            <w:tcBorders>
              <w:top w:val="single" w:sz="4" w:space="0" w:color="B6A04C"/>
              <w:left w:val="single" w:sz="4" w:space="0" w:color="B6A04C"/>
              <w:bottom w:val="single" w:sz="4" w:space="0" w:color="B6A04C"/>
              <w:right w:val="single" w:sz="4" w:space="0" w:color="B6A04C"/>
            </w:tcBorders>
          </w:tcPr>
          <w:p w14:paraId="55D7E28D" w14:textId="34EBD5D7"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4</w:t>
            </w:r>
          </w:p>
        </w:tc>
        <w:tc>
          <w:tcPr>
            <w:tcW w:w="1985" w:type="dxa"/>
            <w:tcBorders>
              <w:top w:val="single" w:sz="4" w:space="0" w:color="B6A04C"/>
              <w:left w:val="single" w:sz="4" w:space="0" w:color="B6A04C"/>
              <w:bottom w:val="single" w:sz="4" w:space="0" w:color="B6A04C"/>
              <w:right w:val="single" w:sz="4" w:space="0" w:color="B6A04C"/>
            </w:tcBorders>
          </w:tcPr>
          <w:p w14:paraId="215C88E7" w14:textId="628A0329"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3</w:t>
            </w:r>
          </w:p>
        </w:tc>
      </w:tr>
      <w:tr w:rsidR="007C10F0" w:rsidRPr="005A6959" w14:paraId="0B439484" w14:textId="77777777" w:rsidTr="00D64BBF">
        <w:trPr>
          <w:jc w:val="center"/>
        </w:trPr>
        <w:tc>
          <w:tcPr>
            <w:tcW w:w="2831" w:type="dxa"/>
            <w:tcBorders>
              <w:top w:val="single" w:sz="4" w:space="0" w:color="B6A04C"/>
              <w:left w:val="single" w:sz="4" w:space="0" w:color="B6A04C"/>
              <w:bottom w:val="single" w:sz="4" w:space="0" w:color="B6A04C"/>
              <w:right w:val="single" w:sz="4" w:space="0" w:color="B6A04C"/>
            </w:tcBorders>
          </w:tcPr>
          <w:p w14:paraId="78939A43" w14:textId="428C692E"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Prohibition of slavery and forced labour</w:t>
            </w:r>
          </w:p>
        </w:tc>
        <w:tc>
          <w:tcPr>
            <w:tcW w:w="2267" w:type="dxa"/>
            <w:tcBorders>
              <w:top w:val="single" w:sz="4" w:space="0" w:color="B6A04C"/>
              <w:left w:val="single" w:sz="4" w:space="0" w:color="B6A04C"/>
              <w:bottom w:val="single" w:sz="4" w:space="0" w:color="B6A04C"/>
              <w:right w:val="single" w:sz="4" w:space="0" w:color="B6A04C"/>
            </w:tcBorders>
          </w:tcPr>
          <w:p w14:paraId="6B5F51D0" w14:textId="56776528"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5 (1) and 5 (2)</w:t>
            </w:r>
          </w:p>
        </w:tc>
        <w:tc>
          <w:tcPr>
            <w:tcW w:w="1985" w:type="dxa"/>
            <w:tcBorders>
              <w:top w:val="single" w:sz="4" w:space="0" w:color="B6A04C"/>
              <w:left w:val="single" w:sz="4" w:space="0" w:color="B6A04C"/>
              <w:bottom w:val="single" w:sz="4" w:space="0" w:color="B6A04C"/>
              <w:right w:val="single" w:sz="4" w:space="0" w:color="B6A04C"/>
            </w:tcBorders>
          </w:tcPr>
          <w:p w14:paraId="7F497C5B" w14:textId="63A81984"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4</w:t>
            </w:r>
          </w:p>
        </w:tc>
      </w:tr>
      <w:tr w:rsidR="007C10F0" w:rsidRPr="005A6959" w14:paraId="4FAF2CEA" w14:textId="77777777" w:rsidTr="00D64BBF">
        <w:trPr>
          <w:jc w:val="center"/>
        </w:trPr>
        <w:tc>
          <w:tcPr>
            <w:tcW w:w="2831" w:type="dxa"/>
            <w:tcBorders>
              <w:top w:val="single" w:sz="4" w:space="0" w:color="B6A04C"/>
              <w:left w:val="single" w:sz="4" w:space="0" w:color="B6A04C"/>
              <w:bottom w:val="single" w:sz="4" w:space="0" w:color="B6A04C"/>
              <w:right w:val="single" w:sz="4" w:space="0" w:color="B6A04C"/>
            </w:tcBorders>
          </w:tcPr>
          <w:p w14:paraId="3AA54CC4" w14:textId="2816BCD8"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Right to liberty and security</w:t>
            </w:r>
          </w:p>
        </w:tc>
        <w:tc>
          <w:tcPr>
            <w:tcW w:w="2267" w:type="dxa"/>
            <w:tcBorders>
              <w:top w:val="single" w:sz="4" w:space="0" w:color="B6A04C"/>
              <w:left w:val="single" w:sz="4" w:space="0" w:color="B6A04C"/>
              <w:bottom w:val="single" w:sz="4" w:space="0" w:color="B6A04C"/>
              <w:right w:val="single" w:sz="4" w:space="0" w:color="B6A04C"/>
            </w:tcBorders>
          </w:tcPr>
          <w:p w14:paraId="237AD18B" w14:textId="3D709762"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6</w:t>
            </w:r>
          </w:p>
        </w:tc>
        <w:tc>
          <w:tcPr>
            <w:tcW w:w="1985" w:type="dxa"/>
            <w:tcBorders>
              <w:top w:val="single" w:sz="4" w:space="0" w:color="B6A04C"/>
              <w:left w:val="single" w:sz="4" w:space="0" w:color="B6A04C"/>
              <w:bottom w:val="single" w:sz="4" w:space="0" w:color="B6A04C"/>
              <w:right w:val="single" w:sz="4" w:space="0" w:color="B6A04C"/>
            </w:tcBorders>
          </w:tcPr>
          <w:p w14:paraId="1AEFC937" w14:textId="42E7C87A"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5</w:t>
            </w:r>
          </w:p>
        </w:tc>
      </w:tr>
      <w:tr w:rsidR="007C10F0" w:rsidRPr="005A6959" w14:paraId="3498671D" w14:textId="77777777" w:rsidTr="00D64BBF">
        <w:trPr>
          <w:jc w:val="center"/>
        </w:trPr>
        <w:tc>
          <w:tcPr>
            <w:tcW w:w="2831" w:type="dxa"/>
            <w:tcBorders>
              <w:top w:val="single" w:sz="4" w:space="0" w:color="B6A04C"/>
              <w:left w:val="single" w:sz="4" w:space="0" w:color="B6A04C"/>
              <w:bottom w:val="single" w:sz="4" w:space="0" w:color="B6A04C"/>
              <w:right w:val="single" w:sz="4" w:space="0" w:color="B6A04C"/>
            </w:tcBorders>
          </w:tcPr>
          <w:p w14:paraId="0E5AF90F" w14:textId="08A4D2DC"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Respect for private and family life</w:t>
            </w:r>
          </w:p>
        </w:tc>
        <w:tc>
          <w:tcPr>
            <w:tcW w:w="2267" w:type="dxa"/>
            <w:tcBorders>
              <w:top w:val="single" w:sz="4" w:space="0" w:color="B6A04C"/>
              <w:left w:val="single" w:sz="4" w:space="0" w:color="B6A04C"/>
              <w:bottom w:val="single" w:sz="4" w:space="0" w:color="B6A04C"/>
              <w:right w:val="single" w:sz="4" w:space="0" w:color="B6A04C"/>
            </w:tcBorders>
          </w:tcPr>
          <w:p w14:paraId="683659D7" w14:textId="236C5B00"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7</w:t>
            </w:r>
          </w:p>
        </w:tc>
        <w:tc>
          <w:tcPr>
            <w:tcW w:w="1985" w:type="dxa"/>
            <w:tcBorders>
              <w:top w:val="single" w:sz="4" w:space="0" w:color="B6A04C"/>
              <w:left w:val="single" w:sz="4" w:space="0" w:color="B6A04C"/>
              <w:bottom w:val="single" w:sz="4" w:space="0" w:color="B6A04C"/>
              <w:right w:val="single" w:sz="4" w:space="0" w:color="B6A04C"/>
            </w:tcBorders>
          </w:tcPr>
          <w:p w14:paraId="316920D8" w14:textId="5102BCE5"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8</w:t>
            </w:r>
          </w:p>
        </w:tc>
      </w:tr>
      <w:tr w:rsidR="007C10F0" w:rsidRPr="005A6959" w14:paraId="02033886" w14:textId="77777777" w:rsidTr="00D64BBF">
        <w:trPr>
          <w:jc w:val="center"/>
        </w:trPr>
        <w:tc>
          <w:tcPr>
            <w:tcW w:w="2831" w:type="dxa"/>
            <w:tcBorders>
              <w:top w:val="single" w:sz="4" w:space="0" w:color="B6A04C"/>
              <w:left w:val="single" w:sz="4" w:space="0" w:color="B6A04C"/>
              <w:bottom w:val="single" w:sz="4" w:space="0" w:color="B6A04C"/>
              <w:right w:val="single" w:sz="4" w:space="0" w:color="B6A04C"/>
            </w:tcBorders>
          </w:tcPr>
          <w:p w14:paraId="55B88386" w14:textId="6317A08B"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Freedom of thought, conscicience and religion</w:t>
            </w:r>
          </w:p>
        </w:tc>
        <w:tc>
          <w:tcPr>
            <w:tcW w:w="2267" w:type="dxa"/>
            <w:tcBorders>
              <w:top w:val="single" w:sz="4" w:space="0" w:color="B6A04C"/>
              <w:left w:val="single" w:sz="4" w:space="0" w:color="B6A04C"/>
              <w:bottom w:val="single" w:sz="4" w:space="0" w:color="B6A04C"/>
              <w:right w:val="single" w:sz="4" w:space="0" w:color="B6A04C"/>
            </w:tcBorders>
          </w:tcPr>
          <w:p w14:paraId="08F7CFBB" w14:textId="0EEBE505"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10 (1)</w:t>
            </w:r>
          </w:p>
        </w:tc>
        <w:tc>
          <w:tcPr>
            <w:tcW w:w="1985" w:type="dxa"/>
            <w:tcBorders>
              <w:top w:val="single" w:sz="4" w:space="0" w:color="B6A04C"/>
              <w:left w:val="single" w:sz="4" w:space="0" w:color="B6A04C"/>
              <w:bottom w:val="single" w:sz="4" w:space="0" w:color="B6A04C"/>
              <w:right w:val="single" w:sz="4" w:space="0" w:color="B6A04C"/>
            </w:tcBorders>
          </w:tcPr>
          <w:p w14:paraId="7454562B" w14:textId="71158F74"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9</w:t>
            </w:r>
          </w:p>
        </w:tc>
      </w:tr>
      <w:tr w:rsidR="007C10F0" w:rsidRPr="005A6959" w14:paraId="45F8241B" w14:textId="77777777" w:rsidTr="00D64BBF">
        <w:trPr>
          <w:jc w:val="center"/>
        </w:trPr>
        <w:tc>
          <w:tcPr>
            <w:tcW w:w="2831" w:type="dxa"/>
            <w:tcBorders>
              <w:top w:val="single" w:sz="4" w:space="0" w:color="B6A04C"/>
              <w:left w:val="single" w:sz="4" w:space="0" w:color="B6A04C"/>
              <w:bottom w:val="single" w:sz="4" w:space="0" w:color="B6A04C"/>
              <w:right w:val="single" w:sz="4" w:space="0" w:color="B6A04C"/>
            </w:tcBorders>
          </w:tcPr>
          <w:p w14:paraId="509C2BC5" w14:textId="27CCA698"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Freedom of expression and information</w:t>
            </w:r>
          </w:p>
        </w:tc>
        <w:tc>
          <w:tcPr>
            <w:tcW w:w="2267" w:type="dxa"/>
            <w:tcBorders>
              <w:top w:val="single" w:sz="4" w:space="0" w:color="B6A04C"/>
              <w:left w:val="single" w:sz="4" w:space="0" w:color="B6A04C"/>
              <w:bottom w:val="single" w:sz="4" w:space="0" w:color="B6A04C"/>
              <w:right w:val="single" w:sz="4" w:space="0" w:color="B6A04C"/>
            </w:tcBorders>
          </w:tcPr>
          <w:p w14:paraId="7340EFA2" w14:textId="0ABDB860"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11</w:t>
            </w:r>
          </w:p>
        </w:tc>
        <w:tc>
          <w:tcPr>
            <w:tcW w:w="1985" w:type="dxa"/>
            <w:tcBorders>
              <w:top w:val="single" w:sz="4" w:space="0" w:color="B6A04C"/>
              <w:left w:val="single" w:sz="4" w:space="0" w:color="B6A04C"/>
              <w:bottom w:val="single" w:sz="4" w:space="0" w:color="B6A04C"/>
              <w:right w:val="single" w:sz="4" w:space="0" w:color="B6A04C"/>
            </w:tcBorders>
          </w:tcPr>
          <w:p w14:paraId="15DAD8DF" w14:textId="632D556B"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10</w:t>
            </w:r>
          </w:p>
        </w:tc>
      </w:tr>
      <w:tr w:rsidR="007C10F0" w:rsidRPr="005A6959" w14:paraId="6E586CB8" w14:textId="77777777" w:rsidTr="00D64BBF">
        <w:trPr>
          <w:jc w:val="center"/>
        </w:trPr>
        <w:tc>
          <w:tcPr>
            <w:tcW w:w="2831" w:type="dxa"/>
            <w:tcBorders>
              <w:top w:val="single" w:sz="4" w:space="0" w:color="B6A04C"/>
              <w:left w:val="single" w:sz="4" w:space="0" w:color="B6A04C"/>
              <w:bottom w:val="single" w:sz="4" w:space="0" w:color="B6A04C"/>
              <w:right w:val="single" w:sz="4" w:space="0" w:color="B6A04C"/>
            </w:tcBorders>
          </w:tcPr>
          <w:p w14:paraId="543C8452" w14:textId="43D64E60"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Right to property</w:t>
            </w:r>
          </w:p>
        </w:tc>
        <w:tc>
          <w:tcPr>
            <w:tcW w:w="2267" w:type="dxa"/>
            <w:tcBorders>
              <w:top w:val="single" w:sz="4" w:space="0" w:color="B6A04C"/>
              <w:left w:val="single" w:sz="4" w:space="0" w:color="B6A04C"/>
              <w:bottom w:val="single" w:sz="4" w:space="0" w:color="B6A04C"/>
              <w:right w:val="single" w:sz="4" w:space="0" w:color="B6A04C"/>
            </w:tcBorders>
          </w:tcPr>
          <w:p w14:paraId="3E8CC887" w14:textId="2B570043"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17</w:t>
            </w:r>
          </w:p>
        </w:tc>
        <w:tc>
          <w:tcPr>
            <w:tcW w:w="1985" w:type="dxa"/>
            <w:tcBorders>
              <w:top w:val="single" w:sz="4" w:space="0" w:color="B6A04C"/>
              <w:left w:val="single" w:sz="4" w:space="0" w:color="B6A04C"/>
              <w:bottom w:val="single" w:sz="4" w:space="0" w:color="B6A04C"/>
              <w:right w:val="single" w:sz="4" w:space="0" w:color="B6A04C"/>
            </w:tcBorders>
          </w:tcPr>
          <w:p w14:paraId="35A2EAF4" w14:textId="5D32C283"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1 Additional Protocol</w:t>
            </w:r>
          </w:p>
        </w:tc>
      </w:tr>
      <w:tr w:rsidR="007C10F0" w:rsidRPr="005A6959" w14:paraId="03E16641" w14:textId="77777777" w:rsidTr="00D64BBF">
        <w:trPr>
          <w:jc w:val="center"/>
        </w:trPr>
        <w:tc>
          <w:tcPr>
            <w:tcW w:w="2831" w:type="dxa"/>
            <w:tcBorders>
              <w:top w:val="single" w:sz="4" w:space="0" w:color="B6A04C"/>
              <w:left w:val="single" w:sz="4" w:space="0" w:color="B6A04C"/>
              <w:bottom w:val="single" w:sz="4" w:space="0" w:color="B6A04C"/>
              <w:right w:val="single" w:sz="4" w:space="0" w:color="B6A04C"/>
            </w:tcBorders>
          </w:tcPr>
          <w:p w14:paraId="2211570B" w14:textId="556C2938"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Collective expulsions prohibition</w:t>
            </w:r>
          </w:p>
        </w:tc>
        <w:tc>
          <w:tcPr>
            <w:tcW w:w="2267" w:type="dxa"/>
            <w:tcBorders>
              <w:top w:val="single" w:sz="4" w:space="0" w:color="B6A04C"/>
              <w:left w:val="single" w:sz="4" w:space="0" w:color="B6A04C"/>
              <w:bottom w:val="single" w:sz="4" w:space="0" w:color="B6A04C"/>
              <w:right w:val="single" w:sz="4" w:space="0" w:color="B6A04C"/>
            </w:tcBorders>
          </w:tcPr>
          <w:p w14:paraId="22002B6D" w14:textId="43B1C575"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19 (1)</w:t>
            </w:r>
          </w:p>
        </w:tc>
        <w:tc>
          <w:tcPr>
            <w:tcW w:w="1985" w:type="dxa"/>
            <w:tcBorders>
              <w:top w:val="single" w:sz="4" w:space="0" w:color="B6A04C"/>
              <w:left w:val="single" w:sz="4" w:space="0" w:color="B6A04C"/>
              <w:bottom w:val="single" w:sz="4" w:space="0" w:color="B6A04C"/>
              <w:right w:val="single" w:sz="4" w:space="0" w:color="B6A04C"/>
            </w:tcBorders>
          </w:tcPr>
          <w:p w14:paraId="4ACB243E" w14:textId="7F5CF0DB"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4 Protocol 4</w:t>
            </w:r>
          </w:p>
        </w:tc>
      </w:tr>
      <w:tr w:rsidR="007C10F0" w:rsidRPr="005A6959" w14:paraId="50851F05" w14:textId="77777777" w:rsidTr="00D64BBF">
        <w:trPr>
          <w:jc w:val="center"/>
        </w:trPr>
        <w:tc>
          <w:tcPr>
            <w:tcW w:w="2831" w:type="dxa"/>
            <w:tcBorders>
              <w:top w:val="single" w:sz="4" w:space="0" w:color="B6A04C"/>
              <w:left w:val="single" w:sz="4" w:space="0" w:color="B6A04C"/>
              <w:bottom w:val="single" w:sz="4" w:space="0" w:color="B6A04C"/>
              <w:right w:val="single" w:sz="4" w:space="0" w:color="B6A04C"/>
            </w:tcBorders>
          </w:tcPr>
          <w:p w14:paraId="1635ABCF" w14:textId="2DF16045"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i/>
                <w:iCs/>
                <w:color w:val="2C2D5B"/>
                <w:kern w:val="24"/>
              </w:rPr>
              <w:t>Non refoulement</w:t>
            </w:r>
            <w:r w:rsidRPr="00D64BBF">
              <w:rPr>
                <w:rFonts w:ascii="Calibri" w:hAnsi="Calibri" w:cs="Calibri"/>
                <w:color w:val="2C2D5B"/>
                <w:kern w:val="24"/>
              </w:rPr>
              <w:t xml:space="preserve"> principle</w:t>
            </w:r>
          </w:p>
        </w:tc>
        <w:tc>
          <w:tcPr>
            <w:tcW w:w="2267" w:type="dxa"/>
            <w:tcBorders>
              <w:top w:val="single" w:sz="4" w:space="0" w:color="B6A04C"/>
              <w:left w:val="single" w:sz="4" w:space="0" w:color="B6A04C"/>
              <w:bottom w:val="single" w:sz="4" w:space="0" w:color="B6A04C"/>
              <w:right w:val="single" w:sz="4" w:space="0" w:color="B6A04C"/>
            </w:tcBorders>
          </w:tcPr>
          <w:p w14:paraId="2ABE937B" w14:textId="15F0FF69"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19 (2)</w:t>
            </w:r>
          </w:p>
        </w:tc>
        <w:tc>
          <w:tcPr>
            <w:tcW w:w="1985" w:type="dxa"/>
            <w:tcBorders>
              <w:top w:val="single" w:sz="4" w:space="0" w:color="B6A04C"/>
              <w:left w:val="single" w:sz="4" w:space="0" w:color="B6A04C"/>
              <w:bottom w:val="single" w:sz="4" w:space="0" w:color="B6A04C"/>
              <w:right w:val="single" w:sz="4" w:space="0" w:color="B6A04C"/>
            </w:tcBorders>
          </w:tcPr>
          <w:p w14:paraId="4DAD55A2" w14:textId="2B90F686"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3</w:t>
            </w:r>
          </w:p>
        </w:tc>
      </w:tr>
      <w:tr w:rsidR="007C10F0" w:rsidRPr="005A6959" w14:paraId="3C46E4DF" w14:textId="77777777" w:rsidTr="00D64BBF">
        <w:trPr>
          <w:jc w:val="center"/>
        </w:trPr>
        <w:tc>
          <w:tcPr>
            <w:tcW w:w="2831" w:type="dxa"/>
            <w:tcBorders>
              <w:top w:val="single" w:sz="4" w:space="0" w:color="B6A04C"/>
              <w:left w:val="single" w:sz="4" w:space="0" w:color="B6A04C"/>
              <w:bottom w:val="single" w:sz="4" w:space="0" w:color="B6A04C"/>
              <w:right w:val="single" w:sz="4" w:space="0" w:color="B6A04C"/>
            </w:tcBorders>
          </w:tcPr>
          <w:p w14:paraId="0968B02D" w14:textId="18D32FBD"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Presumption of innocence and right of defense</w:t>
            </w:r>
          </w:p>
        </w:tc>
        <w:tc>
          <w:tcPr>
            <w:tcW w:w="2267" w:type="dxa"/>
            <w:tcBorders>
              <w:top w:val="single" w:sz="4" w:space="0" w:color="B6A04C"/>
              <w:left w:val="single" w:sz="4" w:space="0" w:color="B6A04C"/>
              <w:bottom w:val="single" w:sz="4" w:space="0" w:color="B6A04C"/>
              <w:right w:val="single" w:sz="4" w:space="0" w:color="B6A04C"/>
            </w:tcBorders>
          </w:tcPr>
          <w:p w14:paraId="07DB0A6D" w14:textId="598313D1"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48</w:t>
            </w:r>
          </w:p>
        </w:tc>
        <w:tc>
          <w:tcPr>
            <w:tcW w:w="1985" w:type="dxa"/>
            <w:tcBorders>
              <w:top w:val="single" w:sz="4" w:space="0" w:color="B6A04C"/>
              <w:left w:val="single" w:sz="4" w:space="0" w:color="B6A04C"/>
              <w:bottom w:val="single" w:sz="4" w:space="0" w:color="B6A04C"/>
              <w:right w:val="single" w:sz="4" w:space="0" w:color="B6A04C"/>
            </w:tcBorders>
          </w:tcPr>
          <w:p w14:paraId="5B95A574" w14:textId="734E3AFC"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6 (2) and 6 (3)</w:t>
            </w:r>
          </w:p>
        </w:tc>
      </w:tr>
      <w:tr w:rsidR="007C10F0" w:rsidRPr="005A6959" w14:paraId="7EEFFB46" w14:textId="77777777" w:rsidTr="00D64BBF">
        <w:trPr>
          <w:jc w:val="center"/>
        </w:trPr>
        <w:tc>
          <w:tcPr>
            <w:tcW w:w="2831" w:type="dxa"/>
            <w:tcBorders>
              <w:top w:val="single" w:sz="4" w:space="0" w:color="B6A04C"/>
              <w:left w:val="single" w:sz="4" w:space="0" w:color="B6A04C"/>
              <w:bottom w:val="single" w:sz="4" w:space="0" w:color="B6A04C"/>
              <w:right w:val="single" w:sz="4" w:space="0" w:color="B6A04C"/>
            </w:tcBorders>
          </w:tcPr>
          <w:p w14:paraId="067BC564" w14:textId="6F92FA29"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Legality and Proportionality principles of criminal offences and penalties</w:t>
            </w:r>
          </w:p>
        </w:tc>
        <w:tc>
          <w:tcPr>
            <w:tcW w:w="2267" w:type="dxa"/>
            <w:tcBorders>
              <w:top w:val="single" w:sz="4" w:space="0" w:color="B6A04C"/>
              <w:left w:val="single" w:sz="4" w:space="0" w:color="B6A04C"/>
              <w:bottom w:val="single" w:sz="4" w:space="0" w:color="B6A04C"/>
              <w:right w:val="single" w:sz="4" w:space="0" w:color="B6A04C"/>
            </w:tcBorders>
          </w:tcPr>
          <w:p w14:paraId="1C45FE74" w14:textId="149C2D5E"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 xml:space="preserve">Article 49 (2), 49 (1) except the last sentence </w:t>
            </w:r>
          </w:p>
        </w:tc>
        <w:tc>
          <w:tcPr>
            <w:tcW w:w="1985" w:type="dxa"/>
            <w:tcBorders>
              <w:top w:val="single" w:sz="4" w:space="0" w:color="B6A04C"/>
              <w:left w:val="single" w:sz="4" w:space="0" w:color="B6A04C"/>
              <w:bottom w:val="single" w:sz="4" w:space="0" w:color="B6A04C"/>
              <w:right w:val="single" w:sz="4" w:space="0" w:color="B6A04C"/>
            </w:tcBorders>
          </w:tcPr>
          <w:p w14:paraId="70CF2463" w14:textId="1B39BA41" w:rsidR="007C10F0" w:rsidRPr="00D64BBF" w:rsidRDefault="007C10F0" w:rsidP="0078409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rPr>
              <w:t>Article 7</w:t>
            </w:r>
          </w:p>
        </w:tc>
      </w:tr>
    </w:tbl>
    <w:p w14:paraId="722B659D" w14:textId="77E204E8" w:rsidR="00B05272" w:rsidRPr="005A6959" w:rsidRDefault="00B05272" w:rsidP="00DC593F">
      <w:pPr>
        <w:autoSpaceDE w:val="0"/>
        <w:autoSpaceDN w:val="0"/>
        <w:adjustRightInd w:val="0"/>
        <w:spacing w:after="120" w:line="276" w:lineRule="auto"/>
        <w:jc w:val="both"/>
        <w:rPr>
          <w:rFonts w:ascii="Calibri" w:hAnsi="Calibri" w:cs="Calibri"/>
          <w:kern w:val="24"/>
        </w:rPr>
      </w:pPr>
    </w:p>
    <w:p w14:paraId="10617B70" w14:textId="77777777" w:rsidR="00D64BBF" w:rsidRDefault="00D64BBF" w:rsidP="00DC593F">
      <w:pPr>
        <w:autoSpaceDE w:val="0"/>
        <w:autoSpaceDN w:val="0"/>
        <w:adjustRightInd w:val="0"/>
        <w:spacing w:after="120" w:line="276" w:lineRule="auto"/>
        <w:jc w:val="both"/>
        <w:rPr>
          <w:rFonts w:ascii="Calibri" w:hAnsi="Calibri" w:cs="Calibri"/>
          <w:kern w:val="24"/>
        </w:rPr>
      </w:pPr>
    </w:p>
    <w:p w14:paraId="7235B1A3" w14:textId="77777777" w:rsidR="00D64BBF" w:rsidRDefault="00D64BBF" w:rsidP="00DC593F">
      <w:pPr>
        <w:autoSpaceDE w:val="0"/>
        <w:autoSpaceDN w:val="0"/>
        <w:adjustRightInd w:val="0"/>
        <w:spacing w:after="120" w:line="276" w:lineRule="auto"/>
        <w:jc w:val="both"/>
        <w:rPr>
          <w:rFonts w:ascii="Calibri" w:hAnsi="Calibri" w:cs="Calibri"/>
          <w:kern w:val="24"/>
        </w:rPr>
      </w:pPr>
    </w:p>
    <w:p w14:paraId="63EC55B9" w14:textId="77777777" w:rsidR="00D64BBF" w:rsidRDefault="00D64BBF" w:rsidP="00DC593F">
      <w:pPr>
        <w:autoSpaceDE w:val="0"/>
        <w:autoSpaceDN w:val="0"/>
        <w:adjustRightInd w:val="0"/>
        <w:spacing w:after="120" w:line="276" w:lineRule="auto"/>
        <w:jc w:val="both"/>
        <w:rPr>
          <w:rFonts w:ascii="Calibri" w:hAnsi="Calibri" w:cs="Calibri"/>
          <w:kern w:val="24"/>
        </w:rPr>
      </w:pPr>
    </w:p>
    <w:p w14:paraId="5C77394B" w14:textId="77777777" w:rsidR="00D64BBF" w:rsidRDefault="00D64BBF" w:rsidP="00DC593F">
      <w:pPr>
        <w:autoSpaceDE w:val="0"/>
        <w:autoSpaceDN w:val="0"/>
        <w:adjustRightInd w:val="0"/>
        <w:spacing w:after="120" w:line="276" w:lineRule="auto"/>
        <w:jc w:val="both"/>
        <w:rPr>
          <w:rFonts w:ascii="Calibri" w:hAnsi="Calibri" w:cs="Calibri"/>
          <w:kern w:val="24"/>
        </w:rPr>
      </w:pPr>
    </w:p>
    <w:p w14:paraId="2CCB6F94" w14:textId="77777777" w:rsidR="00D64BBF" w:rsidRDefault="00D64BBF" w:rsidP="00DC593F">
      <w:pPr>
        <w:autoSpaceDE w:val="0"/>
        <w:autoSpaceDN w:val="0"/>
        <w:adjustRightInd w:val="0"/>
        <w:spacing w:after="120" w:line="276" w:lineRule="auto"/>
        <w:jc w:val="both"/>
        <w:rPr>
          <w:rFonts w:ascii="Calibri" w:hAnsi="Calibri" w:cs="Calibri"/>
          <w:kern w:val="24"/>
        </w:rPr>
      </w:pPr>
    </w:p>
    <w:p w14:paraId="5555D7D8" w14:textId="77777777" w:rsidR="00D64BBF" w:rsidRDefault="00D64BBF" w:rsidP="00DC593F">
      <w:pPr>
        <w:autoSpaceDE w:val="0"/>
        <w:autoSpaceDN w:val="0"/>
        <w:adjustRightInd w:val="0"/>
        <w:spacing w:after="120" w:line="276" w:lineRule="auto"/>
        <w:jc w:val="both"/>
        <w:rPr>
          <w:rFonts w:ascii="Calibri" w:hAnsi="Calibri" w:cs="Calibri"/>
          <w:kern w:val="24"/>
        </w:rPr>
      </w:pPr>
    </w:p>
    <w:p w14:paraId="7CAE7012" w14:textId="77777777" w:rsidR="00D64BBF" w:rsidRDefault="00D64BBF" w:rsidP="00DC593F">
      <w:pPr>
        <w:autoSpaceDE w:val="0"/>
        <w:autoSpaceDN w:val="0"/>
        <w:adjustRightInd w:val="0"/>
        <w:spacing w:after="120" w:line="276" w:lineRule="auto"/>
        <w:jc w:val="both"/>
        <w:rPr>
          <w:rFonts w:ascii="Calibri" w:hAnsi="Calibri" w:cs="Calibri"/>
          <w:kern w:val="24"/>
        </w:rPr>
      </w:pPr>
    </w:p>
    <w:p w14:paraId="01E3654B" w14:textId="77777777" w:rsidR="00D64BBF" w:rsidRDefault="00D64BBF" w:rsidP="00DC593F">
      <w:pPr>
        <w:autoSpaceDE w:val="0"/>
        <w:autoSpaceDN w:val="0"/>
        <w:adjustRightInd w:val="0"/>
        <w:spacing w:after="120" w:line="276" w:lineRule="auto"/>
        <w:jc w:val="both"/>
        <w:rPr>
          <w:rFonts w:ascii="Calibri" w:hAnsi="Calibri" w:cs="Calibri"/>
          <w:kern w:val="24"/>
        </w:rPr>
      </w:pPr>
    </w:p>
    <w:p w14:paraId="3648C265" w14:textId="77777777" w:rsidR="00D64BBF" w:rsidRDefault="00D64BBF" w:rsidP="00DC593F">
      <w:pPr>
        <w:autoSpaceDE w:val="0"/>
        <w:autoSpaceDN w:val="0"/>
        <w:adjustRightInd w:val="0"/>
        <w:spacing w:after="120" w:line="276" w:lineRule="auto"/>
        <w:jc w:val="both"/>
        <w:rPr>
          <w:rFonts w:ascii="Calibri" w:hAnsi="Calibri" w:cs="Calibri"/>
          <w:kern w:val="24"/>
        </w:rPr>
      </w:pPr>
    </w:p>
    <w:p w14:paraId="2DCECEEF" w14:textId="77777777" w:rsidR="00D64BBF" w:rsidRDefault="00D64BBF" w:rsidP="00DC593F">
      <w:pPr>
        <w:autoSpaceDE w:val="0"/>
        <w:autoSpaceDN w:val="0"/>
        <w:adjustRightInd w:val="0"/>
        <w:spacing w:after="120" w:line="276" w:lineRule="auto"/>
        <w:jc w:val="both"/>
        <w:rPr>
          <w:rFonts w:ascii="Calibri" w:hAnsi="Calibri" w:cs="Calibri"/>
          <w:kern w:val="24"/>
        </w:rPr>
      </w:pPr>
    </w:p>
    <w:p w14:paraId="50AD00A4" w14:textId="4ABEB6FF" w:rsidR="00452F88" w:rsidRDefault="00DC593F" w:rsidP="00DC593F">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 xml:space="preserve">By comparing both </w:t>
      </w:r>
      <w:r w:rsidR="000A3B66" w:rsidRPr="00D64BBF">
        <w:rPr>
          <w:rFonts w:ascii="Calibri" w:hAnsi="Calibri" w:cs="Calibri"/>
          <w:color w:val="2C2D5B"/>
          <w:kern w:val="24"/>
        </w:rPr>
        <w:t>instruments,</w:t>
      </w:r>
      <w:r w:rsidRPr="00D64BBF">
        <w:rPr>
          <w:rFonts w:ascii="Calibri" w:hAnsi="Calibri" w:cs="Calibri"/>
          <w:color w:val="2C2D5B"/>
          <w:kern w:val="24"/>
        </w:rPr>
        <w:t xml:space="preserve"> it is also possible to identify </w:t>
      </w:r>
      <w:r w:rsidRPr="00D64BBF">
        <w:rPr>
          <w:rFonts w:ascii="Calibri" w:hAnsi="Calibri" w:cs="Calibri"/>
          <w:b/>
          <w:bCs/>
          <w:color w:val="2C2D5B"/>
          <w:kern w:val="24"/>
        </w:rPr>
        <w:t xml:space="preserve">several EChFR rights with the same meaning </w:t>
      </w:r>
      <w:r w:rsidR="000A3B66" w:rsidRPr="00D64BBF">
        <w:rPr>
          <w:rFonts w:ascii="Calibri" w:hAnsi="Calibri" w:cs="Calibri"/>
          <w:b/>
          <w:bCs/>
          <w:color w:val="2C2D5B"/>
          <w:kern w:val="24"/>
        </w:rPr>
        <w:t xml:space="preserve">but a broader scope </w:t>
      </w:r>
      <w:r w:rsidRPr="00D64BBF">
        <w:rPr>
          <w:rFonts w:ascii="Calibri" w:hAnsi="Calibri" w:cs="Calibri"/>
          <w:b/>
          <w:bCs/>
          <w:color w:val="2C2D5B"/>
          <w:kern w:val="24"/>
        </w:rPr>
        <w:t>as rights in ECHR</w:t>
      </w:r>
      <w:r w:rsidR="00D64BBF" w:rsidRPr="00D64BBF">
        <w:rPr>
          <w:rFonts w:ascii="Calibri" w:hAnsi="Calibri" w:cs="Calibri"/>
          <w:b/>
          <w:bCs/>
          <w:color w:val="2C2D5B"/>
          <w:kern w:val="24"/>
        </w:rPr>
        <w:t xml:space="preserve"> </w:t>
      </w:r>
      <w:r w:rsidRPr="00D64BBF">
        <w:rPr>
          <w:rFonts w:ascii="Calibri" w:hAnsi="Calibri" w:cs="Calibri"/>
          <w:color w:val="2C2D5B"/>
          <w:kern w:val="24"/>
        </w:rPr>
        <w:t>:</w:t>
      </w:r>
    </w:p>
    <w:p w14:paraId="55FBDD71" w14:textId="77777777" w:rsidR="00D64BBF" w:rsidRDefault="00D64BBF" w:rsidP="00DC593F">
      <w:pPr>
        <w:autoSpaceDE w:val="0"/>
        <w:autoSpaceDN w:val="0"/>
        <w:adjustRightInd w:val="0"/>
        <w:spacing w:after="120" w:line="276" w:lineRule="auto"/>
        <w:jc w:val="both"/>
        <w:rPr>
          <w:rFonts w:ascii="Calibri" w:hAnsi="Calibri" w:cs="Calibri"/>
          <w:color w:val="2C2D5B"/>
          <w:kern w:val="24"/>
        </w:rPr>
      </w:pPr>
    </w:p>
    <w:p w14:paraId="3985DEE5" w14:textId="77777777" w:rsidR="00D64BBF" w:rsidRPr="00D64BBF" w:rsidRDefault="00D64BBF" w:rsidP="00DC593F">
      <w:pPr>
        <w:autoSpaceDE w:val="0"/>
        <w:autoSpaceDN w:val="0"/>
        <w:adjustRightInd w:val="0"/>
        <w:spacing w:after="120" w:line="276" w:lineRule="auto"/>
        <w:jc w:val="both"/>
        <w:rPr>
          <w:rFonts w:ascii="Calibri" w:hAnsi="Calibri" w:cs="Calibri"/>
          <w:color w:val="2C2D5B"/>
          <w:kern w:val="24"/>
        </w:rPr>
      </w:pPr>
    </w:p>
    <w:tbl>
      <w:tblPr>
        <w:tblStyle w:val="Mkatabulky"/>
        <w:tblW w:w="8222" w:type="dxa"/>
        <w:jc w:val="center"/>
        <w:tblLook w:val="04A0" w:firstRow="1" w:lastRow="0" w:firstColumn="1" w:lastColumn="0" w:noHBand="0" w:noVBand="1"/>
      </w:tblPr>
      <w:tblGrid>
        <w:gridCol w:w="2123"/>
        <w:gridCol w:w="1846"/>
        <w:gridCol w:w="2400"/>
        <w:gridCol w:w="1853"/>
      </w:tblGrid>
      <w:tr w:rsidR="00DB7DF7" w:rsidRPr="005A6959" w14:paraId="60294298" w14:textId="77777777" w:rsidTr="00D64BBF">
        <w:trPr>
          <w:jc w:val="center"/>
        </w:trPr>
        <w:tc>
          <w:tcPr>
            <w:tcW w:w="2123" w:type="dxa"/>
            <w:tcBorders>
              <w:top w:val="nil"/>
              <w:left w:val="nil"/>
              <w:bottom w:val="single" w:sz="4" w:space="0" w:color="B6A04C"/>
              <w:right w:val="nil"/>
            </w:tcBorders>
          </w:tcPr>
          <w:p w14:paraId="0D0986C5" w14:textId="77777777" w:rsidR="00DB7DF7" w:rsidRPr="005A6959" w:rsidRDefault="00DB7DF7" w:rsidP="00DB7DF7">
            <w:pPr>
              <w:autoSpaceDE w:val="0"/>
              <w:autoSpaceDN w:val="0"/>
              <w:adjustRightInd w:val="0"/>
              <w:spacing w:after="120" w:line="276" w:lineRule="auto"/>
              <w:jc w:val="both"/>
              <w:rPr>
                <w:rFonts w:ascii="Calibri" w:hAnsi="Calibri" w:cs="Calibri"/>
                <w:kern w:val="24"/>
              </w:rPr>
            </w:pPr>
          </w:p>
        </w:tc>
        <w:tc>
          <w:tcPr>
            <w:tcW w:w="1846" w:type="dxa"/>
            <w:tcBorders>
              <w:top w:val="nil"/>
              <w:left w:val="nil"/>
              <w:bottom w:val="single" w:sz="4" w:space="0" w:color="B6A04C"/>
              <w:right w:val="nil"/>
            </w:tcBorders>
            <w:shd w:val="clear" w:color="auto" w:fill="B6A04C"/>
            <w:vAlign w:val="center"/>
          </w:tcPr>
          <w:p w14:paraId="480D7820" w14:textId="7D0B7387" w:rsidR="00DB7DF7" w:rsidRPr="00D64BBF" w:rsidRDefault="00DB7DF7" w:rsidP="00D64BBF">
            <w:pPr>
              <w:autoSpaceDE w:val="0"/>
              <w:autoSpaceDN w:val="0"/>
              <w:adjustRightInd w:val="0"/>
              <w:spacing w:after="120" w:line="276" w:lineRule="auto"/>
              <w:jc w:val="center"/>
              <w:rPr>
                <w:rFonts w:ascii="Calibri" w:hAnsi="Calibri" w:cs="Calibri"/>
                <w:color w:val="FFFFFF" w:themeColor="background1"/>
                <w:kern w:val="24"/>
              </w:rPr>
            </w:pPr>
            <w:r w:rsidRPr="00D64BBF">
              <w:rPr>
                <w:rFonts w:ascii="Calibri" w:hAnsi="Calibri" w:cs="Calibri"/>
                <w:b/>
                <w:bCs/>
                <w:i/>
                <w:iCs/>
                <w:color w:val="FFFFFF" w:themeColor="background1"/>
                <w:kern w:val="24"/>
              </w:rPr>
              <w:t>EChFR</w:t>
            </w:r>
          </w:p>
        </w:tc>
        <w:tc>
          <w:tcPr>
            <w:tcW w:w="2400" w:type="dxa"/>
            <w:tcBorders>
              <w:top w:val="nil"/>
              <w:left w:val="nil"/>
              <w:bottom w:val="single" w:sz="4" w:space="0" w:color="B6A04C"/>
              <w:right w:val="nil"/>
            </w:tcBorders>
            <w:shd w:val="clear" w:color="auto" w:fill="B6A04C"/>
            <w:vAlign w:val="center"/>
          </w:tcPr>
          <w:p w14:paraId="08460A9B" w14:textId="76FAE7C4" w:rsidR="00DB7DF7" w:rsidRPr="00D64BBF" w:rsidRDefault="00DB7DF7" w:rsidP="00D64BBF">
            <w:pPr>
              <w:autoSpaceDE w:val="0"/>
              <w:autoSpaceDN w:val="0"/>
              <w:adjustRightInd w:val="0"/>
              <w:spacing w:after="120" w:line="276" w:lineRule="auto"/>
              <w:jc w:val="center"/>
              <w:rPr>
                <w:rFonts w:ascii="Calibri" w:hAnsi="Calibri" w:cs="Calibri"/>
                <w:color w:val="FFFFFF" w:themeColor="background1"/>
                <w:kern w:val="24"/>
              </w:rPr>
            </w:pPr>
            <w:r w:rsidRPr="00D64BBF">
              <w:rPr>
                <w:rFonts w:ascii="Calibri" w:hAnsi="Calibri" w:cs="Calibri"/>
                <w:b/>
                <w:bCs/>
                <w:i/>
                <w:iCs/>
                <w:color w:val="FFFFFF" w:themeColor="background1"/>
                <w:kern w:val="24"/>
              </w:rPr>
              <w:t>Scope of application</w:t>
            </w:r>
          </w:p>
        </w:tc>
        <w:tc>
          <w:tcPr>
            <w:tcW w:w="1853" w:type="dxa"/>
            <w:tcBorders>
              <w:top w:val="nil"/>
              <w:left w:val="nil"/>
              <w:bottom w:val="single" w:sz="4" w:space="0" w:color="B6A04C"/>
            </w:tcBorders>
            <w:shd w:val="clear" w:color="auto" w:fill="B6A04C"/>
            <w:vAlign w:val="center"/>
          </w:tcPr>
          <w:p w14:paraId="4183F14F" w14:textId="667BD7ED" w:rsidR="00DB7DF7" w:rsidRPr="00D64BBF" w:rsidRDefault="00DB7DF7" w:rsidP="00D64BBF">
            <w:pPr>
              <w:autoSpaceDE w:val="0"/>
              <w:autoSpaceDN w:val="0"/>
              <w:adjustRightInd w:val="0"/>
              <w:spacing w:after="120" w:line="276" w:lineRule="auto"/>
              <w:jc w:val="center"/>
              <w:rPr>
                <w:rFonts w:ascii="Calibri" w:hAnsi="Calibri" w:cs="Calibri"/>
                <w:color w:val="FFFFFF" w:themeColor="background1"/>
                <w:kern w:val="24"/>
              </w:rPr>
            </w:pPr>
            <w:r w:rsidRPr="00D64BBF">
              <w:rPr>
                <w:rFonts w:ascii="Calibri" w:hAnsi="Calibri" w:cs="Calibri"/>
                <w:b/>
                <w:bCs/>
                <w:i/>
                <w:iCs/>
                <w:color w:val="FFFFFF" w:themeColor="background1"/>
                <w:kern w:val="24"/>
              </w:rPr>
              <w:t>ECHR</w:t>
            </w:r>
          </w:p>
        </w:tc>
      </w:tr>
      <w:tr w:rsidR="00DB7DF7" w:rsidRPr="005A6959" w14:paraId="1E7A54A6" w14:textId="77777777" w:rsidTr="00D64BBF">
        <w:trPr>
          <w:jc w:val="center"/>
        </w:trPr>
        <w:tc>
          <w:tcPr>
            <w:tcW w:w="2123" w:type="dxa"/>
            <w:tcBorders>
              <w:top w:val="single" w:sz="4" w:space="0" w:color="B6A04C"/>
              <w:left w:val="single" w:sz="4" w:space="0" w:color="B6A04C"/>
              <w:bottom w:val="single" w:sz="4" w:space="0" w:color="B6A04C"/>
              <w:right w:val="single" w:sz="4" w:space="0" w:color="B6A04C"/>
            </w:tcBorders>
          </w:tcPr>
          <w:p w14:paraId="29EC9D3B" w14:textId="07E99AE5"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 xml:space="preserve">Right to marry and right to </w:t>
            </w:r>
            <w:r w:rsidR="003F3035" w:rsidRPr="00D64BBF">
              <w:rPr>
                <w:rFonts w:ascii="Calibri" w:hAnsi="Calibri" w:cs="Calibri"/>
                <w:color w:val="2C2D5B"/>
                <w:kern w:val="24"/>
              </w:rPr>
              <w:t>found</w:t>
            </w:r>
            <w:r w:rsidRPr="00D64BBF">
              <w:rPr>
                <w:rFonts w:ascii="Calibri" w:hAnsi="Calibri" w:cs="Calibri"/>
                <w:color w:val="2C2D5B"/>
                <w:kern w:val="24"/>
              </w:rPr>
              <w:t xml:space="preserve"> a family</w:t>
            </w:r>
          </w:p>
        </w:tc>
        <w:tc>
          <w:tcPr>
            <w:tcW w:w="1846" w:type="dxa"/>
            <w:tcBorders>
              <w:top w:val="single" w:sz="4" w:space="0" w:color="B6A04C"/>
              <w:left w:val="single" w:sz="4" w:space="0" w:color="B6A04C"/>
              <w:bottom w:val="single" w:sz="4" w:space="0" w:color="B6A04C"/>
              <w:right w:val="single" w:sz="4" w:space="0" w:color="B6A04C"/>
            </w:tcBorders>
          </w:tcPr>
          <w:p w14:paraId="1CCEBD48" w14:textId="7ACEE1D5"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Article 9</w:t>
            </w:r>
          </w:p>
        </w:tc>
        <w:tc>
          <w:tcPr>
            <w:tcW w:w="2400" w:type="dxa"/>
            <w:tcBorders>
              <w:top w:val="single" w:sz="4" w:space="0" w:color="B6A04C"/>
              <w:left w:val="single" w:sz="4" w:space="0" w:color="B6A04C"/>
              <w:bottom w:val="single" w:sz="4" w:space="0" w:color="B6A04C"/>
              <w:right w:val="single" w:sz="4" w:space="0" w:color="B6A04C"/>
            </w:tcBorders>
          </w:tcPr>
          <w:p w14:paraId="749DFC85" w14:textId="129A314F"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Expandable to other forms of marriage if national legislation contemplates it</w:t>
            </w:r>
          </w:p>
        </w:tc>
        <w:tc>
          <w:tcPr>
            <w:tcW w:w="1853" w:type="dxa"/>
            <w:tcBorders>
              <w:top w:val="single" w:sz="4" w:space="0" w:color="B6A04C"/>
              <w:left w:val="single" w:sz="4" w:space="0" w:color="B6A04C"/>
              <w:bottom w:val="single" w:sz="4" w:space="0" w:color="B6A04C"/>
              <w:right w:val="single" w:sz="4" w:space="0" w:color="B6A04C"/>
            </w:tcBorders>
          </w:tcPr>
          <w:p w14:paraId="7558BC5E" w14:textId="3817835A"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Article 12</w:t>
            </w:r>
          </w:p>
        </w:tc>
      </w:tr>
      <w:tr w:rsidR="00DB7DF7" w:rsidRPr="005A6959" w14:paraId="7E84FCA7" w14:textId="77777777" w:rsidTr="00D64BBF">
        <w:trPr>
          <w:jc w:val="center"/>
        </w:trPr>
        <w:tc>
          <w:tcPr>
            <w:tcW w:w="2123" w:type="dxa"/>
            <w:tcBorders>
              <w:top w:val="single" w:sz="4" w:space="0" w:color="B6A04C"/>
              <w:left w:val="single" w:sz="4" w:space="0" w:color="B6A04C"/>
              <w:bottom w:val="single" w:sz="4" w:space="0" w:color="B6A04C"/>
              <w:right w:val="single" w:sz="4" w:space="0" w:color="B6A04C"/>
            </w:tcBorders>
          </w:tcPr>
          <w:p w14:paraId="560E1A2D" w14:textId="5EBDA5AC"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Freedom of assembly and of association</w:t>
            </w:r>
          </w:p>
        </w:tc>
        <w:tc>
          <w:tcPr>
            <w:tcW w:w="1846" w:type="dxa"/>
            <w:tcBorders>
              <w:top w:val="single" w:sz="4" w:space="0" w:color="B6A04C"/>
              <w:left w:val="single" w:sz="4" w:space="0" w:color="B6A04C"/>
              <w:bottom w:val="single" w:sz="4" w:space="0" w:color="B6A04C"/>
              <w:right w:val="single" w:sz="4" w:space="0" w:color="B6A04C"/>
            </w:tcBorders>
          </w:tcPr>
          <w:p w14:paraId="35138420" w14:textId="6DBAAF2C"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Article 12 (1)</w:t>
            </w:r>
          </w:p>
        </w:tc>
        <w:tc>
          <w:tcPr>
            <w:tcW w:w="2400" w:type="dxa"/>
            <w:tcBorders>
              <w:top w:val="single" w:sz="4" w:space="0" w:color="B6A04C"/>
              <w:left w:val="single" w:sz="4" w:space="0" w:color="B6A04C"/>
              <w:bottom w:val="single" w:sz="4" w:space="0" w:color="B6A04C"/>
              <w:right w:val="single" w:sz="4" w:space="0" w:color="B6A04C"/>
            </w:tcBorders>
          </w:tcPr>
          <w:p w14:paraId="406254C7" w14:textId="77777777"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Extended to EU level</w:t>
            </w:r>
          </w:p>
          <w:p w14:paraId="0E49029A" w14:textId="77777777"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p>
        </w:tc>
        <w:tc>
          <w:tcPr>
            <w:tcW w:w="1853" w:type="dxa"/>
            <w:tcBorders>
              <w:top w:val="single" w:sz="4" w:space="0" w:color="B6A04C"/>
              <w:left w:val="single" w:sz="4" w:space="0" w:color="B6A04C"/>
              <w:bottom w:val="single" w:sz="4" w:space="0" w:color="B6A04C"/>
              <w:right w:val="single" w:sz="4" w:space="0" w:color="B6A04C"/>
            </w:tcBorders>
          </w:tcPr>
          <w:p w14:paraId="760F2130" w14:textId="7916EEE1"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Article 11</w:t>
            </w:r>
          </w:p>
        </w:tc>
      </w:tr>
      <w:tr w:rsidR="00DB7DF7" w:rsidRPr="005A6959" w14:paraId="6E9150E6" w14:textId="77777777" w:rsidTr="00D64BBF">
        <w:trPr>
          <w:jc w:val="center"/>
        </w:trPr>
        <w:tc>
          <w:tcPr>
            <w:tcW w:w="2123" w:type="dxa"/>
            <w:tcBorders>
              <w:top w:val="single" w:sz="4" w:space="0" w:color="B6A04C"/>
              <w:left w:val="single" w:sz="4" w:space="0" w:color="B6A04C"/>
              <w:bottom w:val="single" w:sz="4" w:space="0" w:color="B6A04C"/>
              <w:right w:val="single" w:sz="4" w:space="0" w:color="B6A04C"/>
            </w:tcBorders>
          </w:tcPr>
          <w:p w14:paraId="4EDDA00F" w14:textId="06F3FD01"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 xml:space="preserve">Right to education </w:t>
            </w:r>
          </w:p>
        </w:tc>
        <w:tc>
          <w:tcPr>
            <w:tcW w:w="1846" w:type="dxa"/>
            <w:tcBorders>
              <w:top w:val="single" w:sz="4" w:space="0" w:color="B6A04C"/>
              <w:left w:val="single" w:sz="4" w:space="0" w:color="B6A04C"/>
              <w:bottom w:val="single" w:sz="4" w:space="0" w:color="B6A04C"/>
              <w:right w:val="single" w:sz="4" w:space="0" w:color="B6A04C"/>
            </w:tcBorders>
          </w:tcPr>
          <w:p w14:paraId="1C6DE2B4" w14:textId="2DDF227F"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 xml:space="preserve">Article 14 (1) </w:t>
            </w:r>
          </w:p>
        </w:tc>
        <w:tc>
          <w:tcPr>
            <w:tcW w:w="2400" w:type="dxa"/>
            <w:tcBorders>
              <w:top w:val="single" w:sz="4" w:space="0" w:color="B6A04C"/>
              <w:left w:val="single" w:sz="4" w:space="0" w:color="B6A04C"/>
              <w:bottom w:val="single" w:sz="4" w:space="0" w:color="B6A04C"/>
              <w:right w:val="single" w:sz="4" w:space="0" w:color="B6A04C"/>
            </w:tcBorders>
          </w:tcPr>
          <w:p w14:paraId="62955C5A" w14:textId="175B2F29"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Access to professional and continuing training is expanded</w:t>
            </w:r>
          </w:p>
        </w:tc>
        <w:tc>
          <w:tcPr>
            <w:tcW w:w="1853" w:type="dxa"/>
            <w:tcBorders>
              <w:top w:val="single" w:sz="4" w:space="0" w:color="B6A04C"/>
              <w:left w:val="single" w:sz="4" w:space="0" w:color="B6A04C"/>
              <w:bottom w:val="single" w:sz="4" w:space="0" w:color="B6A04C"/>
              <w:right w:val="single" w:sz="4" w:space="0" w:color="B6A04C"/>
            </w:tcBorders>
          </w:tcPr>
          <w:p w14:paraId="27523000" w14:textId="7FD7301C"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Article 2 Additional Protocol</w:t>
            </w:r>
          </w:p>
        </w:tc>
      </w:tr>
      <w:tr w:rsidR="00DB7DF7" w:rsidRPr="005A6959" w14:paraId="201E3D50" w14:textId="77777777" w:rsidTr="00D64BBF">
        <w:trPr>
          <w:jc w:val="center"/>
        </w:trPr>
        <w:tc>
          <w:tcPr>
            <w:tcW w:w="2123" w:type="dxa"/>
            <w:tcBorders>
              <w:top w:val="single" w:sz="4" w:space="0" w:color="B6A04C"/>
              <w:left w:val="single" w:sz="4" w:space="0" w:color="B6A04C"/>
              <w:bottom w:val="single" w:sz="4" w:space="0" w:color="B6A04C"/>
              <w:right w:val="single" w:sz="4" w:space="0" w:color="B6A04C"/>
            </w:tcBorders>
          </w:tcPr>
          <w:p w14:paraId="57D9885B" w14:textId="5448E92B"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Right to education</w:t>
            </w:r>
          </w:p>
        </w:tc>
        <w:tc>
          <w:tcPr>
            <w:tcW w:w="1846" w:type="dxa"/>
            <w:tcBorders>
              <w:top w:val="single" w:sz="4" w:space="0" w:color="B6A04C"/>
              <w:left w:val="single" w:sz="4" w:space="0" w:color="B6A04C"/>
              <w:bottom w:val="single" w:sz="4" w:space="0" w:color="B6A04C"/>
              <w:right w:val="single" w:sz="4" w:space="0" w:color="B6A04C"/>
            </w:tcBorders>
          </w:tcPr>
          <w:p w14:paraId="6D7C3618" w14:textId="643B312F"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 xml:space="preserve">Article 14 (3) </w:t>
            </w:r>
          </w:p>
        </w:tc>
        <w:tc>
          <w:tcPr>
            <w:tcW w:w="2400" w:type="dxa"/>
            <w:tcBorders>
              <w:top w:val="single" w:sz="4" w:space="0" w:color="B6A04C"/>
              <w:left w:val="single" w:sz="4" w:space="0" w:color="B6A04C"/>
              <w:bottom w:val="single" w:sz="4" w:space="0" w:color="B6A04C"/>
              <w:right w:val="single" w:sz="4" w:space="0" w:color="B6A04C"/>
            </w:tcBorders>
          </w:tcPr>
          <w:p w14:paraId="30ACE525" w14:textId="202CFBB5"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Regarding parental rights</w:t>
            </w:r>
          </w:p>
        </w:tc>
        <w:tc>
          <w:tcPr>
            <w:tcW w:w="1853" w:type="dxa"/>
            <w:tcBorders>
              <w:top w:val="single" w:sz="4" w:space="0" w:color="B6A04C"/>
              <w:left w:val="single" w:sz="4" w:space="0" w:color="B6A04C"/>
              <w:bottom w:val="single" w:sz="4" w:space="0" w:color="B6A04C"/>
              <w:right w:val="single" w:sz="4" w:space="0" w:color="B6A04C"/>
            </w:tcBorders>
          </w:tcPr>
          <w:p w14:paraId="4F50EE30" w14:textId="7D5DA478"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Article 2 Protocol</w:t>
            </w:r>
          </w:p>
        </w:tc>
      </w:tr>
      <w:tr w:rsidR="00DB7DF7" w:rsidRPr="005A6959" w14:paraId="14685AFD" w14:textId="77777777" w:rsidTr="00D64BBF">
        <w:trPr>
          <w:jc w:val="center"/>
        </w:trPr>
        <w:tc>
          <w:tcPr>
            <w:tcW w:w="2123" w:type="dxa"/>
            <w:tcBorders>
              <w:top w:val="single" w:sz="4" w:space="0" w:color="B6A04C"/>
              <w:left w:val="single" w:sz="4" w:space="0" w:color="B6A04C"/>
              <w:bottom w:val="single" w:sz="4" w:space="0" w:color="B6A04C"/>
              <w:right w:val="single" w:sz="4" w:space="0" w:color="B6A04C"/>
            </w:tcBorders>
          </w:tcPr>
          <w:p w14:paraId="4322EA19" w14:textId="3F0425B1" w:rsidR="00DB7DF7" w:rsidRPr="00D64BBF" w:rsidRDefault="00561E53"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Right to an effective remedy and to a fair trial</w:t>
            </w:r>
          </w:p>
        </w:tc>
        <w:tc>
          <w:tcPr>
            <w:tcW w:w="1846" w:type="dxa"/>
            <w:tcBorders>
              <w:top w:val="single" w:sz="4" w:space="0" w:color="B6A04C"/>
              <w:left w:val="single" w:sz="4" w:space="0" w:color="B6A04C"/>
              <w:bottom w:val="single" w:sz="4" w:space="0" w:color="B6A04C"/>
              <w:right w:val="single" w:sz="4" w:space="0" w:color="B6A04C"/>
            </w:tcBorders>
          </w:tcPr>
          <w:p w14:paraId="56690450" w14:textId="4DDACA1D"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 xml:space="preserve">Article 47 (2) and 47 (3) </w:t>
            </w:r>
          </w:p>
        </w:tc>
        <w:tc>
          <w:tcPr>
            <w:tcW w:w="2400" w:type="dxa"/>
            <w:tcBorders>
              <w:top w:val="single" w:sz="4" w:space="0" w:color="B6A04C"/>
              <w:left w:val="single" w:sz="4" w:space="0" w:color="B6A04C"/>
              <w:bottom w:val="single" w:sz="4" w:space="0" w:color="B6A04C"/>
              <w:right w:val="single" w:sz="4" w:space="0" w:color="B6A04C"/>
            </w:tcBorders>
          </w:tcPr>
          <w:p w14:paraId="60E338DD" w14:textId="78C110FD"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In EU law, the limitation does not apply to disputes over rights and obligations of a civil nature or over accusations in criminal matters.</w:t>
            </w:r>
          </w:p>
        </w:tc>
        <w:tc>
          <w:tcPr>
            <w:tcW w:w="1853" w:type="dxa"/>
            <w:tcBorders>
              <w:top w:val="single" w:sz="4" w:space="0" w:color="B6A04C"/>
              <w:left w:val="single" w:sz="4" w:space="0" w:color="B6A04C"/>
              <w:bottom w:val="single" w:sz="4" w:space="0" w:color="B6A04C"/>
              <w:right w:val="single" w:sz="4" w:space="0" w:color="B6A04C"/>
            </w:tcBorders>
          </w:tcPr>
          <w:p w14:paraId="2D7B983A" w14:textId="0C7B8B01"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Article 6 (1)</w:t>
            </w:r>
          </w:p>
        </w:tc>
      </w:tr>
      <w:tr w:rsidR="00DB7DF7" w:rsidRPr="005A6959" w14:paraId="28F394B3" w14:textId="77777777" w:rsidTr="00D64BBF">
        <w:trPr>
          <w:jc w:val="center"/>
        </w:trPr>
        <w:tc>
          <w:tcPr>
            <w:tcW w:w="2123" w:type="dxa"/>
            <w:tcBorders>
              <w:top w:val="single" w:sz="4" w:space="0" w:color="B6A04C"/>
              <w:left w:val="single" w:sz="4" w:space="0" w:color="B6A04C"/>
              <w:bottom w:val="single" w:sz="4" w:space="0" w:color="B6A04C"/>
              <w:right w:val="single" w:sz="4" w:space="0" w:color="B6A04C"/>
            </w:tcBorders>
          </w:tcPr>
          <w:p w14:paraId="02775409" w14:textId="2091ACF6" w:rsidR="00DB7DF7" w:rsidRPr="00D64BBF" w:rsidRDefault="00561E53"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Right not to be tried or punished twice in criminal proceedings for the same criminal offence</w:t>
            </w:r>
          </w:p>
        </w:tc>
        <w:tc>
          <w:tcPr>
            <w:tcW w:w="1846" w:type="dxa"/>
            <w:tcBorders>
              <w:top w:val="single" w:sz="4" w:space="0" w:color="B6A04C"/>
              <w:left w:val="single" w:sz="4" w:space="0" w:color="B6A04C"/>
              <w:bottom w:val="single" w:sz="4" w:space="0" w:color="B6A04C"/>
              <w:right w:val="single" w:sz="4" w:space="0" w:color="B6A04C"/>
            </w:tcBorders>
          </w:tcPr>
          <w:p w14:paraId="03804222" w14:textId="5D88A5E8"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Article 50</w:t>
            </w:r>
          </w:p>
        </w:tc>
        <w:tc>
          <w:tcPr>
            <w:tcW w:w="2400" w:type="dxa"/>
            <w:tcBorders>
              <w:top w:val="single" w:sz="4" w:space="0" w:color="B6A04C"/>
              <w:left w:val="single" w:sz="4" w:space="0" w:color="B6A04C"/>
              <w:bottom w:val="single" w:sz="4" w:space="0" w:color="B6A04C"/>
              <w:right w:val="single" w:sz="4" w:space="0" w:color="B6A04C"/>
            </w:tcBorders>
          </w:tcPr>
          <w:p w14:paraId="6CC03A57" w14:textId="21B5A9A1"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Its scope is expanded among the jurisdictional bodies of the Member States</w:t>
            </w:r>
          </w:p>
        </w:tc>
        <w:tc>
          <w:tcPr>
            <w:tcW w:w="1853" w:type="dxa"/>
            <w:tcBorders>
              <w:top w:val="single" w:sz="4" w:space="0" w:color="B6A04C"/>
              <w:left w:val="single" w:sz="4" w:space="0" w:color="B6A04C"/>
              <w:bottom w:val="single" w:sz="4" w:space="0" w:color="B6A04C"/>
              <w:right w:val="single" w:sz="4" w:space="0" w:color="B6A04C"/>
            </w:tcBorders>
          </w:tcPr>
          <w:p w14:paraId="36DF929F" w14:textId="7A905F21"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Article 4 Protocol 7</w:t>
            </w:r>
          </w:p>
        </w:tc>
      </w:tr>
      <w:tr w:rsidR="00DB7DF7" w:rsidRPr="005A6959" w14:paraId="0121D4EA" w14:textId="77777777" w:rsidTr="00D64BBF">
        <w:trPr>
          <w:jc w:val="center"/>
        </w:trPr>
        <w:tc>
          <w:tcPr>
            <w:tcW w:w="2123" w:type="dxa"/>
            <w:tcBorders>
              <w:top w:val="single" w:sz="4" w:space="0" w:color="B6A04C"/>
              <w:left w:val="single" w:sz="4" w:space="0" w:color="B6A04C"/>
              <w:bottom w:val="single" w:sz="4" w:space="0" w:color="B6A04C"/>
              <w:right w:val="single" w:sz="4" w:space="0" w:color="B6A04C"/>
            </w:tcBorders>
          </w:tcPr>
          <w:p w14:paraId="239C584B" w14:textId="043692F6" w:rsidR="00DB7DF7" w:rsidRPr="00D64BBF" w:rsidRDefault="003F3035"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Citizen’s</w:t>
            </w:r>
            <w:r w:rsidR="00561E53" w:rsidRPr="00D64BBF">
              <w:rPr>
                <w:rFonts w:ascii="Calibri" w:hAnsi="Calibri" w:cs="Calibri"/>
                <w:color w:val="2C2D5B"/>
                <w:kern w:val="24"/>
              </w:rPr>
              <w:t xml:space="preserve"> rights</w:t>
            </w:r>
          </w:p>
        </w:tc>
        <w:tc>
          <w:tcPr>
            <w:tcW w:w="1846" w:type="dxa"/>
            <w:tcBorders>
              <w:top w:val="single" w:sz="4" w:space="0" w:color="B6A04C"/>
              <w:left w:val="single" w:sz="4" w:space="0" w:color="B6A04C"/>
              <w:bottom w:val="single" w:sz="4" w:space="0" w:color="B6A04C"/>
              <w:right w:val="single" w:sz="4" w:space="0" w:color="B6A04C"/>
            </w:tcBorders>
          </w:tcPr>
          <w:p w14:paraId="40B22487" w14:textId="7BA38A09" w:rsidR="00DB7DF7" w:rsidRPr="00D64BBF" w:rsidRDefault="00561E53"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Article 39 to 46</w:t>
            </w:r>
            <w:r w:rsidR="00DB7DF7" w:rsidRPr="00D64BBF">
              <w:rPr>
                <w:rFonts w:ascii="Calibri" w:hAnsi="Calibri" w:cs="Calibri"/>
                <w:color w:val="2C2D5B"/>
                <w:kern w:val="24"/>
              </w:rPr>
              <w:t xml:space="preserve"> </w:t>
            </w:r>
          </w:p>
        </w:tc>
        <w:tc>
          <w:tcPr>
            <w:tcW w:w="2400" w:type="dxa"/>
            <w:tcBorders>
              <w:top w:val="single" w:sz="4" w:space="0" w:color="B6A04C"/>
              <w:left w:val="single" w:sz="4" w:space="0" w:color="B6A04C"/>
              <w:bottom w:val="single" w:sz="4" w:space="0" w:color="B6A04C"/>
              <w:right w:val="single" w:sz="4" w:space="0" w:color="B6A04C"/>
            </w:tcBorders>
          </w:tcPr>
          <w:p w14:paraId="62C83C30" w14:textId="3C821A12"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 xml:space="preserve">EU citizens are not considered </w:t>
            </w:r>
            <w:r w:rsidR="00561E53" w:rsidRPr="00D64BBF">
              <w:rPr>
                <w:rFonts w:ascii="Calibri" w:hAnsi="Calibri" w:cs="Calibri"/>
                <w:color w:val="2C2D5B"/>
                <w:kern w:val="24"/>
              </w:rPr>
              <w:t xml:space="preserve">as </w:t>
            </w:r>
            <w:r w:rsidRPr="00D64BBF">
              <w:rPr>
                <w:rFonts w:ascii="Calibri" w:hAnsi="Calibri" w:cs="Calibri"/>
                <w:color w:val="2C2D5B"/>
                <w:kern w:val="24"/>
              </w:rPr>
              <w:t>foreigners</w:t>
            </w:r>
            <w:r w:rsidR="00561E53" w:rsidRPr="00D64BBF">
              <w:rPr>
                <w:rFonts w:ascii="Calibri" w:hAnsi="Calibri" w:cs="Calibri"/>
                <w:color w:val="2C2D5B"/>
                <w:kern w:val="24"/>
              </w:rPr>
              <w:t xml:space="preserve"> in member states</w:t>
            </w:r>
          </w:p>
        </w:tc>
        <w:tc>
          <w:tcPr>
            <w:tcW w:w="1853" w:type="dxa"/>
            <w:tcBorders>
              <w:top w:val="single" w:sz="4" w:space="0" w:color="B6A04C"/>
              <w:left w:val="single" w:sz="4" w:space="0" w:color="B6A04C"/>
              <w:bottom w:val="single" w:sz="4" w:space="0" w:color="B6A04C"/>
              <w:right w:val="single" w:sz="4" w:space="0" w:color="B6A04C"/>
            </w:tcBorders>
          </w:tcPr>
          <w:p w14:paraId="3FF3F0BD" w14:textId="0F9E76EB" w:rsidR="00DB7DF7" w:rsidRPr="00D64BBF" w:rsidRDefault="00DB7DF7" w:rsidP="00DB7DF7">
            <w:pPr>
              <w:autoSpaceDE w:val="0"/>
              <w:autoSpaceDN w:val="0"/>
              <w:adjustRightInd w:val="0"/>
              <w:spacing w:after="120" w:line="276" w:lineRule="auto"/>
              <w:jc w:val="both"/>
              <w:rPr>
                <w:rFonts w:ascii="Calibri" w:hAnsi="Calibri" w:cs="Calibri"/>
                <w:color w:val="2C2D5B"/>
                <w:kern w:val="24"/>
              </w:rPr>
            </w:pPr>
            <w:r w:rsidRPr="00D64BBF">
              <w:rPr>
                <w:rFonts w:ascii="Calibri" w:hAnsi="Calibri" w:cs="Calibri"/>
                <w:color w:val="2C2D5B"/>
                <w:kern w:val="24"/>
              </w:rPr>
              <w:t>Article 16</w:t>
            </w:r>
          </w:p>
        </w:tc>
      </w:tr>
    </w:tbl>
    <w:p w14:paraId="14BA79C7" w14:textId="3643E5D8" w:rsidR="00DC593F" w:rsidRPr="005A6959" w:rsidRDefault="00DC593F" w:rsidP="00B05272">
      <w:pPr>
        <w:autoSpaceDE w:val="0"/>
        <w:autoSpaceDN w:val="0"/>
        <w:adjustRightInd w:val="0"/>
        <w:spacing w:after="120" w:line="276" w:lineRule="auto"/>
        <w:jc w:val="both"/>
        <w:rPr>
          <w:rFonts w:ascii="Calibri" w:hAnsi="Calibri" w:cs="Calibri"/>
          <w:kern w:val="24"/>
        </w:rPr>
      </w:pPr>
    </w:p>
    <w:p w14:paraId="47898FBF" w14:textId="77777777" w:rsidR="00D64BBF" w:rsidRDefault="00D64BBF" w:rsidP="00B05272">
      <w:pPr>
        <w:autoSpaceDE w:val="0"/>
        <w:autoSpaceDN w:val="0"/>
        <w:adjustRightInd w:val="0"/>
        <w:spacing w:after="120" w:line="276" w:lineRule="auto"/>
        <w:jc w:val="both"/>
        <w:rPr>
          <w:rFonts w:asciiTheme="majorHAnsi" w:hAnsiTheme="majorHAnsi" w:cstheme="majorHAnsi"/>
          <w:kern w:val="24"/>
        </w:rPr>
      </w:pPr>
    </w:p>
    <w:p w14:paraId="0BF89B83" w14:textId="77777777" w:rsidR="00D64BBF" w:rsidRDefault="00D64BBF" w:rsidP="00B05272">
      <w:pPr>
        <w:autoSpaceDE w:val="0"/>
        <w:autoSpaceDN w:val="0"/>
        <w:adjustRightInd w:val="0"/>
        <w:spacing w:after="120" w:line="276" w:lineRule="auto"/>
        <w:jc w:val="both"/>
        <w:rPr>
          <w:rFonts w:asciiTheme="majorHAnsi" w:hAnsiTheme="majorHAnsi" w:cstheme="majorHAnsi"/>
          <w:kern w:val="24"/>
        </w:rPr>
      </w:pPr>
    </w:p>
    <w:p w14:paraId="59CA7DCD" w14:textId="77777777" w:rsidR="00D64BBF" w:rsidRDefault="00D64BBF" w:rsidP="00B05272">
      <w:pPr>
        <w:autoSpaceDE w:val="0"/>
        <w:autoSpaceDN w:val="0"/>
        <w:adjustRightInd w:val="0"/>
        <w:spacing w:after="120" w:line="276" w:lineRule="auto"/>
        <w:jc w:val="both"/>
        <w:rPr>
          <w:rFonts w:asciiTheme="majorHAnsi" w:hAnsiTheme="majorHAnsi" w:cstheme="majorHAnsi"/>
          <w:kern w:val="24"/>
        </w:rPr>
      </w:pPr>
    </w:p>
    <w:p w14:paraId="34CF475D" w14:textId="77777777" w:rsidR="00D64BBF" w:rsidRDefault="00D64BBF" w:rsidP="00B05272">
      <w:pPr>
        <w:autoSpaceDE w:val="0"/>
        <w:autoSpaceDN w:val="0"/>
        <w:adjustRightInd w:val="0"/>
        <w:spacing w:after="120" w:line="276" w:lineRule="auto"/>
        <w:jc w:val="both"/>
        <w:rPr>
          <w:rFonts w:asciiTheme="majorHAnsi" w:hAnsiTheme="majorHAnsi" w:cstheme="majorHAnsi"/>
          <w:kern w:val="24"/>
        </w:rPr>
      </w:pPr>
    </w:p>
    <w:p w14:paraId="6172D73D" w14:textId="77777777" w:rsidR="00D64BBF" w:rsidRDefault="00D64BBF" w:rsidP="00B05272">
      <w:pPr>
        <w:autoSpaceDE w:val="0"/>
        <w:autoSpaceDN w:val="0"/>
        <w:adjustRightInd w:val="0"/>
        <w:spacing w:after="120" w:line="276" w:lineRule="auto"/>
        <w:jc w:val="both"/>
        <w:rPr>
          <w:rFonts w:asciiTheme="majorHAnsi" w:hAnsiTheme="majorHAnsi" w:cstheme="majorHAnsi"/>
          <w:kern w:val="24"/>
        </w:rPr>
      </w:pPr>
    </w:p>
    <w:p w14:paraId="4F5740DA" w14:textId="163264CA" w:rsidR="00516259" w:rsidRPr="00D64BBF" w:rsidRDefault="00516259" w:rsidP="00B05272">
      <w:pPr>
        <w:autoSpaceDE w:val="0"/>
        <w:autoSpaceDN w:val="0"/>
        <w:adjustRightInd w:val="0"/>
        <w:spacing w:after="120" w:line="276" w:lineRule="auto"/>
        <w:jc w:val="both"/>
        <w:rPr>
          <w:rFonts w:asciiTheme="majorHAnsi" w:hAnsiTheme="majorHAnsi" w:cstheme="majorHAnsi"/>
          <w:kern w:val="24"/>
        </w:rPr>
      </w:pPr>
      <w:r w:rsidRPr="00D64BBF">
        <w:rPr>
          <w:rFonts w:asciiTheme="majorHAnsi" w:hAnsiTheme="majorHAnsi" w:cstheme="majorHAnsi"/>
          <w:color w:val="2C2D5B"/>
          <w:kern w:val="24"/>
        </w:rPr>
        <w:t xml:space="preserve">In cases where the EChFR provides greater protection than the ECHR, the ECtHR interprets the Convention in a way that also enhances the protection of </w:t>
      </w:r>
      <w:r w:rsidR="006A7E56" w:rsidRPr="00D64BBF">
        <w:rPr>
          <w:rFonts w:asciiTheme="majorHAnsi" w:hAnsiTheme="majorHAnsi" w:cstheme="majorHAnsi"/>
          <w:color w:val="2C2D5B"/>
          <w:kern w:val="24"/>
        </w:rPr>
        <w:t>fundamental</w:t>
      </w:r>
      <w:r w:rsidRPr="00D64BBF">
        <w:rPr>
          <w:rFonts w:asciiTheme="majorHAnsi" w:hAnsiTheme="majorHAnsi" w:cstheme="majorHAnsi"/>
          <w:color w:val="2C2D5B"/>
          <w:kern w:val="24"/>
        </w:rPr>
        <w:t xml:space="preserve"> rights under it</w:t>
      </w:r>
      <w:r w:rsidR="002F07B8" w:rsidRPr="00D64BBF">
        <w:rPr>
          <w:rFonts w:asciiTheme="majorHAnsi" w:hAnsiTheme="majorHAnsi" w:cstheme="majorHAnsi"/>
          <w:color w:val="2C2D5B"/>
          <w:kern w:val="24"/>
        </w:rPr>
        <w:t>s auspices</w:t>
      </w:r>
      <w:r w:rsidRPr="00D64BBF">
        <w:rPr>
          <w:rFonts w:asciiTheme="majorHAnsi" w:hAnsiTheme="majorHAnsi" w:cstheme="majorHAnsi"/>
          <w:color w:val="2C2D5B"/>
          <w:kern w:val="24"/>
        </w:rPr>
        <w:t>. For example, the EC</w:t>
      </w:r>
      <w:r w:rsidR="001B5403" w:rsidRPr="00D64BBF">
        <w:rPr>
          <w:rFonts w:asciiTheme="majorHAnsi" w:hAnsiTheme="majorHAnsi" w:cstheme="majorHAnsi"/>
          <w:color w:val="2C2D5B"/>
          <w:kern w:val="24"/>
        </w:rPr>
        <w:t>t</w:t>
      </w:r>
      <w:r w:rsidRPr="00D64BBF">
        <w:rPr>
          <w:rFonts w:asciiTheme="majorHAnsi" w:hAnsiTheme="majorHAnsi" w:cstheme="majorHAnsi"/>
          <w:color w:val="2C2D5B"/>
          <w:kern w:val="24"/>
        </w:rPr>
        <w:t>HR has interpreted Article 12 ECHR extensively, referring to the broader protection offered by the</w:t>
      </w:r>
      <w:r w:rsidR="004446EA" w:rsidRPr="00D64BBF">
        <w:rPr>
          <w:rFonts w:asciiTheme="majorHAnsi" w:hAnsiTheme="majorHAnsi" w:cstheme="majorHAnsi"/>
          <w:color w:val="2C2D5B"/>
          <w:kern w:val="24"/>
        </w:rPr>
        <w:t xml:space="preserve"> EChFR</w:t>
      </w:r>
      <w:r w:rsidRPr="00D64BBF">
        <w:rPr>
          <w:rFonts w:asciiTheme="majorHAnsi" w:hAnsiTheme="majorHAnsi" w:cstheme="majorHAnsi"/>
          <w:color w:val="2C2D5B"/>
          <w:kern w:val="24"/>
        </w:rPr>
        <w:t xml:space="preserve"> regarding the possibility of transgender people to marry. Likewise, the ECtHR contributes to the protection of Union law, for example by declaring that the failure of domestic courts to refer a preliminary ruling to the CJEU can constitute a violation of Article 6.1 ECHR.</w:t>
      </w:r>
      <w:r w:rsidR="00F87908">
        <w:rPr>
          <w:rFonts w:asciiTheme="majorHAnsi" w:hAnsiTheme="majorHAnsi" w:cstheme="majorHAnsi"/>
          <w:kern w:val="24"/>
        </w:rPr>
        <w:br w:type="page"/>
      </w:r>
    </w:p>
    <w:bookmarkStart w:id="18" w:name="_Toc188457876"/>
    <w:p w14:paraId="3AD72CE4" w14:textId="4DE8B07D" w:rsidR="00505929" w:rsidRPr="00D64BBF" w:rsidRDefault="00D64BBF" w:rsidP="00D64BBF">
      <w:pPr>
        <w:pStyle w:val="Nadpis1"/>
        <w:numPr>
          <w:ilvl w:val="1"/>
          <w:numId w:val="28"/>
        </w:numPr>
        <w:ind w:left="851" w:hanging="1135"/>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A300E">
        <w:rPr>
          <w:rFonts w:ascii="Calibri" w:hAnsi="Calibri" w:cs="Calibri"/>
          <w:b/>
          <w:bCs/>
          <w:noProof/>
          <w:color w:val="FFFFFF" w:themeColor="background1"/>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Contextual"/>
        </w:rPr>
        <w:lastRenderedPageBreak/>
        <mc:AlternateContent>
          <mc:Choice Requires="wps">
            <w:drawing>
              <wp:anchor distT="0" distB="0" distL="114300" distR="114300" simplePos="0" relativeHeight="251851776" behindDoc="0" locked="0" layoutInCell="1" allowOverlap="1" wp14:anchorId="025B4034" wp14:editId="6DC81D78">
                <wp:simplePos x="0" y="0"/>
                <wp:positionH relativeFrom="column">
                  <wp:posOffset>586740</wp:posOffset>
                </wp:positionH>
                <wp:positionV relativeFrom="paragraph">
                  <wp:posOffset>457783</wp:posOffset>
                </wp:positionV>
                <wp:extent cx="586740" cy="45085"/>
                <wp:effectExtent l="38100" t="38100" r="60960" b="88265"/>
                <wp:wrapNone/>
                <wp:docPr id="473241186" name="Rectangle 63"/>
                <wp:cNvGraphicFramePr/>
                <a:graphic xmlns:a="http://schemas.openxmlformats.org/drawingml/2006/main">
                  <a:graphicData uri="http://schemas.microsoft.com/office/word/2010/wordprocessingShape">
                    <wps:wsp>
                      <wps:cNvSpPr/>
                      <wps:spPr>
                        <a:xfrm>
                          <a:off x="0" y="0"/>
                          <a:ext cx="586740" cy="45085"/>
                        </a:xfrm>
                        <a:prstGeom prst="rect">
                          <a:avLst/>
                        </a:prstGeom>
                        <a:solidFill>
                          <a:srgbClr val="B6A04C"/>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FE45A24" id="Rectangle 63" o:spid="_x0000_s1026" style="position:absolute;margin-left:46.2pt;margin-top:36.05pt;width:46.2pt;height:3.55pt;z-index:251851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xMk0wIAABIGAAAOAAAAZHJzL2Uyb0RvYy54bWysVFFv2jAQfp+0/2D5fU1g0DLUUDGqTpOq&#10;FpVOfTaOQ6w5tmcbAvv1u7NDYG2fpvFgfPHdd9999t31zb5RZCecl0YXdHCRUyI0N6XUm4L+eL77&#10;NKHEB6ZLpowWBT0IT29mHz9ct3YqhqY2qhSOAIj209YWtA7BTrPM81o0zF8YKzQcVsY1LIDpNlnp&#10;WAvojcqGeX6ZtcaV1hkuvIevt+mQziJ+VQkeHqvKi0BUQYFbiKuL6xrXbHbNphvHbC15R4P9A4uG&#10;SQ1Je6hbFhjZOvkGqpHcGW+qcMFNk5mqklzEGqCaQf6qmlXNrIi1gDje9jL5/wfLH3Yru3QgQ2v9&#10;1MMWq9hXrsF/4Ef2UaxDL5bYB8Lh43hyeTUCSTkcjcb5ZIxaZqdY63z4JkxDcFNQB1cRFWK7ex+S&#10;69EFU3mjZHknlYqG26wXypEdg2v7ejnPR4sO/S83pdFZGwxLiOmLiBcPaWIN2yDcqi5bslZb98RK&#10;oJ5PcmBeSiT2eTJIBryK4VWOP0qY2sBzDooSZ8KLDHW8CtQAIZF3T2+tGP+ZKlO2ZonzKMKcqgTv&#10;KI45konWGc/sJH/chYMSmErpJ1ERWYLgw5gkdoboszPOhQ6DdFSzUqT8gzGWkfL3ETFnBETkCkTr&#10;sTsA7Lq32Amm88fQxLsPTqL0aRKDI7EU3EfEzEaHPriR2rj3KlNQVZc5+QP9M2lwuzblYenwiuIb&#10;9ZbfSbiae+bDkjnoY7hJmE3hEZZKmbagpttRUhv3+73v6A/tBaeUtDAXCup/bZkTlKjvGhrvy2CE&#10;rz5EYzS+GoLhzk/W5yd62ywMvOEBTEHL4xb9gzpuK2eaFxhhc8wKR0xzyF1QHtzRWIQ0r2AIcjGf&#10;RzcYHpaFe72yHMFRVXyUz/sX5mzXcQE69cEcZwibvmq85IuR2sy3wVQyduVJ105vGDzx4XRDEifb&#10;uR29TqN89gcAAP//AwBQSwMEFAAGAAgAAAAhAMipo+zaAAAACAEAAA8AAABkcnMvZG93bnJldi54&#10;bWxMj8FOwzAQRO9I/IO1SNyo0xBoGuJUiCri3MIHbOMliYjXUew24e/ZnuC4M6PZN+VucYO60BR6&#10;zwbWqwQUceNtz62Bz4/6IQcVIrLFwTMZ+KEAu+r2psTC+pkPdDnGVkkJhwINdDGOhdah6chhWPmR&#10;WLwvPzmMck6tthPOUu4GnSbJs3bYs3zocKS3jprv49kZeJ+z2iZNph09bg6xzvdPtd0bc3+3vL6A&#10;irTEvzBc8QUdKmE6+TPboAYD2zSTpIFNugZ19fNMppxE2Kagq1L/H1D9AgAA//8DAFBLAQItABQA&#10;BgAIAAAAIQC2gziS/gAAAOEBAAATAAAAAAAAAAAAAAAAAAAAAABbQ29udGVudF9UeXBlc10ueG1s&#10;UEsBAi0AFAAGAAgAAAAhADj9If/WAAAAlAEAAAsAAAAAAAAAAAAAAAAALwEAAF9yZWxzLy5yZWxz&#10;UEsBAi0AFAAGAAgAAAAhAK+DEyTTAgAAEgYAAA4AAAAAAAAAAAAAAAAALgIAAGRycy9lMm9Eb2Mu&#10;eG1sUEsBAi0AFAAGAAgAAAAhAMipo+zaAAAACAEAAA8AAAAAAAAAAAAAAAAALQUAAGRycy9kb3du&#10;cmV2LnhtbFBLBQYAAAAABAAEAPMAAAA0BgAAAAA=&#10;" fillcolor="#b6a04c" stroked="f" strokeweight="1pt">
                <v:shadow on="t" color="black" opacity="26214f" origin="-.5,-.5" offset=".74836mm,.74836mm"/>
              </v:rect>
            </w:pict>
          </mc:Fallback>
        </mc:AlternateContent>
      </w:r>
      <w:r w:rsidR="004F6D98" w:rsidRPr="00D64BBF">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Invocability of the Charter before EU and National Courts</w:t>
      </w:r>
      <w:bookmarkEnd w:id="18"/>
      <w:r w:rsidR="004F6D98" w:rsidRPr="00D64BBF">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00AFE88D" w14:textId="30812EAB" w:rsidR="009A184E" w:rsidRDefault="004D3700" w:rsidP="00F37B27">
      <w:pPr>
        <w:pStyle w:val="FormtovanvHTML"/>
        <w:spacing w:after="120" w:line="276" w:lineRule="auto"/>
        <w:jc w:val="both"/>
        <w:rPr>
          <w:rStyle w:val="y2iqfc"/>
          <w:rFonts w:asciiTheme="majorHAnsi" w:hAnsiTheme="majorHAnsi" w:cstheme="majorHAnsi"/>
          <w:color w:val="1F1F1F"/>
          <w:sz w:val="24"/>
          <w:szCs w:val="24"/>
        </w:rPr>
      </w:pPr>
      <w:r w:rsidRPr="00AC4EAF">
        <w:rPr>
          <w:rStyle w:val="Siln"/>
          <w:rFonts w:ascii="Calibri Light" w:hAnsi="Calibri Light" w:cs="Calibri Light"/>
          <w:noProof/>
          <w:sz w:val="26"/>
          <w:szCs w:val="26"/>
        </w:rPr>
        <w:drawing>
          <wp:anchor distT="0" distB="0" distL="114300" distR="114300" simplePos="0" relativeHeight="251940864" behindDoc="0" locked="0" layoutInCell="1" allowOverlap="1" wp14:anchorId="49704067" wp14:editId="3BE06CA5">
            <wp:simplePos x="0" y="0"/>
            <wp:positionH relativeFrom="column">
              <wp:posOffset>1494155</wp:posOffset>
            </wp:positionH>
            <wp:positionV relativeFrom="paragraph">
              <wp:posOffset>21731</wp:posOffset>
            </wp:positionV>
            <wp:extent cx="676910" cy="646430"/>
            <wp:effectExtent l="0" t="0" r="8890" b="1270"/>
            <wp:wrapNone/>
            <wp:docPr id="982555167" name="Image 1" descr="Une image contenant croquis, clipart, dessin humoristique, Dessin d’enf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2187443" name="Image 1" descr="Une image contenant croquis, clipart, dessin humoristique, Dessin d’enfant&#10;&#10;Description générée automatiquement"/>
                    <pic:cNvPicPr/>
                  </pic:nvPicPr>
                  <pic:blipFill>
                    <a:blip r:embed="rId12">
                      <a:extLst>
                        <a:ext uri="{28A0092B-C50C-407E-A947-70E740481C1C}">
                          <a14:useLocalDpi xmlns:a14="http://schemas.microsoft.com/office/drawing/2010/main" val="0"/>
                        </a:ext>
                      </a:extLst>
                    </a:blip>
                    <a:stretch>
                      <a:fillRect/>
                    </a:stretch>
                  </pic:blipFill>
                  <pic:spPr>
                    <a:xfrm>
                      <a:off x="0" y="0"/>
                      <a:ext cx="676910" cy="646430"/>
                    </a:xfrm>
                    <a:prstGeom prst="rect">
                      <a:avLst/>
                    </a:prstGeom>
                  </pic:spPr>
                </pic:pic>
              </a:graphicData>
            </a:graphic>
            <wp14:sizeRelH relativeFrom="page">
              <wp14:pctWidth>0</wp14:pctWidth>
            </wp14:sizeRelH>
            <wp14:sizeRelV relativeFrom="page">
              <wp14:pctHeight>0</wp14:pctHeight>
            </wp14:sizeRelV>
          </wp:anchor>
        </w:drawing>
      </w:r>
      <w:r w:rsidR="00AC4EAF">
        <w:rPr>
          <w:rFonts w:ascii="Calibri Light" w:hAnsi="Calibri Light" w:cs="Calibri Light"/>
          <w:b/>
          <w:bCs/>
          <w:noProof/>
          <w:sz w:val="26"/>
          <w:szCs w:val="26"/>
          <w14:ligatures w14:val="standardContextual"/>
        </w:rPr>
        <mc:AlternateContent>
          <mc:Choice Requires="wps">
            <w:drawing>
              <wp:anchor distT="0" distB="0" distL="114300" distR="114300" simplePos="0" relativeHeight="251886592" behindDoc="1" locked="0" layoutInCell="1" allowOverlap="1" wp14:anchorId="06ACF6C5" wp14:editId="12E03A70">
                <wp:simplePos x="0" y="0"/>
                <wp:positionH relativeFrom="column">
                  <wp:posOffset>10795</wp:posOffset>
                </wp:positionH>
                <wp:positionV relativeFrom="paragraph">
                  <wp:posOffset>255129</wp:posOffset>
                </wp:positionV>
                <wp:extent cx="2167467" cy="428977"/>
                <wp:effectExtent l="0" t="0" r="4445" b="9525"/>
                <wp:wrapNone/>
                <wp:docPr id="1997334780" name="Ellipse 66"/>
                <wp:cNvGraphicFramePr/>
                <a:graphic xmlns:a="http://schemas.openxmlformats.org/drawingml/2006/main">
                  <a:graphicData uri="http://schemas.microsoft.com/office/word/2010/wordprocessingShape">
                    <wps:wsp>
                      <wps:cNvSpPr/>
                      <wps:spPr>
                        <a:xfrm>
                          <a:off x="0" y="0"/>
                          <a:ext cx="2167467" cy="428977"/>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D9C9AF0" id="Ellipse 66" o:spid="_x0000_s1026" style="position:absolute;margin-left:.85pt;margin-top:20.1pt;width:170.65pt;height:33.8pt;z-index:-251429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vxFfAIAAGEFAAAOAAAAZHJzL2Uyb0RvYy54bWysVE1v2zAMvQ/YfxB0X20HadIGcYqgRYcB&#10;QVssHXpWZCkWIIuapMTJfv0o2XHatdhh2EUWRfLxw4+c3xwaTfbCeQWmpMVFTokwHCpltiX98Xz/&#10;5YoSH5ipmAYjSnoUnt4sPn+at3YmRlCDroQjCGL8rLUlrUOwsyzzvBYN8xdghUGlBNewgKLbZpVj&#10;LaI3Ohvl+SRrwVXWARfe4+tdp6SLhC+l4OFRSi8C0SXF3EI6XTo38cwWczbbOmZrxfs02D9k0TBl&#10;MOgAdccCIzun3kE1ijvwIMMFhyYDKRUXqQaspsj/qGZdMytSLdgcb4c2+f8Hyx/2a/vksA2t9TOP&#10;11jFQbomfjE/ckjNOg7NEodAOD6Oisl0PJlSwlE3Hl1dT6exm9nZ2zofvgpoSLyUVGitrI/1sBnb&#10;r3zorE9W8dmDVtW90joJkQPiVjuyZ/j3Ntuix39jpU20NRC9OsD4kp2rSbdw1CLaafNdSKKqmH9K&#10;JBHtHIRxLkwoOlXNKtHFLi7zPHEFqxs8Uq0JMCJLjD9g9wBvCzhhd1n29tFVJJ4OzvnfEuucB48U&#10;GUwYnBtlwH0EoLGqPnJnf2pS15rYpQ1UxydHHHRT4i2/V/jnVsyHJ+ZwLHCAcNTDIx5SQ1tS6G+U&#10;1OB+ffQe7ZGtqKWkxTErqf+5Y05Qor8Z5PF1MR7HuUzC+HI6QsG91mxea8yuuQXkQoFLxfJ0jfZB&#10;n67SQfOCG2EZo6KKGY6xS8qDOwm3oRt/3ClcLJfJDGfRsrAya8sjeOxqpOXz4YU529M3IPEf4DSS&#10;7yjc2UZPA8tdAKkSv8997fuNc5yI0++cuChey8nqvBkXvwEAAP//AwBQSwMEFAAGAAgAAAAhAKbQ&#10;Ib/fAAAACAEAAA8AAABkcnMvZG93bnJldi54bWxMj81OwzAQhO9IvIO1SNyoTdPSKsSpEH+XFqoG&#10;JMTNTZYkaryObLcJb89yguPsjGa/yVaj7cQJfWgdabieKBBIpataqjW8vz1dLUGEaKgynSPU8I0B&#10;Vvn5WWbSyg20w1MRa8ElFFKjoYmxT6UMZYPWhInrkdj7ct6ayNLXsvJm4HLbyalSN9KalvhDY3q8&#10;b7A8FEerYfPxekj8/Plh+/K4HgqVzNti/an15cV4dwsi4hj/wvCLz+iQM9PeHakKomO94KCGmZqC&#10;YDuZJTxtz3e1WILMM/l/QP4DAAD//wMAUEsBAi0AFAAGAAgAAAAhALaDOJL+AAAA4QEAABMAAAAA&#10;AAAAAAAAAAAAAAAAAFtDb250ZW50X1R5cGVzXS54bWxQSwECLQAUAAYACAAAACEAOP0h/9YAAACU&#10;AQAACwAAAAAAAAAAAAAAAAAvAQAAX3JlbHMvLnJlbHNQSwECLQAUAAYACAAAACEASGb8RXwCAABh&#10;BQAADgAAAAAAAAAAAAAAAAAuAgAAZHJzL2Uyb0RvYy54bWxQSwECLQAUAAYACAAAACEAptAhv98A&#10;AAAIAQAADwAAAAAAAAAAAAAAAADWBAAAZHJzL2Rvd25yZXYueG1sUEsFBgAAAAAEAAQA8wAAAOIF&#10;AAAAAA==&#10;" fillcolor="white [3212]" stroked="f" strokeweight="1pt">
                <v:stroke joinstyle="miter"/>
              </v:oval>
            </w:pict>
          </mc:Fallback>
        </mc:AlternateContent>
      </w:r>
    </w:p>
    <w:p w14:paraId="6AC72468" w14:textId="157E38EE" w:rsidR="009A184E" w:rsidRPr="00BE2184" w:rsidRDefault="00AC4EAF" w:rsidP="00BE2184">
      <w:pPr>
        <w:spacing w:before="100" w:beforeAutospacing="1" w:after="100" w:afterAutospacing="1"/>
        <w:jc w:val="both"/>
        <w:outlineLvl w:val="3"/>
        <w:rPr>
          <w:rFonts w:asciiTheme="majorHAnsi" w:hAnsiTheme="majorHAnsi" w:cstheme="majorHAnsi"/>
          <w:b/>
          <w:bCs/>
          <w:i/>
          <w:iCs/>
          <w:color w:val="2F5496" w:themeColor="accent1" w:themeShade="BF"/>
          <w:sz w:val="26"/>
          <w:szCs w:val="26"/>
          <w:lang w:eastAsia="fr-FR"/>
        </w:rPr>
      </w:pPr>
      <w:r>
        <w:rPr>
          <w:rFonts w:ascii="Calibri Light" w:hAnsi="Calibri Light" w:cs="Calibri Light"/>
          <w:b/>
          <w:bCs/>
          <w:noProof/>
          <w:sz w:val="26"/>
          <w:szCs w:val="26"/>
          <w14:ligatures w14:val="standardContextual"/>
        </w:rPr>
        <mc:AlternateContent>
          <mc:Choice Requires="wps">
            <w:drawing>
              <wp:anchor distT="0" distB="0" distL="114300" distR="114300" simplePos="0" relativeHeight="251885568" behindDoc="1" locked="0" layoutInCell="1" allowOverlap="1" wp14:anchorId="36AB8233" wp14:editId="78896D7F">
                <wp:simplePos x="0" y="0"/>
                <wp:positionH relativeFrom="column">
                  <wp:posOffset>-120015</wp:posOffset>
                </wp:positionH>
                <wp:positionV relativeFrom="paragraph">
                  <wp:posOffset>187819</wp:posOffset>
                </wp:positionV>
                <wp:extent cx="5949244" cy="1128889"/>
                <wp:effectExtent l="0" t="0" r="13970" b="14605"/>
                <wp:wrapNone/>
                <wp:docPr id="1290726883" name="Rectangle : coins arrondis 65"/>
                <wp:cNvGraphicFramePr/>
                <a:graphic xmlns:a="http://schemas.openxmlformats.org/drawingml/2006/main">
                  <a:graphicData uri="http://schemas.microsoft.com/office/word/2010/wordprocessingShape">
                    <wps:wsp>
                      <wps:cNvSpPr/>
                      <wps:spPr>
                        <a:xfrm>
                          <a:off x="0" y="0"/>
                          <a:ext cx="5949244" cy="1128889"/>
                        </a:xfrm>
                        <a:prstGeom prst="roundRect">
                          <a:avLst/>
                        </a:prstGeom>
                        <a:noFill/>
                        <a:ln w="19050">
                          <a:solidFill>
                            <a:schemeClr val="accent1">
                              <a:lumMod val="75000"/>
                            </a:schemeClr>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F0D4E17" id="Rectangle : coins arrondis 65" o:spid="_x0000_s1026" style="position:absolute;margin-left:-9.45pt;margin-top:14.8pt;width:468.45pt;height:88.9pt;z-index:-25143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OmekQIAAJYFAAAOAAAAZHJzL2Uyb0RvYy54bWysVE1v2zAMvQ/YfxB0X20HyZoEdYogRYcB&#10;XVu0HXpWZSkWIIuapMTJfv0o2XGyLrsMu9iSSD6Sjx9X17tGk61wXoEpaXGRUyIMh0qZdUm/v9x+&#10;mlLiAzMV02BESffC0+vFxw9XrZ2LEdSgK+EIghg/b21J6xDsPMs8r0XD/AVYYVAowTUs4NWts8qx&#10;FtEbnY3y/HPWgqusAy68x9ebTkgXCV9KwcODlF4EokuKsYX0den7Fr/Z4orN147ZWvE+DPYPUTRM&#10;GXQ6QN2wwMjGqT+gGsUdeJDhgkOTgZSKi5QDZlPk77J5rpkVKRckx9uBJv//YPn99tk+OqShtX7u&#10;8Riz2EnXxD/GR3aJrP1AltgFwvFxMhvPRuMxJRxlRTGaTqezSGd2NLfOhy8CGhIPJXWwMdUTliQx&#10;xbZ3PnT6B73o0sCt0jqVRRvSIvQsn+TJwoNWVZRGvdQhYqUd2TKsLeNcmFAkPb1pvkHVvV9O8jxV&#10;GcMaTFKQJ2go0wYfjxSkU9hrEV1p8yQkURUmPeoCid153revWSU618VfXSfAiCwxmQG7C34I8ve8&#10;OqJ6/WgqUnMPxj1D5wPrjAeL5BlMGIwbZcCdy0wjo73nTv9AUkdNZOkNqv2jIw660fKW3yqs9h3z&#10;4ZE5nCWcOtwP4QE/UgMWFPoTJTW4n+feoz62OEopaXE2S+p/bJgTlOivBpt/VozHcZjTZTy5HOHF&#10;nUreTiVm06wAW6TATWR5Okb9oA9H6aB5xTWyjF5RxAxH3yXlwR0uq9DtDFxEXCyXSQ0H2LJwZ54t&#10;j+CR1djIL7tX5mzf8gGn5R4Oc8zm75q+042WBpabAFKliTjy2vONw596tl9Ucbuc3pPWcZ0ufgEA&#10;AP//AwBQSwMEFAAGAAgAAAAhAA1lk5/eAAAACgEAAA8AAABkcnMvZG93bnJldi54bWxMj8FOwzAM&#10;hu9IvEPkSdy2tBUabWk6IRAnLqwb2jVrTFqtcUqTbeXtMSc42v70+/urzewGccEp9J4UpKsEBFLr&#10;TU9WwX73usxBhKjJ6METKvjGAJv69qbSpfFX2uKliVZwCIVSK+hiHEspQ9uh02HlRyS+ffrJ6cjj&#10;ZKWZ9JXD3SCzJFlLp3viD50e8bnD9tScnYIm+/p4T7YH2769zM7iLhz2Nih1t5ifHkFEnOMfDL/6&#10;rA41Ox39mUwQg4JlmheMKsiKNQgGijTnckdeJA/3IOtK/q9Q/wAAAP//AwBQSwECLQAUAAYACAAA&#10;ACEAtoM4kv4AAADhAQAAEwAAAAAAAAAAAAAAAAAAAAAAW0NvbnRlbnRfVHlwZXNdLnhtbFBLAQIt&#10;ABQABgAIAAAAIQA4/SH/1gAAAJQBAAALAAAAAAAAAAAAAAAAAC8BAABfcmVscy8ucmVsc1BLAQIt&#10;ABQABgAIAAAAIQD8lOmekQIAAJYFAAAOAAAAAAAAAAAAAAAAAC4CAABkcnMvZTJvRG9jLnhtbFBL&#10;AQItABQABgAIAAAAIQANZZOf3gAAAAoBAAAPAAAAAAAAAAAAAAAAAOsEAABkcnMvZG93bnJldi54&#10;bWxQSwUGAAAAAAQABADzAAAA9gUAAAAA&#10;" filled="f" strokecolor="#2f5496 [2404]" strokeweight="1.5pt">
                <v:stroke joinstyle="miter"/>
              </v:roundrect>
            </w:pict>
          </mc:Fallback>
        </mc:AlternateContent>
      </w:r>
      <w:r w:rsidR="009A184E" w:rsidRPr="00BE2184">
        <w:rPr>
          <w:rFonts w:asciiTheme="majorHAnsi" w:hAnsiTheme="majorHAnsi" w:cstheme="majorHAnsi"/>
          <w:b/>
          <w:bCs/>
          <w:i/>
          <w:iCs/>
          <w:color w:val="2F5496" w:themeColor="accent1" w:themeShade="BF"/>
          <w:sz w:val="26"/>
          <w:szCs w:val="26"/>
          <w:lang w:eastAsia="fr-FR"/>
        </w:rPr>
        <w:t>What You</w:t>
      </w:r>
      <w:r w:rsidR="00BE2184" w:rsidRPr="00BE2184">
        <w:rPr>
          <w:rFonts w:asciiTheme="majorHAnsi" w:hAnsiTheme="majorHAnsi" w:cstheme="majorHAnsi"/>
          <w:b/>
          <w:bCs/>
          <w:i/>
          <w:iCs/>
          <w:color w:val="2F5496" w:themeColor="accent1" w:themeShade="BF"/>
          <w:sz w:val="26"/>
          <w:szCs w:val="26"/>
          <w:lang w:eastAsia="fr-FR"/>
        </w:rPr>
        <w:t xml:space="preserve"> will Learn</w:t>
      </w:r>
      <w:r w:rsidR="00C91A04">
        <w:rPr>
          <w:rFonts w:asciiTheme="majorHAnsi" w:hAnsiTheme="majorHAnsi" w:cstheme="majorHAnsi"/>
          <w:b/>
          <w:bCs/>
          <w:i/>
          <w:iCs/>
          <w:color w:val="2F5496" w:themeColor="accent1" w:themeShade="BF"/>
          <w:sz w:val="26"/>
          <w:szCs w:val="26"/>
          <w:lang w:eastAsia="fr-FR"/>
        </w:rPr>
        <w:t xml:space="preserve"> </w:t>
      </w:r>
      <w:r w:rsidR="00BE2184" w:rsidRPr="00BE2184">
        <w:rPr>
          <w:rFonts w:asciiTheme="majorHAnsi" w:hAnsiTheme="majorHAnsi" w:cstheme="majorHAnsi"/>
          <w:b/>
          <w:bCs/>
          <w:i/>
          <w:iCs/>
          <w:color w:val="2F5496" w:themeColor="accent1" w:themeShade="BF"/>
          <w:sz w:val="26"/>
          <w:szCs w:val="26"/>
          <w:lang w:eastAsia="fr-FR"/>
        </w:rPr>
        <w:t xml:space="preserve">: </w:t>
      </w:r>
    </w:p>
    <w:p w14:paraId="7D519E34" w14:textId="512E562A" w:rsidR="00BE2184" w:rsidRPr="00C91A04" w:rsidRDefault="009A184E" w:rsidP="00F87908">
      <w:pPr>
        <w:spacing w:before="100" w:beforeAutospacing="1" w:after="100" w:afterAutospacing="1"/>
        <w:jc w:val="both"/>
        <w:rPr>
          <w:rFonts w:asciiTheme="majorHAnsi" w:hAnsiTheme="majorHAnsi" w:cstheme="majorHAnsi"/>
          <w:color w:val="2C2D5B"/>
          <w:lang w:eastAsia="fr-FR"/>
        </w:rPr>
      </w:pPr>
      <w:r w:rsidRPr="00C91A04">
        <w:rPr>
          <w:rFonts w:asciiTheme="majorHAnsi" w:hAnsiTheme="majorHAnsi" w:cstheme="majorHAnsi"/>
          <w:color w:val="2C2D5B"/>
          <w:lang w:eastAsia="fr-FR"/>
        </w:rPr>
        <w:t>This section provides a practical guide to invoking the Charter in legal proceedings before both EU and national courts. It explains how to determine the Charter’s applicability, integrate it into legal arguments, and navigate procedural mechanisms such as the preliminary reference procedure.</w:t>
      </w:r>
    </w:p>
    <w:p w14:paraId="6A265FC7" w14:textId="6EB8ED68" w:rsidR="009A184E" w:rsidRPr="00BE2184" w:rsidRDefault="009A184E" w:rsidP="00BE2184">
      <w:pPr>
        <w:spacing w:before="100" w:beforeAutospacing="1" w:after="100" w:afterAutospacing="1"/>
        <w:jc w:val="both"/>
        <w:rPr>
          <w:rFonts w:asciiTheme="majorHAnsi" w:hAnsiTheme="majorHAnsi" w:cstheme="majorHAnsi"/>
          <w:b/>
          <w:bCs/>
          <w:i/>
          <w:iCs/>
          <w:color w:val="2F5496" w:themeColor="accent1" w:themeShade="BF"/>
          <w:sz w:val="26"/>
          <w:szCs w:val="26"/>
          <w:lang w:val="fr-FR" w:eastAsia="fr-FR"/>
        </w:rPr>
      </w:pPr>
      <w:r w:rsidRPr="00BE2184">
        <w:rPr>
          <w:rFonts w:asciiTheme="majorHAnsi" w:hAnsiTheme="majorHAnsi" w:cstheme="majorHAnsi"/>
          <w:b/>
          <w:bCs/>
          <w:i/>
          <w:iCs/>
          <w:color w:val="2F5496" w:themeColor="accent1" w:themeShade="BF"/>
          <w:sz w:val="26"/>
          <w:szCs w:val="26"/>
          <w:lang w:val="fr-FR" w:eastAsia="fr-FR"/>
        </w:rPr>
        <w:t xml:space="preserve">Key </w:t>
      </w:r>
      <w:r w:rsidR="00BE2184" w:rsidRPr="00BE2184">
        <w:rPr>
          <w:rFonts w:asciiTheme="majorHAnsi" w:hAnsiTheme="majorHAnsi" w:cstheme="majorHAnsi"/>
          <w:b/>
          <w:bCs/>
          <w:i/>
          <w:iCs/>
          <w:color w:val="2F5496" w:themeColor="accent1" w:themeShade="BF"/>
          <w:sz w:val="26"/>
          <w:szCs w:val="26"/>
          <w:lang w:val="fr-FR" w:eastAsia="fr-FR"/>
        </w:rPr>
        <w:t>themes</w:t>
      </w:r>
      <w:r w:rsidR="00C91A04">
        <w:rPr>
          <w:rFonts w:asciiTheme="majorHAnsi" w:hAnsiTheme="majorHAnsi" w:cstheme="majorHAnsi"/>
          <w:b/>
          <w:bCs/>
          <w:i/>
          <w:iCs/>
          <w:color w:val="2F5496" w:themeColor="accent1" w:themeShade="BF"/>
          <w:sz w:val="26"/>
          <w:szCs w:val="26"/>
          <w:lang w:val="fr-FR" w:eastAsia="fr-FR"/>
        </w:rPr>
        <w:t xml:space="preserve"> </w:t>
      </w:r>
      <w:r w:rsidR="00BE2184" w:rsidRPr="00BE2184">
        <w:rPr>
          <w:rFonts w:asciiTheme="majorHAnsi" w:hAnsiTheme="majorHAnsi" w:cstheme="majorHAnsi"/>
          <w:b/>
          <w:bCs/>
          <w:i/>
          <w:iCs/>
          <w:color w:val="2F5496" w:themeColor="accent1" w:themeShade="BF"/>
          <w:sz w:val="26"/>
          <w:szCs w:val="26"/>
          <w:lang w:val="fr-FR" w:eastAsia="fr-FR"/>
        </w:rPr>
        <w:t xml:space="preserve">: </w:t>
      </w:r>
    </w:p>
    <w:p w14:paraId="5D354682" w14:textId="19809354" w:rsidR="009A184E" w:rsidRPr="00C91A04" w:rsidRDefault="009A184E" w:rsidP="00BE2184">
      <w:pPr>
        <w:numPr>
          <w:ilvl w:val="0"/>
          <w:numId w:val="50"/>
        </w:numPr>
        <w:spacing w:before="100" w:beforeAutospacing="1" w:after="100" w:afterAutospacing="1"/>
        <w:jc w:val="both"/>
        <w:rPr>
          <w:rFonts w:asciiTheme="majorHAnsi" w:hAnsiTheme="majorHAnsi" w:cstheme="majorHAnsi"/>
          <w:color w:val="2C2D5B"/>
          <w:lang w:eastAsia="fr-FR"/>
        </w:rPr>
      </w:pPr>
      <w:r w:rsidRPr="00C91A04">
        <w:rPr>
          <w:rFonts w:asciiTheme="majorHAnsi" w:hAnsiTheme="majorHAnsi" w:cstheme="majorHAnsi"/>
          <w:b/>
          <w:bCs/>
          <w:color w:val="2C2D5B"/>
          <w:lang w:eastAsia="fr-FR"/>
        </w:rPr>
        <w:t>Assessing Applicability</w:t>
      </w:r>
      <w:r w:rsidRPr="00C91A04">
        <w:rPr>
          <w:rFonts w:asciiTheme="majorHAnsi" w:hAnsiTheme="majorHAnsi" w:cstheme="majorHAnsi"/>
          <w:color w:val="2C2D5B"/>
          <w:lang w:eastAsia="fr-FR"/>
        </w:rPr>
        <w:t>: Understand the steps to determine whether the Charter applies in a specific case, including the need for a clear link to EU law and the relevance of key articles.</w:t>
      </w:r>
    </w:p>
    <w:p w14:paraId="5FDED4AC" w14:textId="77777777" w:rsidR="009A184E" w:rsidRPr="00C91A04" w:rsidRDefault="009A184E" w:rsidP="00BE2184">
      <w:pPr>
        <w:numPr>
          <w:ilvl w:val="0"/>
          <w:numId w:val="50"/>
        </w:numPr>
        <w:spacing w:before="100" w:beforeAutospacing="1" w:after="100" w:afterAutospacing="1"/>
        <w:jc w:val="both"/>
        <w:rPr>
          <w:rFonts w:asciiTheme="majorHAnsi" w:hAnsiTheme="majorHAnsi" w:cstheme="majorHAnsi"/>
          <w:color w:val="2C2D5B"/>
          <w:lang w:eastAsia="fr-FR"/>
        </w:rPr>
      </w:pPr>
      <w:r w:rsidRPr="00C91A04">
        <w:rPr>
          <w:rFonts w:asciiTheme="majorHAnsi" w:hAnsiTheme="majorHAnsi" w:cstheme="majorHAnsi"/>
          <w:b/>
          <w:bCs/>
          <w:color w:val="2C2D5B"/>
          <w:lang w:eastAsia="fr-FR"/>
        </w:rPr>
        <w:t>Leveraging the Preliminary Reference Procedure</w:t>
      </w:r>
      <w:r w:rsidRPr="00C91A04">
        <w:rPr>
          <w:rFonts w:asciiTheme="majorHAnsi" w:hAnsiTheme="majorHAnsi" w:cstheme="majorHAnsi"/>
          <w:color w:val="2C2D5B"/>
          <w:lang w:eastAsia="fr-FR"/>
        </w:rPr>
        <w:t xml:space="preserve">: Gain insight into the process of referring questions of EU law to the CJEU under </w:t>
      </w:r>
      <w:r w:rsidRPr="00C91A04">
        <w:rPr>
          <w:rFonts w:asciiTheme="majorHAnsi" w:hAnsiTheme="majorHAnsi" w:cstheme="majorHAnsi"/>
          <w:b/>
          <w:bCs/>
          <w:color w:val="2C2D5B"/>
          <w:lang w:eastAsia="fr-FR"/>
        </w:rPr>
        <w:t>Article 267 TFEU</w:t>
      </w:r>
      <w:r w:rsidRPr="00C91A04">
        <w:rPr>
          <w:rFonts w:asciiTheme="majorHAnsi" w:hAnsiTheme="majorHAnsi" w:cstheme="majorHAnsi"/>
          <w:color w:val="2C2D5B"/>
          <w:lang w:eastAsia="fr-FR"/>
        </w:rPr>
        <w:t>, including when and how to use this mechanism strategically.</w:t>
      </w:r>
    </w:p>
    <w:p w14:paraId="0291B676" w14:textId="4D0C088F" w:rsidR="009A184E" w:rsidRPr="00C91A04" w:rsidRDefault="009A184E" w:rsidP="00BE2184">
      <w:pPr>
        <w:numPr>
          <w:ilvl w:val="0"/>
          <w:numId w:val="50"/>
        </w:numPr>
        <w:spacing w:before="100" w:beforeAutospacing="1" w:after="100" w:afterAutospacing="1"/>
        <w:jc w:val="both"/>
        <w:rPr>
          <w:rFonts w:asciiTheme="majorHAnsi" w:hAnsiTheme="majorHAnsi" w:cstheme="majorHAnsi"/>
          <w:color w:val="2C2D5B"/>
          <w:lang w:eastAsia="fr-FR"/>
        </w:rPr>
      </w:pPr>
      <w:r w:rsidRPr="00C91A04">
        <w:rPr>
          <w:rFonts w:asciiTheme="majorHAnsi" w:hAnsiTheme="majorHAnsi" w:cstheme="majorHAnsi"/>
          <w:b/>
          <w:bCs/>
          <w:color w:val="2C2D5B"/>
          <w:lang w:eastAsia="fr-FR"/>
        </w:rPr>
        <w:t>Building Effective Legal Arguments</w:t>
      </w:r>
      <w:r w:rsidRPr="00C91A04">
        <w:rPr>
          <w:rFonts w:asciiTheme="majorHAnsi" w:hAnsiTheme="majorHAnsi" w:cstheme="majorHAnsi"/>
          <w:color w:val="2C2D5B"/>
          <w:lang w:eastAsia="fr-FR"/>
        </w:rPr>
        <w:t>: Learn to frame arguments grounded in the Charter, supported by relevant CJEU case law and aligned with national legal contexts.</w:t>
      </w:r>
    </w:p>
    <w:p w14:paraId="2B117687" w14:textId="4707933A" w:rsidR="009A184E" w:rsidRPr="00C91A04" w:rsidRDefault="009A184E" w:rsidP="00BE2184">
      <w:pPr>
        <w:numPr>
          <w:ilvl w:val="0"/>
          <w:numId w:val="50"/>
        </w:numPr>
        <w:spacing w:before="100" w:beforeAutospacing="1" w:after="100" w:afterAutospacing="1"/>
        <w:jc w:val="both"/>
        <w:rPr>
          <w:rFonts w:asciiTheme="majorHAnsi" w:hAnsiTheme="majorHAnsi" w:cstheme="majorHAnsi"/>
          <w:color w:val="2C2D5B"/>
          <w:lang w:eastAsia="fr-FR"/>
        </w:rPr>
      </w:pPr>
      <w:r w:rsidRPr="00C91A04">
        <w:rPr>
          <w:rFonts w:asciiTheme="majorHAnsi" w:hAnsiTheme="majorHAnsi" w:cstheme="majorHAnsi"/>
          <w:b/>
          <w:bCs/>
          <w:color w:val="2C2D5B"/>
          <w:lang w:eastAsia="fr-FR"/>
        </w:rPr>
        <w:t>Role of Lawyers in Safeguarding Rights</w:t>
      </w:r>
      <w:r w:rsidRPr="00C91A04">
        <w:rPr>
          <w:rFonts w:asciiTheme="majorHAnsi" w:hAnsiTheme="majorHAnsi" w:cstheme="majorHAnsi"/>
          <w:color w:val="2C2D5B"/>
          <w:lang w:eastAsia="fr-FR"/>
        </w:rPr>
        <w:t>: Explore the lawyer’s role in ensuring the effective application of the Charter, from identifying breaches of EU law to challenging non-compliance through innovative strategies.</w:t>
      </w:r>
    </w:p>
    <w:p w14:paraId="2ACF7175" w14:textId="4D51623E" w:rsidR="00625D8E" w:rsidRPr="00C91A04" w:rsidRDefault="00625D8E" w:rsidP="00F37B27">
      <w:pPr>
        <w:pStyle w:val="FormtovanvHTML"/>
        <w:spacing w:after="120" w:line="276" w:lineRule="auto"/>
        <w:jc w:val="both"/>
        <w:rPr>
          <w:rStyle w:val="y2iqfc"/>
          <w:rFonts w:asciiTheme="majorHAnsi" w:hAnsiTheme="majorHAnsi" w:cstheme="majorHAnsi"/>
          <w:color w:val="2C2D5B"/>
          <w:sz w:val="24"/>
          <w:szCs w:val="24"/>
        </w:rPr>
      </w:pPr>
      <w:r w:rsidRPr="00C91A04">
        <w:rPr>
          <w:rStyle w:val="y2iqfc"/>
          <w:rFonts w:asciiTheme="majorHAnsi" w:hAnsiTheme="majorHAnsi" w:cstheme="majorHAnsi"/>
          <w:color w:val="2C2D5B"/>
          <w:sz w:val="24"/>
          <w:szCs w:val="24"/>
        </w:rPr>
        <w:t xml:space="preserve">National courts must determine whether the Charter applies to a given case, which requires: </w:t>
      </w:r>
    </w:p>
    <w:p w14:paraId="1371B8C0" w14:textId="06294D97" w:rsidR="00625D8E" w:rsidRPr="00C91A04" w:rsidRDefault="00625D8E" w:rsidP="00253E61">
      <w:pPr>
        <w:pStyle w:val="FormtovanvHTML"/>
        <w:numPr>
          <w:ilvl w:val="1"/>
          <w:numId w:val="31"/>
        </w:numPr>
        <w:spacing w:after="120" w:line="276" w:lineRule="auto"/>
        <w:jc w:val="both"/>
        <w:rPr>
          <w:rStyle w:val="y2iqfc"/>
          <w:rFonts w:asciiTheme="majorHAnsi" w:hAnsiTheme="majorHAnsi" w:cstheme="majorHAnsi"/>
          <w:color w:val="2C2D5B"/>
          <w:sz w:val="24"/>
          <w:szCs w:val="24"/>
        </w:rPr>
      </w:pPr>
      <w:r w:rsidRPr="00C91A04">
        <w:rPr>
          <w:rStyle w:val="y2iqfc"/>
          <w:rFonts w:asciiTheme="majorHAnsi" w:hAnsiTheme="majorHAnsi" w:cstheme="majorHAnsi"/>
          <w:color w:val="2C2D5B"/>
          <w:sz w:val="24"/>
          <w:szCs w:val="24"/>
        </w:rPr>
        <w:t xml:space="preserve">Understanding the specific articles within the Charter and the level of protection they afford. </w:t>
      </w:r>
    </w:p>
    <w:p w14:paraId="2073E58F" w14:textId="3F98C801" w:rsidR="00625D8E" w:rsidRPr="00C91A04" w:rsidRDefault="00625D8E" w:rsidP="00253E61">
      <w:pPr>
        <w:pStyle w:val="FormtovanvHTML"/>
        <w:numPr>
          <w:ilvl w:val="1"/>
          <w:numId w:val="31"/>
        </w:numPr>
        <w:spacing w:after="120" w:line="276" w:lineRule="auto"/>
        <w:jc w:val="both"/>
        <w:rPr>
          <w:rStyle w:val="y2iqfc"/>
          <w:rFonts w:ascii="Calibri" w:hAnsi="Calibri" w:cs="Calibri"/>
          <w:color w:val="2C2D5B"/>
          <w:sz w:val="24"/>
          <w:szCs w:val="24"/>
        </w:rPr>
      </w:pPr>
      <w:r w:rsidRPr="00C91A04">
        <w:rPr>
          <w:rStyle w:val="y2iqfc"/>
          <w:rFonts w:asciiTheme="majorHAnsi" w:hAnsiTheme="majorHAnsi" w:cstheme="majorHAnsi"/>
          <w:color w:val="2C2D5B"/>
          <w:sz w:val="24"/>
          <w:szCs w:val="24"/>
        </w:rPr>
        <w:t xml:space="preserve">Consulting </w:t>
      </w:r>
      <w:r w:rsidR="00BD4F7B" w:rsidRPr="00C91A04">
        <w:rPr>
          <w:rStyle w:val="y2iqfc"/>
          <w:rFonts w:asciiTheme="majorHAnsi" w:hAnsiTheme="majorHAnsi" w:cstheme="majorHAnsi"/>
          <w:color w:val="2C2D5B"/>
          <w:sz w:val="24"/>
          <w:szCs w:val="24"/>
        </w:rPr>
        <w:t>the</w:t>
      </w:r>
      <w:r w:rsidRPr="00C91A04">
        <w:rPr>
          <w:rStyle w:val="y2iqfc"/>
          <w:rFonts w:asciiTheme="majorHAnsi" w:hAnsiTheme="majorHAnsi" w:cstheme="majorHAnsi"/>
          <w:color w:val="2C2D5B"/>
          <w:sz w:val="24"/>
          <w:szCs w:val="24"/>
        </w:rPr>
        <w:t xml:space="preserve"> CJEU case law to interpret and align the Charter’s provisions with national law</w:t>
      </w:r>
      <w:r w:rsidRPr="00C91A04">
        <w:rPr>
          <w:rStyle w:val="y2iqfc"/>
          <w:rFonts w:ascii="Calibri" w:hAnsi="Calibri" w:cs="Calibri"/>
          <w:color w:val="2C2D5B"/>
          <w:sz w:val="24"/>
          <w:szCs w:val="24"/>
        </w:rPr>
        <w:t xml:space="preserve">. </w:t>
      </w:r>
    </w:p>
    <w:p w14:paraId="15B1C123" w14:textId="5937DDA4" w:rsidR="00625D8E" w:rsidRPr="00C91A04" w:rsidRDefault="00625D8E" w:rsidP="00F37B27">
      <w:pPr>
        <w:pStyle w:val="FormtovanvHTML"/>
        <w:spacing w:after="120" w:line="276" w:lineRule="auto"/>
        <w:jc w:val="both"/>
        <w:rPr>
          <w:rStyle w:val="y2iqfc"/>
          <w:rFonts w:ascii="Calibri" w:hAnsi="Calibri" w:cs="Calibri"/>
          <w:color w:val="2C2D5B"/>
          <w:sz w:val="24"/>
          <w:szCs w:val="24"/>
        </w:rPr>
      </w:pPr>
    </w:p>
    <w:p w14:paraId="1D3A422A" w14:textId="7F2B058F" w:rsidR="00AD5567" w:rsidRPr="00C91A04" w:rsidRDefault="00021DF2" w:rsidP="00F37B27">
      <w:pPr>
        <w:pStyle w:val="FormtovanvHTML"/>
        <w:spacing w:after="120" w:line="276" w:lineRule="auto"/>
        <w:jc w:val="both"/>
        <w:rPr>
          <w:rStyle w:val="y2iqfc"/>
          <w:rFonts w:asciiTheme="majorHAnsi" w:hAnsiTheme="majorHAnsi" w:cstheme="majorHAnsi"/>
          <w:color w:val="2C2D5B"/>
          <w:sz w:val="24"/>
          <w:szCs w:val="24"/>
        </w:rPr>
      </w:pPr>
      <w:r w:rsidRPr="00C91A04">
        <w:rPr>
          <w:rStyle w:val="y2iqfc"/>
          <w:rFonts w:asciiTheme="majorHAnsi" w:hAnsiTheme="majorHAnsi" w:cstheme="majorHAnsi"/>
          <w:b/>
          <w:bCs/>
          <w:color w:val="2C2D5B"/>
          <w:sz w:val="24"/>
          <w:szCs w:val="24"/>
        </w:rPr>
        <w:t>R</w:t>
      </w:r>
      <w:r w:rsidR="00761FF8" w:rsidRPr="00C91A04">
        <w:rPr>
          <w:rStyle w:val="y2iqfc"/>
          <w:rFonts w:asciiTheme="majorHAnsi" w:hAnsiTheme="majorHAnsi" w:cstheme="majorHAnsi"/>
          <w:b/>
          <w:bCs/>
          <w:color w:val="2C2D5B"/>
          <w:sz w:val="24"/>
          <w:szCs w:val="24"/>
        </w:rPr>
        <w:t>espect for and  correct application of the Charter within the EU is essentially ensured through the CJEU’s jurisprudential control.</w:t>
      </w:r>
      <w:r w:rsidR="00761FF8" w:rsidRPr="00C91A04">
        <w:rPr>
          <w:rStyle w:val="y2iqfc"/>
          <w:rFonts w:asciiTheme="majorHAnsi" w:hAnsiTheme="majorHAnsi" w:cstheme="majorHAnsi"/>
          <w:color w:val="2C2D5B"/>
          <w:sz w:val="24"/>
          <w:szCs w:val="24"/>
        </w:rPr>
        <w:t xml:space="preserve"> </w:t>
      </w:r>
      <w:r w:rsidRPr="00C91A04">
        <w:rPr>
          <w:rStyle w:val="y2iqfc"/>
          <w:rFonts w:asciiTheme="majorHAnsi" w:hAnsiTheme="majorHAnsi" w:cstheme="majorHAnsi"/>
          <w:color w:val="2C2D5B"/>
          <w:sz w:val="24"/>
          <w:szCs w:val="24"/>
        </w:rPr>
        <w:t>While</w:t>
      </w:r>
      <w:r w:rsidR="00761FF8" w:rsidRPr="00C91A04">
        <w:rPr>
          <w:rStyle w:val="y2iqfc"/>
          <w:rFonts w:asciiTheme="majorHAnsi" w:hAnsiTheme="majorHAnsi" w:cstheme="majorHAnsi"/>
          <w:color w:val="2C2D5B"/>
          <w:sz w:val="24"/>
          <w:szCs w:val="24"/>
        </w:rPr>
        <w:t xml:space="preserve"> there is no specific</w:t>
      </w:r>
      <w:r w:rsidRPr="00C91A04">
        <w:rPr>
          <w:rStyle w:val="y2iqfc"/>
          <w:rFonts w:asciiTheme="majorHAnsi" w:hAnsiTheme="majorHAnsi" w:cstheme="majorHAnsi"/>
          <w:color w:val="2C2D5B"/>
          <w:sz w:val="24"/>
          <w:szCs w:val="24"/>
        </w:rPr>
        <w:t xml:space="preserve"> or</w:t>
      </w:r>
      <w:r w:rsidR="003E0613" w:rsidRPr="00C91A04">
        <w:rPr>
          <w:rStyle w:val="y2iqfc"/>
          <w:rFonts w:asciiTheme="majorHAnsi" w:hAnsiTheme="majorHAnsi" w:cstheme="majorHAnsi"/>
          <w:color w:val="2C2D5B"/>
          <w:sz w:val="24"/>
          <w:szCs w:val="24"/>
        </w:rPr>
        <w:t xml:space="preserve"> </w:t>
      </w:r>
      <w:r w:rsidR="00761FF8" w:rsidRPr="00C91A04">
        <w:rPr>
          <w:rStyle w:val="y2iqfc"/>
          <w:rFonts w:asciiTheme="majorHAnsi" w:hAnsiTheme="majorHAnsi" w:cstheme="majorHAnsi"/>
          <w:color w:val="2C2D5B"/>
          <w:sz w:val="24"/>
          <w:szCs w:val="24"/>
        </w:rPr>
        <w:t>direct me</w:t>
      </w:r>
      <w:r w:rsidRPr="00C91A04">
        <w:rPr>
          <w:rStyle w:val="y2iqfc"/>
          <w:rFonts w:asciiTheme="majorHAnsi" w:hAnsiTheme="majorHAnsi" w:cstheme="majorHAnsi"/>
          <w:color w:val="2C2D5B"/>
          <w:sz w:val="24"/>
          <w:szCs w:val="24"/>
        </w:rPr>
        <w:t>chanism</w:t>
      </w:r>
      <w:r w:rsidR="00761FF8" w:rsidRPr="00C91A04">
        <w:rPr>
          <w:rStyle w:val="y2iqfc"/>
          <w:rFonts w:asciiTheme="majorHAnsi" w:hAnsiTheme="majorHAnsi" w:cstheme="majorHAnsi"/>
          <w:color w:val="2C2D5B"/>
          <w:sz w:val="24"/>
          <w:szCs w:val="24"/>
        </w:rPr>
        <w:t xml:space="preserve"> for protecti</w:t>
      </w:r>
      <w:r w:rsidRPr="00C91A04">
        <w:rPr>
          <w:rStyle w:val="y2iqfc"/>
          <w:rFonts w:asciiTheme="majorHAnsi" w:hAnsiTheme="majorHAnsi" w:cstheme="majorHAnsi"/>
          <w:color w:val="2C2D5B"/>
          <w:sz w:val="24"/>
          <w:szCs w:val="24"/>
        </w:rPr>
        <w:t>ng</w:t>
      </w:r>
      <w:r w:rsidR="00761FF8" w:rsidRPr="00C91A04">
        <w:rPr>
          <w:rStyle w:val="y2iqfc"/>
          <w:rFonts w:asciiTheme="majorHAnsi" w:hAnsiTheme="majorHAnsi" w:cstheme="majorHAnsi"/>
          <w:color w:val="2C2D5B"/>
          <w:sz w:val="24"/>
          <w:szCs w:val="24"/>
        </w:rPr>
        <w:t xml:space="preserve"> the rights and freedoms recogni</w:t>
      </w:r>
      <w:r w:rsidR="00816E41" w:rsidRPr="00C91A04">
        <w:rPr>
          <w:rStyle w:val="y2iqfc"/>
          <w:rFonts w:asciiTheme="majorHAnsi" w:hAnsiTheme="majorHAnsi" w:cstheme="majorHAnsi"/>
          <w:color w:val="2C2D5B"/>
          <w:sz w:val="24"/>
          <w:szCs w:val="24"/>
        </w:rPr>
        <w:t>s</w:t>
      </w:r>
      <w:r w:rsidR="00761FF8" w:rsidRPr="00C91A04">
        <w:rPr>
          <w:rStyle w:val="y2iqfc"/>
          <w:rFonts w:asciiTheme="majorHAnsi" w:hAnsiTheme="majorHAnsi" w:cstheme="majorHAnsi"/>
          <w:color w:val="2C2D5B"/>
          <w:sz w:val="24"/>
          <w:szCs w:val="24"/>
        </w:rPr>
        <w:t xml:space="preserve">ed in the Charter, </w:t>
      </w:r>
      <w:r w:rsidR="00761FF8" w:rsidRPr="00C91A04">
        <w:rPr>
          <w:rStyle w:val="y2iqfc"/>
          <w:rFonts w:asciiTheme="majorHAnsi" w:hAnsiTheme="majorHAnsi" w:cstheme="majorHAnsi"/>
          <w:b/>
          <w:bCs/>
          <w:color w:val="2C2D5B"/>
          <w:sz w:val="24"/>
          <w:szCs w:val="24"/>
        </w:rPr>
        <w:t>the CJEU</w:t>
      </w:r>
      <w:r w:rsidR="00761FF8" w:rsidRPr="00C91A04">
        <w:rPr>
          <w:rStyle w:val="y2iqfc"/>
          <w:rFonts w:asciiTheme="majorHAnsi" w:hAnsiTheme="majorHAnsi" w:cstheme="majorHAnsi"/>
          <w:color w:val="2C2D5B"/>
          <w:sz w:val="24"/>
          <w:szCs w:val="24"/>
        </w:rPr>
        <w:t xml:space="preserve">, within </w:t>
      </w:r>
      <w:r w:rsidRPr="00C91A04">
        <w:rPr>
          <w:rStyle w:val="y2iqfc"/>
          <w:rFonts w:asciiTheme="majorHAnsi" w:hAnsiTheme="majorHAnsi" w:cstheme="majorHAnsi"/>
          <w:color w:val="2C2D5B"/>
          <w:sz w:val="24"/>
          <w:szCs w:val="24"/>
        </w:rPr>
        <w:t xml:space="preserve">its </w:t>
      </w:r>
      <w:r w:rsidR="00761FF8" w:rsidRPr="00C91A04">
        <w:rPr>
          <w:rStyle w:val="y2iqfc"/>
          <w:rFonts w:asciiTheme="majorHAnsi" w:hAnsiTheme="majorHAnsi" w:cstheme="majorHAnsi"/>
          <w:color w:val="2C2D5B"/>
          <w:sz w:val="24"/>
          <w:szCs w:val="24"/>
        </w:rPr>
        <w:t xml:space="preserve">framework </w:t>
      </w:r>
      <w:r w:rsidRPr="00C91A04">
        <w:rPr>
          <w:rStyle w:val="y2iqfc"/>
          <w:rFonts w:asciiTheme="majorHAnsi" w:hAnsiTheme="majorHAnsi" w:cstheme="majorHAnsi"/>
          <w:color w:val="2C2D5B"/>
          <w:sz w:val="24"/>
          <w:szCs w:val="24"/>
        </w:rPr>
        <w:t xml:space="preserve">of </w:t>
      </w:r>
      <w:r w:rsidR="00761FF8" w:rsidRPr="00C91A04">
        <w:rPr>
          <w:rStyle w:val="y2iqfc"/>
          <w:rFonts w:asciiTheme="majorHAnsi" w:hAnsiTheme="majorHAnsi" w:cstheme="majorHAnsi"/>
          <w:color w:val="2C2D5B"/>
          <w:sz w:val="24"/>
          <w:szCs w:val="24"/>
        </w:rPr>
        <w:t>actions</w:t>
      </w:r>
      <w:r w:rsidR="00761FF8" w:rsidRPr="00C91A04">
        <w:rPr>
          <w:rStyle w:val="y2iqfc"/>
          <w:rFonts w:asciiTheme="majorHAnsi" w:hAnsiTheme="majorHAnsi" w:cstheme="majorHAnsi"/>
          <w:b/>
          <w:bCs/>
          <w:color w:val="2C2D5B"/>
          <w:sz w:val="24"/>
          <w:szCs w:val="24"/>
        </w:rPr>
        <w:t xml:space="preserve">, is competent to interpret and control its </w:t>
      </w:r>
      <w:r w:rsidRPr="00C91A04">
        <w:rPr>
          <w:rStyle w:val="y2iqfc"/>
          <w:rFonts w:asciiTheme="majorHAnsi" w:hAnsiTheme="majorHAnsi" w:cstheme="majorHAnsi"/>
          <w:b/>
          <w:bCs/>
          <w:color w:val="2C2D5B"/>
          <w:sz w:val="24"/>
          <w:szCs w:val="24"/>
        </w:rPr>
        <w:t>proper</w:t>
      </w:r>
      <w:r w:rsidR="00761FF8" w:rsidRPr="00C91A04">
        <w:rPr>
          <w:rStyle w:val="y2iqfc"/>
          <w:rFonts w:asciiTheme="majorHAnsi" w:hAnsiTheme="majorHAnsi" w:cstheme="majorHAnsi"/>
          <w:b/>
          <w:bCs/>
          <w:color w:val="2C2D5B"/>
          <w:sz w:val="24"/>
          <w:szCs w:val="24"/>
        </w:rPr>
        <w:t xml:space="preserve"> application by both the Member States and all the Union’s institutions and bodies.</w:t>
      </w:r>
      <w:r w:rsidR="00761FF8" w:rsidRPr="00C91A04">
        <w:rPr>
          <w:rStyle w:val="y2iqfc"/>
          <w:rFonts w:asciiTheme="majorHAnsi" w:hAnsiTheme="majorHAnsi" w:cstheme="majorHAnsi"/>
          <w:color w:val="2C2D5B"/>
          <w:sz w:val="24"/>
          <w:szCs w:val="24"/>
        </w:rPr>
        <w:t xml:space="preserve"> Furthermore, </w:t>
      </w:r>
      <w:r w:rsidRPr="00C91A04">
        <w:rPr>
          <w:rStyle w:val="y2iqfc"/>
          <w:rFonts w:asciiTheme="majorHAnsi" w:hAnsiTheme="majorHAnsi" w:cstheme="majorHAnsi"/>
          <w:color w:val="2C2D5B"/>
          <w:sz w:val="24"/>
          <w:szCs w:val="24"/>
        </w:rPr>
        <w:t xml:space="preserve">under </w:t>
      </w:r>
      <w:r w:rsidR="00566271" w:rsidRPr="00C91A04">
        <w:rPr>
          <w:rStyle w:val="y2iqfc"/>
          <w:rFonts w:asciiTheme="majorHAnsi" w:hAnsiTheme="majorHAnsi" w:cstheme="majorHAnsi"/>
          <w:color w:val="2C2D5B"/>
          <w:sz w:val="24"/>
          <w:szCs w:val="24"/>
        </w:rPr>
        <w:t xml:space="preserve">the principle of primacy, national </w:t>
      </w:r>
      <w:r w:rsidRPr="00C91A04">
        <w:rPr>
          <w:rStyle w:val="y2iqfc"/>
          <w:rFonts w:asciiTheme="majorHAnsi" w:hAnsiTheme="majorHAnsi" w:cstheme="majorHAnsi"/>
          <w:color w:val="2C2D5B"/>
          <w:sz w:val="24"/>
          <w:szCs w:val="24"/>
        </w:rPr>
        <w:t>courts</w:t>
      </w:r>
      <w:r w:rsidR="00566271" w:rsidRPr="00C91A04">
        <w:rPr>
          <w:rStyle w:val="y2iqfc"/>
          <w:rFonts w:asciiTheme="majorHAnsi" w:hAnsiTheme="majorHAnsi" w:cstheme="majorHAnsi"/>
          <w:color w:val="2C2D5B"/>
          <w:sz w:val="24"/>
          <w:szCs w:val="24"/>
        </w:rPr>
        <w:t xml:space="preserve"> </w:t>
      </w:r>
      <w:r w:rsidRPr="00C91A04">
        <w:rPr>
          <w:rStyle w:val="y2iqfc"/>
          <w:rFonts w:asciiTheme="majorHAnsi" w:hAnsiTheme="majorHAnsi" w:cstheme="majorHAnsi"/>
          <w:color w:val="2C2D5B"/>
          <w:sz w:val="24"/>
          <w:szCs w:val="24"/>
        </w:rPr>
        <w:t>are</w:t>
      </w:r>
      <w:r w:rsidR="00566271" w:rsidRPr="00C91A04">
        <w:rPr>
          <w:rStyle w:val="y2iqfc"/>
          <w:rFonts w:asciiTheme="majorHAnsi" w:hAnsiTheme="majorHAnsi" w:cstheme="majorHAnsi"/>
          <w:color w:val="2C2D5B"/>
          <w:sz w:val="24"/>
          <w:szCs w:val="24"/>
        </w:rPr>
        <w:t xml:space="preserve"> oblig</w:t>
      </w:r>
      <w:r w:rsidRPr="00C91A04">
        <w:rPr>
          <w:rStyle w:val="y2iqfc"/>
          <w:rFonts w:asciiTheme="majorHAnsi" w:hAnsiTheme="majorHAnsi" w:cstheme="majorHAnsi"/>
          <w:color w:val="2C2D5B"/>
          <w:sz w:val="24"/>
          <w:szCs w:val="24"/>
        </w:rPr>
        <w:t>ed</w:t>
      </w:r>
      <w:r w:rsidR="00566271" w:rsidRPr="00C91A04">
        <w:rPr>
          <w:rStyle w:val="y2iqfc"/>
          <w:rFonts w:asciiTheme="majorHAnsi" w:hAnsiTheme="majorHAnsi" w:cstheme="majorHAnsi"/>
          <w:color w:val="2C2D5B"/>
          <w:sz w:val="24"/>
          <w:szCs w:val="24"/>
        </w:rPr>
        <w:t xml:space="preserve"> to </w:t>
      </w:r>
      <w:r w:rsidRPr="00C91A04">
        <w:rPr>
          <w:rStyle w:val="y2iqfc"/>
          <w:rFonts w:asciiTheme="majorHAnsi" w:hAnsiTheme="majorHAnsi" w:cstheme="majorHAnsi"/>
          <w:color w:val="2C2D5B"/>
          <w:sz w:val="24"/>
          <w:szCs w:val="24"/>
        </w:rPr>
        <w:t>ensure</w:t>
      </w:r>
      <w:r w:rsidR="00566271" w:rsidRPr="00C91A04">
        <w:rPr>
          <w:rStyle w:val="y2iqfc"/>
          <w:rFonts w:asciiTheme="majorHAnsi" w:hAnsiTheme="majorHAnsi" w:cstheme="majorHAnsi"/>
          <w:color w:val="2C2D5B"/>
          <w:sz w:val="24"/>
          <w:szCs w:val="24"/>
        </w:rPr>
        <w:t xml:space="preserve"> the effective application of</w:t>
      </w:r>
      <w:r w:rsidR="002F07B8" w:rsidRPr="00C91A04">
        <w:rPr>
          <w:rStyle w:val="y2iqfc"/>
          <w:rFonts w:asciiTheme="majorHAnsi" w:hAnsiTheme="majorHAnsi" w:cstheme="majorHAnsi"/>
          <w:color w:val="2C2D5B"/>
          <w:sz w:val="24"/>
          <w:szCs w:val="24"/>
        </w:rPr>
        <w:t xml:space="preserve"> </w:t>
      </w:r>
      <w:r w:rsidR="00566271" w:rsidRPr="00C91A04">
        <w:rPr>
          <w:rStyle w:val="y2iqfc"/>
          <w:rFonts w:asciiTheme="majorHAnsi" w:hAnsiTheme="majorHAnsi" w:cstheme="majorHAnsi"/>
          <w:color w:val="2C2D5B"/>
          <w:sz w:val="24"/>
          <w:szCs w:val="24"/>
        </w:rPr>
        <w:t>European Union</w:t>
      </w:r>
      <w:r w:rsidR="00761FF8" w:rsidRPr="00C91A04">
        <w:rPr>
          <w:rStyle w:val="y2iqfc"/>
          <w:rFonts w:asciiTheme="majorHAnsi" w:hAnsiTheme="majorHAnsi" w:cstheme="majorHAnsi"/>
          <w:color w:val="2C2D5B"/>
          <w:sz w:val="24"/>
          <w:szCs w:val="24"/>
        </w:rPr>
        <w:t xml:space="preserve"> Law</w:t>
      </w:r>
      <w:r w:rsidR="00566271" w:rsidRPr="00C91A04">
        <w:rPr>
          <w:rStyle w:val="y2iqfc"/>
          <w:rFonts w:asciiTheme="majorHAnsi" w:hAnsiTheme="majorHAnsi" w:cstheme="majorHAnsi"/>
          <w:color w:val="2C2D5B"/>
          <w:sz w:val="24"/>
          <w:szCs w:val="24"/>
        </w:rPr>
        <w:t>.</w:t>
      </w:r>
    </w:p>
    <w:p w14:paraId="2FB2E053" w14:textId="77777777" w:rsidR="00BE2184" w:rsidRPr="00BE2184" w:rsidRDefault="00BE2184" w:rsidP="00F37B27">
      <w:pPr>
        <w:pStyle w:val="FormtovanvHTML"/>
        <w:spacing w:after="120" w:line="276" w:lineRule="auto"/>
        <w:jc w:val="both"/>
        <w:rPr>
          <w:rStyle w:val="y2iqfc"/>
          <w:rFonts w:asciiTheme="majorHAnsi" w:hAnsiTheme="majorHAnsi" w:cstheme="majorHAnsi"/>
          <w:color w:val="1F1F1F"/>
          <w:sz w:val="24"/>
          <w:szCs w:val="24"/>
        </w:rPr>
      </w:pPr>
    </w:p>
    <w:p w14:paraId="42393852" w14:textId="77777777" w:rsidR="00C91A04" w:rsidRDefault="00C91A04" w:rsidP="00F37B27">
      <w:pPr>
        <w:pStyle w:val="FormtovanvHTML"/>
        <w:spacing w:after="120" w:line="276" w:lineRule="auto"/>
        <w:jc w:val="both"/>
        <w:rPr>
          <w:rStyle w:val="y2iqfc"/>
          <w:rFonts w:asciiTheme="majorHAnsi" w:hAnsiTheme="majorHAnsi" w:cstheme="majorHAnsi"/>
          <w:b/>
          <w:bCs/>
          <w:i/>
          <w:iCs/>
          <w:color w:val="2F5496" w:themeColor="accent1" w:themeShade="BF"/>
          <w:sz w:val="26"/>
          <w:szCs w:val="26"/>
        </w:rPr>
      </w:pPr>
    </w:p>
    <w:p w14:paraId="32816F63" w14:textId="77777777" w:rsidR="00C91A04" w:rsidRDefault="00C91A04" w:rsidP="00F37B27">
      <w:pPr>
        <w:pStyle w:val="FormtovanvHTML"/>
        <w:spacing w:after="120" w:line="276" w:lineRule="auto"/>
        <w:jc w:val="both"/>
        <w:rPr>
          <w:rStyle w:val="y2iqfc"/>
          <w:rFonts w:asciiTheme="majorHAnsi" w:hAnsiTheme="majorHAnsi" w:cstheme="majorHAnsi"/>
          <w:b/>
          <w:bCs/>
          <w:i/>
          <w:iCs/>
          <w:color w:val="2F5496" w:themeColor="accent1" w:themeShade="BF"/>
          <w:sz w:val="26"/>
          <w:szCs w:val="26"/>
        </w:rPr>
      </w:pPr>
    </w:p>
    <w:p w14:paraId="16A7F771" w14:textId="77777777" w:rsidR="00C91A04" w:rsidRDefault="00C91A04" w:rsidP="00F37B27">
      <w:pPr>
        <w:pStyle w:val="FormtovanvHTML"/>
        <w:spacing w:after="120" w:line="276" w:lineRule="auto"/>
        <w:jc w:val="both"/>
        <w:rPr>
          <w:rStyle w:val="y2iqfc"/>
          <w:rFonts w:asciiTheme="majorHAnsi" w:hAnsiTheme="majorHAnsi" w:cstheme="majorHAnsi"/>
          <w:b/>
          <w:bCs/>
          <w:i/>
          <w:iCs/>
          <w:color w:val="2F5496" w:themeColor="accent1" w:themeShade="BF"/>
          <w:sz w:val="26"/>
          <w:szCs w:val="26"/>
        </w:rPr>
      </w:pPr>
    </w:p>
    <w:p w14:paraId="735FE558" w14:textId="77777777" w:rsidR="00C91A04" w:rsidRDefault="00C91A04" w:rsidP="00F37B27">
      <w:pPr>
        <w:pStyle w:val="FormtovanvHTML"/>
        <w:spacing w:after="120" w:line="276" w:lineRule="auto"/>
        <w:jc w:val="both"/>
        <w:rPr>
          <w:rStyle w:val="y2iqfc"/>
          <w:rFonts w:asciiTheme="majorHAnsi" w:hAnsiTheme="majorHAnsi" w:cstheme="majorHAnsi"/>
          <w:b/>
          <w:bCs/>
          <w:i/>
          <w:iCs/>
          <w:color w:val="2F5496" w:themeColor="accent1" w:themeShade="BF"/>
          <w:sz w:val="26"/>
          <w:szCs w:val="26"/>
        </w:rPr>
      </w:pPr>
    </w:p>
    <w:p w14:paraId="1350848F" w14:textId="40EE59FA" w:rsidR="00E53C77" w:rsidRPr="002F07B8" w:rsidRDefault="00E53C77" w:rsidP="00F37B27">
      <w:pPr>
        <w:pStyle w:val="FormtovanvHTML"/>
        <w:spacing w:after="120" w:line="276" w:lineRule="auto"/>
        <w:jc w:val="both"/>
        <w:rPr>
          <w:rStyle w:val="y2iqfc"/>
          <w:rFonts w:asciiTheme="majorHAnsi" w:hAnsiTheme="majorHAnsi" w:cstheme="majorHAnsi"/>
          <w:b/>
          <w:bCs/>
          <w:i/>
          <w:iCs/>
          <w:color w:val="2F5496" w:themeColor="accent1" w:themeShade="BF"/>
          <w:sz w:val="26"/>
          <w:szCs w:val="26"/>
        </w:rPr>
      </w:pPr>
      <w:r w:rsidRPr="002F07B8">
        <w:rPr>
          <w:rStyle w:val="y2iqfc"/>
          <w:rFonts w:asciiTheme="majorHAnsi" w:hAnsiTheme="majorHAnsi" w:cstheme="majorHAnsi"/>
          <w:b/>
          <w:bCs/>
          <w:i/>
          <w:iCs/>
          <w:color w:val="2F5496" w:themeColor="accent1" w:themeShade="BF"/>
          <w:sz w:val="26"/>
          <w:szCs w:val="26"/>
        </w:rPr>
        <w:t>The role of Lawyers in Safeguarding Fundamental Rights</w:t>
      </w:r>
      <w:r w:rsidR="00C91A04">
        <w:rPr>
          <w:rStyle w:val="y2iqfc"/>
          <w:rFonts w:asciiTheme="majorHAnsi" w:hAnsiTheme="majorHAnsi" w:cstheme="majorHAnsi"/>
          <w:b/>
          <w:bCs/>
          <w:i/>
          <w:iCs/>
          <w:color w:val="2F5496" w:themeColor="accent1" w:themeShade="BF"/>
          <w:sz w:val="26"/>
          <w:szCs w:val="26"/>
        </w:rPr>
        <w:t xml:space="preserve"> </w:t>
      </w:r>
      <w:r w:rsidR="00F87908">
        <w:rPr>
          <w:rStyle w:val="y2iqfc"/>
          <w:rFonts w:asciiTheme="majorHAnsi" w:hAnsiTheme="majorHAnsi" w:cstheme="majorHAnsi"/>
          <w:b/>
          <w:bCs/>
          <w:i/>
          <w:iCs/>
          <w:color w:val="2F5496" w:themeColor="accent1" w:themeShade="BF"/>
          <w:sz w:val="26"/>
          <w:szCs w:val="26"/>
        </w:rPr>
        <w:t>:</w:t>
      </w:r>
    </w:p>
    <w:p w14:paraId="5F0EDD54" w14:textId="058E486C" w:rsidR="00AD5567" w:rsidRPr="00C91A04" w:rsidRDefault="00566271" w:rsidP="00E57788">
      <w:pPr>
        <w:spacing w:after="120" w:line="276" w:lineRule="auto"/>
        <w:jc w:val="both"/>
        <w:rPr>
          <w:rStyle w:val="y2iqfc"/>
          <w:rFonts w:asciiTheme="majorHAnsi" w:hAnsiTheme="majorHAnsi" w:cstheme="majorHAnsi"/>
          <w:color w:val="2C2D5B"/>
        </w:rPr>
      </w:pPr>
      <w:r w:rsidRPr="00C91A04">
        <w:rPr>
          <w:rStyle w:val="y2iqfc"/>
          <w:rFonts w:asciiTheme="majorHAnsi" w:hAnsiTheme="majorHAnsi" w:cstheme="majorHAnsi"/>
          <w:color w:val="2C2D5B"/>
        </w:rPr>
        <w:t>In matters that affect fundamental rights, lawyer</w:t>
      </w:r>
      <w:r w:rsidR="00AD5567" w:rsidRPr="00C91A04">
        <w:rPr>
          <w:rStyle w:val="y2iqfc"/>
          <w:rFonts w:asciiTheme="majorHAnsi" w:hAnsiTheme="majorHAnsi" w:cstheme="majorHAnsi"/>
          <w:color w:val="2C2D5B"/>
        </w:rPr>
        <w:t>s have an</w:t>
      </w:r>
      <w:r w:rsidR="002F07B8" w:rsidRPr="00C91A04">
        <w:rPr>
          <w:rStyle w:val="y2iqfc"/>
          <w:rFonts w:asciiTheme="majorHAnsi" w:hAnsiTheme="majorHAnsi" w:cstheme="majorHAnsi"/>
          <w:color w:val="2C2D5B"/>
        </w:rPr>
        <w:t xml:space="preserve"> </w:t>
      </w:r>
      <w:r w:rsidRPr="00C91A04">
        <w:rPr>
          <w:rStyle w:val="y2iqfc"/>
          <w:rFonts w:asciiTheme="majorHAnsi" w:hAnsiTheme="majorHAnsi" w:cstheme="majorHAnsi"/>
          <w:color w:val="2C2D5B"/>
        </w:rPr>
        <w:t>essential</w:t>
      </w:r>
      <w:r w:rsidR="00AD5567" w:rsidRPr="00C91A04">
        <w:rPr>
          <w:rStyle w:val="y2iqfc"/>
          <w:rFonts w:asciiTheme="majorHAnsi" w:hAnsiTheme="majorHAnsi" w:cstheme="majorHAnsi"/>
          <w:color w:val="2C2D5B"/>
        </w:rPr>
        <w:t xml:space="preserve"> role</w:t>
      </w:r>
      <w:r w:rsidRPr="00C91A04">
        <w:rPr>
          <w:rStyle w:val="y2iqfc"/>
          <w:rFonts w:asciiTheme="majorHAnsi" w:hAnsiTheme="majorHAnsi" w:cstheme="majorHAnsi"/>
          <w:color w:val="2C2D5B"/>
        </w:rPr>
        <w:t xml:space="preserve"> in their protection.</w:t>
      </w:r>
      <w:r w:rsidR="00AD5567" w:rsidRPr="00C91A04">
        <w:rPr>
          <w:rStyle w:val="y2iqfc"/>
          <w:rFonts w:asciiTheme="majorHAnsi" w:hAnsiTheme="majorHAnsi" w:cstheme="majorHAnsi"/>
          <w:color w:val="2C2D5B"/>
        </w:rPr>
        <w:t xml:space="preserve"> Since a case may fall within both the EU and the Council of Europe’s jurisdiction, lawyers must: </w:t>
      </w:r>
    </w:p>
    <w:p w14:paraId="044D29E5" w14:textId="7E97F9AB" w:rsidR="00AD5567" w:rsidRPr="00C91A04" w:rsidRDefault="00AD5567" w:rsidP="008B4B98">
      <w:pPr>
        <w:pStyle w:val="Odstavecseseznamem"/>
        <w:numPr>
          <w:ilvl w:val="0"/>
          <w:numId w:val="12"/>
        </w:numPr>
        <w:spacing w:after="120" w:line="276" w:lineRule="auto"/>
        <w:jc w:val="both"/>
        <w:rPr>
          <w:rStyle w:val="y2iqfc"/>
          <w:rFonts w:asciiTheme="majorHAnsi" w:hAnsiTheme="majorHAnsi" w:cstheme="majorHAnsi"/>
          <w:color w:val="2C2D5B"/>
        </w:rPr>
      </w:pPr>
      <w:r w:rsidRPr="00C91A04">
        <w:rPr>
          <w:rStyle w:val="y2iqfc"/>
          <w:rFonts w:asciiTheme="majorHAnsi" w:hAnsiTheme="majorHAnsi" w:cstheme="majorHAnsi"/>
          <w:color w:val="2C2D5B"/>
        </w:rPr>
        <w:t xml:space="preserve">Evaluate the scope and limitations of the ECHR and the EChFR and assess the interactions between these two systems. </w:t>
      </w:r>
    </w:p>
    <w:p w14:paraId="15BB0363" w14:textId="3A4E8CC9" w:rsidR="00566271" w:rsidRPr="00C91A04" w:rsidRDefault="00AD5567" w:rsidP="00E57788">
      <w:pPr>
        <w:pStyle w:val="Odstavecseseznamem"/>
        <w:numPr>
          <w:ilvl w:val="0"/>
          <w:numId w:val="12"/>
        </w:numPr>
        <w:spacing w:after="120" w:line="276" w:lineRule="auto"/>
        <w:jc w:val="both"/>
        <w:rPr>
          <w:rFonts w:asciiTheme="majorHAnsi" w:hAnsiTheme="majorHAnsi" w:cstheme="majorHAnsi"/>
          <w:color w:val="2C2D5B"/>
        </w:rPr>
      </w:pPr>
      <w:r w:rsidRPr="00C91A04">
        <w:rPr>
          <w:rStyle w:val="y2iqfc"/>
          <w:rFonts w:asciiTheme="majorHAnsi" w:hAnsiTheme="majorHAnsi" w:cstheme="majorHAnsi"/>
          <w:color w:val="2C2D5B"/>
        </w:rPr>
        <w:t>Ut</w:t>
      </w:r>
      <w:r w:rsidR="009F1BE9" w:rsidRPr="00C91A04">
        <w:rPr>
          <w:rStyle w:val="y2iqfc"/>
          <w:rFonts w:asciiTheme="majorHAnsi" w:hAnsiTheme="majorHAnsi" w:cstheme="majorHAnsi"/>
          <w:color w:val="2C2D5B"/>
        </w:rPr>
        <w:t>ilise the u</w:t>
      </w:r>
      <w:r w:rsidRPr="00C91A04">
        <w:rPr>
          <w:rStyle w:val="y2iqfc"/>
          <w:rFonts w:asciiTheme="majorHAnsi" w:hAnsiTheme="majorHAnsi" w:cstheme="majorHAnsi"/>
          <w:color w:val="2C2D5B"/>
        </w:rPr>
        <w:t>nique feature of EU law that allows for a direct reference to the CJEU for a preliminary ruling without exhausting national remedies, unlike the ECHR.</w:t>
      </w:r>
    </w:p>
    <w:p w14:paraId="44317BDD" w14:textId="65752CDE" w:rsidR="004F6D98" w:rsidRDefault="00DF5FDC" w:rsidP="00F37B27">
      <w:pPr>
        <w:pStyle w:val="FormtovanvHTML"/>
        <w:spacing w:after="120" w:line="276" w:lineRule="auto"/>
        <w:jc w:val="both"/>
        <w:rPr>
          <w:rStyle w:val="y2iqfc"/>
          <w:rFonts w:ascii="Calibri" w:hAnsi="Calibri" w:cs="Calibri"/>
          <w:b/>
          <w:bCs/>
          <w:color w:val="1F1F1F"/>
          <w:sz w:val="24"/>
          <w:szCs w:val="24"/>
        </w:rPr>
      </w:pPr>
      <w:r>
        <w:rPr>
          <w:rFonts w:ascii="Calibri" w:hAnsi="Calibri" w:cs="Calibri"/>
          <w:noProof/>
          <w:color w:val="1F1F1F"/>
          <w14:ligatures w14:val="standardContextual"/>
        </w:rPr>
        <mc:AlternateContent>
          <mc:Choice Requires="wps">
            <w:drawing>
              <wp:anchor distT="0" distB="0" distL="114300" distR="114300" simplePos="0" relativeHeight="251793408" behindDoc="0" locked="0" layoutInCell="1" allowOverlap="1" wp14:anchorId="7107EF43" wp14:editId="14F5AE08">
                <wp:simplePos x="0" y="0"/>
                <wp:positionH relativeFrom="column">
                  <wp:posOffset>-38735</wp:posOffset>
                </wp:positionH>
                <wp:positionV relativeFrom="paragraph">
                  <wp:posOffset>144780</wp:posOffset>
                </wp:positionV>
                <wp:extent cx="5645150" cy="990600"/>
                <wp:effectExtent l="0" t="0" r="12700" b="19050"/>
                <wp:wrapNone/>
                <wp:docPr id="1365819645" name="Rectangle : coins arrondis 68"/>
                <wp:cNvGraphicFramePr/>
                <a:graphic xmlns:a="http://schemas.openxmlformats.org/drawingml/2006/main">
                  <a:graphicData uri="http://schemas.microsoft.com/office/word/2010/wordprocessingShape">
                    <wps:wsp>
                      <wps:cNvSpPr/>
                      <wps:spPr>
                        <a:xfrm>
                          <a:off x="0" y="0"/>
                          <a:ext cx="5645150" cy="990600"/>
                        </a:xfrm>
                        <a:prstGeom prst="roundRect">
                          <a:avLst/>
                        </a:prstGeom>
                        <a:solidFill>
                          <a:schemeClr val="bg1"/>
                        </a:solidFill>
                        <a:ln w="19050">
                          <a:solidFill>
                            <a:srgbClr val="C9CAE5"/>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3FAB0AD" w14:textId="12FEB326" w:rsidR="004F6D98" w:rsidRPr="004F6D98" w:rsidRDefault="008B5458" w:rsidP="004F6D98">
                            <w:pPr>
                              <w:jc w:val="both"/>
                              <w:rPr>
                                <w:sz w:val="22"/>
                                <w:szCs w:val="22"/>
                              </w:rPr>
                            </w:pPr>
                            <w:r>
                              <w:rPr>
                                <w:rFonts w:ascii="Calibri" w:hAnsi="Calibri" w:cs="Calibri"/>
                                <w:b/>
                                <w:bCs/>
                                <w:i/>
                                <w:iCs/>
                                <w:noProof/>
                                <w:color w:val="1F1F1F"/>
                                <w:sz w:val="22"/>
                                <w:szCs w:val="22"/>
                                <w14:ligatures w14:val="standardContextual"/>
                              </w:rPr>
                              <w:drawing>
                                <wp:inline distT="0" distB="0" distL="0" distR="0" wp14:anchorId="6A51859D" wp14:editId="2E2A48AB">
                                  <wp:extent cx="295275" cy="295275"/>
                                  <wp:effectExtent l="0" t="0" r="9525" b="9525"/>
                                  <wp:docPr id="1007772629" name="Graphique 56" descr="Lumières allumées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845285" name="Graphique 611845285" descr="Lumières allumées avec un remplissage uni"/>
                                          <pic:cNvPicPr/>
                                        </pic:nvPicPr>
                                        <pic:blipFill>
                                          <a:blip r:embed="rId39">
                                            <a:extLst>
                                              <a:ext uri="{96DAC541-7B7A-43D3-8B79-37D633B846F1}">
                                                <asvg:svgBlip xmlns:asvg="http://schemas.microsoft.com/office/drawing/2016/SVG/main" r:embed="rId40"/>
                                              </a:ext>
                                            </a:extLst>
                                          </a:blip>
                                          <a:stretch>
                                            <a:fillRect/>
                                          </a:stretch>
                                        </pic:blipFill>
                                        <pic:spPr>
                                          <a:xfrm>
                                            <a:off x="0" y="0"/>
                                            <a:ext cx="295275" cy="295275"/>
                                          </a:xfrm>
                                          <a:prstGeom prst="rect">
                                            <a:avLst/>
                                          </a:prstGeom>
                                        </pic:spPr>
                                      </pic:pic>
                                    </a:graphicData>
                                  </a:graphic>
                                </wp:inline>
                              </w:drawing>
                            </w:r>
                            <w:r w:rsidR="004F6D98" w:rsidRPr="004F6D98">
                              <w:rPr>
                                <w:rStyle w:val="y2iqfc"/>
                                <w:rFonts w:ascii="Calibri" w:hAnsi="Calibri" w:cs="Calibri"/>
                                <w:b/>
                                <w:bCs/>
                                <w:i/>
                                <w:iCs/>
                                <w:color w:val="1F1F1F"/>
                                <w:sz w:val="22"/>
                                <w:szCs w:val="22"/>
                              </w:rPr>
                              <w:t>Strategy tip</w:t>
                            </w:r>
                            <w:r w:rsidR="00C91A04">
                              <w:rPr>
                                <w:rStyle w:val="y2iqfc"/>
                                <w:rFonts w:ascii="Calibri" w:hAnsi="Calibri" w:cs="Calibri"/>
                                <w:b/>
                                <w:bCs/>
                                <w:i/>
                                <w:iCs/>
                                <w:color w:val="1F1F1F"/>
                                <w:sz w:val="22"/>
                                <w:szCs w:val="22"/>
                              </w:rPr>
                              <w:t xml:space="preserve"> </w:t>
                            </w:r>
                            <w:r w:rsidR="004F6D98" w:rsidRPr="004F6D98">
                              <w:rPr>
                                <w:rStyle w:val="y2iqfc"/>
                                <w:rFonts w:ascii="Calibri" w:hAnsi="Calibri" w:cs="Calibri"/>
                                <w:b/>
                                <w:bCs/>
                                <w:i/>
                                <w:iCs/>
                                <w:color w:val="1F1F1F"/>
                                <w:sz w:val="22"/>
                                <w:szCs w:val="22"/>
                              </w:rPr>
                              <w:t xml:space="preserve">: </w:t>
                            </w:r>
                            <w:r w:rsidR="004F6D98" w:rsidRPr="00C91A04">
                              <w:rPr>
                                <w:rStyle w:val="y2iqfc"/>
                                <w:rFonts w:ascii="Calibri" w:hAnsi="Calibri" w:cs="Calibri"/>
                                <w:i/>
                                <w:iCs/>
                                <w:color w:val="2C2D5B"/>
                                <w:sz w:val="22"/>
                                <w:szCs w:val="22"/>
                              </w:rPr>
                              <w:t>Whenever possible, a detailed analysis must be presented to the national judge in order to determine the scope, meaning and level of protection of the fundamental rights in question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w14:anchorId="7107EF43" id="Rectangle : coins arrondis 68" o:spid="_x0000_s1048" style="position:absolute;left:0;text-align:left;margin-left:-3.05pt;margin-top:11.4pt;width:444.5pt;height:78pt;z-index:251793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oVMmAIAAKkFAAAOAAAAZHJzL2Uyb0RvYy54bWysVE1v2zAMvQ/YfxB0X20HSbcEdYogXYcB&#10;RVe0HXpWZCkWIIuapMTOfv0o2XH6hR2GXWxRJB/JJ5IXl12jyV44r8CUtDjLKRGGQ6XMtqQ/H68/&#10;faHEB2YqpsGIkh6Ep5fLjx8uWrsQE6hBV8IRBDF+0dqS1iHYRZZ5XouG+TOwwqBSgmtYQNFts8qx&#10;FtEbnU3y/DxrwVXWARfe4+1Vr6TLhC+l4OGHlF4EokuKuYX0dem7id9secEWW8dsrfiQBvuHLBqm&#10;DAYdoa5YYGTn1BuoRnEHHmQ449BkIKXiItWA1RT5q2oeamZFqgXJ8Xakyf8/WH67f7B3DmlorV94&#10;PMYqOuma+Mf8SJfIOoxkiS4Qjpez8+msmCGnHHXzeX6eJzazk7d1PnwT0JB4KKmDnanu8UUSUWx/&#10;4wOGRfujXYzoQavqWmmdhNgFYq0d2TN8v822iO+FHi+stCEttt48x2TeQrjtZgRYz9err7O3GIio&#10;DQKfKEincNAiAmpzLyRRFRY96SO8zItxLkwoelXNKtGni+SMlKR+jpWk9BNgRJZY6Ig9ALyP3dc9&#10;2EdXkZp7dB5K/5vz6JEigwmjc6MMuPcq01jVELm3P5LUUxNZCt2mQ26Qmkk0jVcbqA53jjjop81b&#10;fq2wA26YD3fM4Xhh0+DKCD/wIzXg48FwoqQG9/u9+2iPXY9aSloc15L6XzvmBCX6u8F5mBfTaZzv&#10;JExnnycouOeazXON2TVrwI4qcDlZno7RPujjUTponnCzrGJUVDHDMXZJeXBHYR36NYK7iYvVKpnh&#10;TFsWbsyD5RE8Eh2b+7F7Ys4OYxBwgG7hONps8WoQetvoaWC1CyBVmpITr8MT4D5IvTTsrrhwnsvJ&#10;6rRhl38AAAD//wMAUEsDBBQABgAIAAAAIQDZ92FS3wAAAAkBAAAPAAAAZHJzL2Rvd25yZXYueG1s&#10;TI/BTsMwEETvSPyDtUjcWiehCm6IUyEkhMQF0fbA0YmXJDReR7HbhL9nOcFxNU+zb8rd4gZxwSn0&#10;njSk6wQEUuNtT62G4+F5pUCEaMiawRNq+MYAu+r6qjSF9TO942UfW8ElFAqjoYtxLKQMTYfOhLUf&#10;kTj79JMzkc+plXYyM5e7QWZJkktneuIPnRnxqcPmtD87DS93r4dtN9f+mJ4W+/XWbz7yfKP17c3y&#10;+AAi4hL/YPjVZ3Wo2Kn2Z7JBDBpWecqkhizjBZwrlW1B1AzeKwWyKuX/BdUPAAAA//8DAFBLAQIt&#10;ABQABgAIAAAAIQC2gziS/gAAAOEBAAATAAAAAAAAAAAAAAAAAAAAAABbQ29udGVudF9UeXBlc10u&#10;eG1sUEsBAi0AFAAGAAgAAAAhADj9If/WAAAAlAEAAAsAAAAAAAAAAAAAAAAALwEAAF9yZWxzLy5y&#10;ZWxzUEsBAi0AFAAGAAgAAAAhABnOhUyYAgAAqQUAAA4AAAAAAAAAAAAAAAAALgIAAGRycy9lMm9E&#10;b2MueG1sUEsBAi0AFAAGAAgAAAAhANn3YVLfAAAACQEAAA8AAAAAAAAAAAAAAAAA8gQAAGRycy9k&#10;b3ducmV2LnhtbFBLBQYAAAAABAAEAPMAAAD+BQAAAAA=&#10;" fillcolor="white [3212]" strokecolor="#c9cae5" strokeweight="1.5pt">
                <v:stroke joinstyle="miter"/>
                <v:textbox>
                  <w:txbxContent>
                    <w:p w14:paraId="43FAB0AD" w14:textId="12FEB326" w:rsidR="004F6D98" w:rsidRPr="004F6D98" w:rsidRDefault="008B5458" w:rsidP="004F6D98">
                      <w:pPr>
                        <w:jc w:val="both"/>
                        <w:rPr>
                          <w:sz w:val="22"/>
                          <w:szCs w:val="22"/>
                        </w:rPr>
                      </w:pPr>
                      <w:r>
                        <w:rPr>
                          <w:rFonts w:ascii="Calibri" w:hAnsi="Calibri" w:cs="Calibri"/>
                          <w:b/>
                          <w:bCs/>
                          <w:i/>
                          <w:iCs/>
                          <w:noProof/>
                          <w:color w:val="1F1F1F"/>
                          <w:sz w:val="22"/>
                          <w:szCs w:val="22"/>
                          <w14:ligatures w14:val="standardContextual"/>
                        </w:rPr>
                        <w:drawing>
                          <wp:inline distT="0" distB="0" distL="0" distR="0" wp14:anchorId="6A51859D" wp14:editId="2E2A48AB">
                            <wp:extent cx="295275" cy="295275"/>
                            <wp:effectExtent l="0" t="0" r="9525" b="9525"/>
                            <wp:docPr id="1007772629" name="Graphique 56" descr="Lumières allumées avec un remplissage u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845285" name="Graphique 611845285" descr="Lumières allumées avec un remplissage uni"/>
                                    <pic:cNvPicPr/>
                                  </pic:nvPicPr>
                                  <pic:blipFill>
                                    <a:blip r:embed="rId45">
                                      <a:extLst>
                                        <a:ext uri="{96DAC541-7B7A-43D3-8B79-37D633B846F1}">
                                          <asvg:svgBlip xmlns:asvg="http://schemas.microsoft.com/office/drawing/2016/SVG/main" r:embed="rId46"/>
                                        </a:ext>
                                      </a:extLst>
                                    </a:blip>
                                    <a:stretch>
                                      <a:fillRect/>
                                    </a:stretch>
                                  </pic:blipFill>
                                  <pic:spPr>
                                    <a:xfrm>
                                      <a:off x="0" y="0"/>
                                      <a:ext cx="295275" cy="295275"/>
                                    </a:xfrm>
                                    <a:prstGeom prst="rect">
                                      <a:avLst/>
                                    </a:prstGeom>
                                  </pic:spPr>
                                </pic:pic>
                              </a:graphicData>
                            </a:graphic>
                          </wp:inline>
                        </w:drawing>
                      </w:r>
                      <w:r w:rsidR="004F6D98" w:rsidRPr="004F6D98">
                        <w:rPr>
                          <w:rStyle w:val="y2iqfc"/>
                          <w:rFonts w:ascii="Calibri" w:hAnsi="Calibri" w:cs="Calibri"/>
                          <w:b/>
                          <w:bCs/>
                          <w:i/>
                          <w:iCs/>
                          <w:color w:val="1F1F1F"/>
                          <w:sz w:val="22"/>
                          <w:szCs w:val="22"/>
                        </w:rPr>
                        <w:t>Strategy tip</w:t>
                      </w:r>
                      <w:r w:rsidR="00C91A04">
                        <w:rPr>
                          <w:rStyle w:val="y2iqfc"/>
                          <w:rFonts w:ascii="Calibri" w:hAnsi="Calibri" w:cs="Calibri"/>
                          <w:b/>
                          <w:bCs/>
                          <w:i/>
                          <w:iCs/>
                          <w:color w:val="1F1F1F"/>
                          <w:sz w:val="22"/>
                          <w:szCs w:val="22"/>
                        </w:rPr>
                        <w:t xml:space="preserve"> </w:t>
                      </w:r>
                      <w:r w:rsidR="004F6D98" w:rsidRPr="004F6D98">
                        <w:rPr>
                          <w:rStyle w:val="y2iqfc"/>
                          <w:rFonts w:ascii="Calibri" w:hAnsi="Calibri" w:cs="Calibri"/>
                          <w:b/>
                          <w:bCs/>
                          <w:i/>
                          <w:iCs/>
                          <w:color w:val="1F1F1F"/>
                          <w:sz w:val="22"/>
                          <w:szCs w:val="22"/>
                        </w:rPr>
                        <w:t xml:space="preserve">: </w:t>
                      </w:r>
                      <w:r w:rsidR="004F6D98" w:rsidRPr="00C91A04">
                        <w:rPr>
                          <w:rStyle w:val="y2iqfc"/>
                          <w:rFonts w:ascii="Calibri" w:hAnsi="Calibri" w:cs="Calibri"/>
                          <w:i/>
                          <w:iCs/>
                          <w:color w:val="2C2D5B"/>
                          <w:sz w:val="22"/>
                          <w:szCs w:val="22"/>
                        </w:rPr>
                        <w:t>Whenever possible, a detailed analysis must be presented to the national judge in order to determine the scope, meaning and level of protection of the fundamental rights in question</w:t>
                      </w:r>
                    </w:p>
                  </w:txbxContent>
                </v:textbox>
              </v:roundrect>
            </w:pict>
          </mc:Fallback>
        </mc:AlternateContent>
      </w:r>
    </w:p>
    <w:p w14:paraId="23137B96" w14:textId="77777777" w:rsidR="008B5458" w:rsidRDefault="008B5458" w:rsidP="00F37B27">
      <w:pPr>
        <w:pStyle w:val="FormtovanvHTML"/>
        <w:spacing w:after="120" w:line="276" w:lineRule="auto"/>
        <w:jc w:val="both"/>
        <w:rPr>
          <w:rStyle w:val="y2iqfc"/>
          <w:rFonts w:ascii="Calibri" w:hAnsi="Calibri" w:cs="Calibri"/>
          <w:b/>
          <w:bCs/>
          <w:color w:val="1F1F1F"/>
          <w:sz w:val="24"/>
          <w:szCs w:val="24"/>
        </w:rPr>
      </w:pPr>
    </w:p>
    <w:p w14:paraId="614EC16D" w14:textId="77777777" w:rsidR="008B5458" w:rsidRDefault="008B5458" w:rsidP="00F37B27">
      <w:pPr>
        <w:pStyle w:val="FormtovanvHTML"/>
        <w:spacing w:after="120" w:line="276" w:lineRule="auto"/>
        <w:jc w:val="both"/>
        <w:rPr>
          <w:rStyle w:val="y2iqfc"/>
          <w:rFonts w:ascii="Calibri" w:hAnsi="Calibri" w:cs="Calibri"/>
          <w:b/>
          <w:bCs/>
          <w:color w:val="1F1F1F"/>
          <w:sz w:val="24"/>
          <w:szCs w:val="24"/>
        </w:rPr>
      </w:pPr>
    </w:p>
    <w:p w14:paraId="430F9D11" w14:textId="77777777" w:rsidR="008B5458" w:rsidRPr="008B5458" w:rsidRDefault="008B5458" w:rsidP="00F37B27">
      <w:pPr>
        <w:pStyle w:val="FormtovanvHTML"/>
        <w:spacing w:after="120" w:line="276" w:lineRule="auto"/>
        <w:jc w:val="both"/>
        <w:rPr>
          <w:rStyle w:val="y2iqfc"/>
          <w:rFonts w:asciiTheme="majorHAnsi" w:hAnsiTheme="majorHAnsi" w:cstheme="majorHAnsi"/>
          <w:b/>
          <w:bCs/>
          <w:color w:val="1F1F1F"/>
          <w:sz w:val="24"/>
          <w:szCs w:val="24"/>
        </w:rPr>
      </w:pPr>
    </w:p>
    <w:p w14:paraId="759BB2C0" w14:textId="77777777" w:rsidR="00DF5FDC" w:rsidRDefault="00DF5FDC" w:rsidP="00F37B27">
      <w:pPr>
        <w:pStyle w:val="FormtovanvHTML"/>
        <w:spacing w:after="120" w:line="276" w:lineRule="auto"/>
        <w:jc w:val="both"/>
        <w:rPr>
          <w:rStyle w:val="y2iqfc"/>
          <w:rFonts w:asciiTheme="majorHAnsi" w:hAnsiTheme="majorHAnsi" w:cstheme="majorHAnsi"/>
          <w:b/>
          <w:bCs/>
          <w:color w:val="1F1F1F"/>
          <w:sz w:val="24"/>
          <w:szCs w:val="24"/>
        </w:rPr>
      </w:pPr>
    </w:p>
    <w:p w14:paraId="4F2A5A31" w14:textId="27328950" w:rsidR="00BE2184" w:rsidRDefault="00333C1B" w:rsidP="00F37B27">
      <w:pPr>
        <w:pStyle w:val="FormtovanvHTML"/>
        <w:spacing w:after="120" w:line="276" w:lineRule="auto"/>
        <w:jc w:val="both"/>
        <w:rPr>
          <w:rStyle w:val="y2iqfc"/>
          <w:rFonts w:asciiTheme="majorHAnsi" w:hAnsiTheme="majorHAnsi" w:cstheme="majorHAnsi"/>
          <w:b/>
          <w:bCs/>
          <w:color w:val="2F5496" w:themeColor="accent1" w:themeShade="BF"/>
          <w:sz w:val="24"/>
          <w:szCs w:val="24"/>
        </w:rPr>
      </w:pPr>
      <w:r w:rsidRPr="00BE2184">
        <w:rPr>
          <w:rStyle w:val="y2iqfc"/>
          <w:rFonts w:asciiTheme="majorHAnsi" w:hAnsiTheme="majorHAnsi" w:cstheme="majorHAnsi"/>
          <w:b/>
          <w:bCs/>
          <w:i/>
          <w:iCs/>
          <w:color w:val="2F5496" w:themeColor="accent1" w:themeShade="BF"/>
          <w:sz w:val="26"/>
          <w:szCs w:val="26"/>
        </w:rPr>
        <w:t>Triggering the Charter in Proceedings</w:t>
      </w:r>
      <w:r w:rsidR="00C91A04">
        <w:rPr>
          <w:rStyle w:val="y2iqfc"/>
          <w:rFonts w:asciiTheme="majorHAnsi" w:hAnsiTheme="majorHAnsi" w:cstheme="majorHAnsi"/>
          <w:b/>
          <w:bCs/>
          <w:i/>
          <w:iCs/>
          <w:color w:val="2F5496" w:themeColor="accent1" w:themeShade="BF"/>
          <w:sz w:val="26"/>
          <w:szCs w:val="26"/>
        </w:rPr>
        <w:t xml:space="preserve"> </w:t>
      </w:r>
      <w:r w:rsidRPr="00BE2184">
        <w:rPr>
          <w:rStyle w:val="y2iqfc"/>
          <w:rFonts w:asciiTheme="majorHAnsi" w:hAnsiTheme="majorHAnsi" w:cstheme="majorHAnsi"/>
          <w:b/>
          <w:bCs/>
          <w:i/>
          <w:iCs/>
          <w:color w:val="2F5496" w:themeColor="accent1" w:themeShade="BF"/>
          <w:sz w:val="26"/>
          <w:szCs w:val="26"/>
        </w:rPr>
        <w:t>:</w:t>
      </w:r>
      <w:r w:rsidRPr="00BE2184">
        <w:rPr>
          <w:rStyle w:val="y2iqfc"/>
          <w:rFonts w:asciiTheme="majorHAnsi" w:hAnsiTheme="majorHAnsi" w:cstheme="majorHAnsi"/>
          <w:b/>
          <w:bCs/>
          <w:color w:val="2F5496" w:themeColor="accent1" w:themeShade="BF"/>
          <w:sz w:val="24"/>
          <w:szCs w:val="24"/>
        </w:rPr>
        <w:t xml:space="preserve"> </w:t>
      </w:r>
    </w:p>
    <w:p w14:paraId="55B8E0D5" w14:textId="130F5B32" w:rsidR="00333C1B" w:rsidRPr="006017E5" w:rsidRDefault="00566271" w:rsidP="00F37B27">
      <w:pPr>
        <w:pStyle w:val="FormtovanvHTML"/>
        <w:spacing w:after="120" w:line="276" w:lineRule="auto"/>
        <w:jc w:val="both"/>
        <w:rPr>
          <w:rStyle w:val="y2iqfc"/>
          <w:rFonts w:asciiTheme="majorHAnsi" w:hAnsiTheme="majorHAnsi" w:cstheme="majorHAnsi"/>
          <w:color w:val="2C2D5B"/>
          <w:sz w:val="24"/>
          <w:szCs w:val="24"/>
        </w:rPr>
      </w:pPr>
      <w:r w:rsidRPr="006017E5">
        <w:rPr>
          <w:rStyle w:val="y2iqfc"/>
          <w:rFonts w:asciiTheme="majorHAnsi" w:hAnsiTheme="majorHAnsi" w:cstheme="majorHAnsi"/>
          <w:color w:val="2C2D5B"/>
          <w:sz w:val="24"/>
          <w:szCs w:val="24"/>
        </w:rPr>
        <w:t xml:space="preserve">Faced with the possibility </w:t>
      </w:r>
      <w:r w:rsidR="00333C1B" w:rsidRPr="006017E5">
        <w:rPr>
          <w:rStyle w:val="y2iqfc"/>
          <w:rFonts w:asciiTheme="majorHAnsi" w:hAnsiTheme="majorHAnsi" w:cstheme="majorHAnsi"/>
          <w:color w:val="2C2D5B"/>
          <w:sz w:val="24"/>
          <w:szCs w:val="24"/>
        </w:rPr>
        <w:t xml:space="preserve">of applying </w:t>
      </w:r>
      <w:r w:rsidRPr="006017E5">
        <w:rPr>
          <w:rStyle w:val="y2iqfc"/>
          <w:rFonts w:asciiTheme="majorHAnsi" w:hAnsiTheme="majorHAnsi" w:cstheme="majorHAnsi"/>
          <w:color w:val="2C2D5B"/>
          <w:sz w:val="24"/>
          <w:szCs w:val="24"/>
        </w:rPr>
        <w:t xml:space="preserve">the Charter, </w:t>
      </w:r>
      <w:r w:rsidR="00333C1B" w:rsidRPr="006017E5">
        <w:rPr>
          <w:rStyle w:val="y2iqfc"/>
          <w:rFonts w:asciiTheme="majorHAnsi" w:hAnsiTheme="majorHAnsi" w:cstheme="majorHAnsi"/>
          <w:color w:val="2C2D5B"/>
          <w:sz w:val="24"/>
          <w:szCs w:val="24"/>
        </w:rPr>
        <w:t>lawyers</w:t>
      </w:r>
      <w:r w:rsidRPr="006017E5">
        <w:rPr>
          <w:rStyle w:val="y2iqfc"/>
          <w:rFonts w:asciiTheme="majorHAnsi" w:hAnsiTheme="majorHAnsi" w:cstheme="majorHAnsi"/>
          <w:color w:val="2C2D5B"/>
          <w:sz w:val="24"/>
          <w:szCs w:val="24"/>
        </w:rPr>
        <w:t xml:space="preserve"> should provide the Court with strong arguments</w:t>
      </w:r>
      <w:r w:rsidR="00333C1B" w:rsidRPr="006017E5">
        <w:rPr>
          <w:rStyle w:val="y2iqfc"/>
          <w:rFonts w:asciiTheme="majorHAnsi" w:hAnsiTheme="majorHAnsi" w:cstheme="majorHAnsi"/>
          <w:color w:val="2C2D5B"/>
          <w:sz w:val="24"/>
          <w:szCs w:val="24"/>
        </w:rPr>
        <w:t xml:space="preserve"> and as such, should: </w:t>
      </w:r>
    </w:p>
    <w:p w14:paraId="2516860D" w14:textId="6C145FE1" w:rsidR="00333C1B" w:rsidRPr="006017E5" w:rsidRDefault="00333C1B" w:rsidP="008B4B98">
      <w:pPr>
        <w:pStyle w:val="FormtovanvHTML"/>
        <w:numPr>
          <w:ilvl w:val="0"/>
          <w:numId w:val="13"/>
        </w:numPr>
        <w:spacing w:after="120" w:line="276" w:lineRule="auto"/>
        <w:jc w:val="both"/>
        <w:rPr>
          <w:rStyle w:val="y2iqfc"/>
          <w:rFonts w:asciiTheme="majorHAnsi" w:hAnsiTheme="majorHAnsi" w:cstheme="majorHAnsi"/>
          <w:color w:val="2C2D5B"/>
          <w:sz w:val="24"/>
          <w:szCs w:val="24"/>
        </w:rPr>
      </w:pPr>
      <w:r w:rsidRPr="006017E5">
        <w:rPr>
          <w:rStyle w:val="y2iqfc"/>
          <w:rFonts w:asciiTheme="majorHAnsi" w:hAnsiTheme="majorHAnsi" w:cstheme="majorHAnsi"/>
          <w:color w:val="2C2D5B"/>
          <w:sz w:val="24"/>
          <w:szCs w:val="24"/>
        </w:rPr>
        <w:t xml:space="preserve">Highlight the specific European provisions that apply, thereby “triggering” the Charter </w:t>
      </w:r>
    </w:p>
    <w:p w14:paraId="4D8DEB21" w14:textId="781959EE" w:rsidR="00333C1B" w:rsidRDefault="00333C1B" w:rsidP="008B4B98">
      <w:pPr>
        <w:pStyle w:val="FormtovanvHTML"/>
        <w:numPr>
          <w:ilvl w:val="0"/>
          <w:numId w:val="13"/>
        </w:numPr>
        <w:spacing w:after="120" w:line="276" w:lineRule="auto"/>
        <w:jc w:val="both"/>
        <w:rPr>
          <w:rStyle w:val="y2iqfc"/>
          <w:rFonts w:asciiTheme="majorHAnsi" w:hAnsiTheme="majorHAnsi" w:cstheme="majorHAnsi"/>
          <w:color w:val="2C2D5B"/>
          <w:sz w:val="24"/>
          <w:szCs w:val="24"/>
        </w:rPr>
      </w:pPr>
      <w:r w:rsidRPr="006017E5">
        <w:rPr>
          <w:rStyle w:val="y2iqfc"/>
          <w:rFonts w:asciiTheme="majorHAnsi" w:hAnsiTheme="majorHAnsi" w:cstheme="majorHAnsi"/>
          <w:color w:val="2C2D5B"/>
          <w:sz w:val="24"/>
          <w:szCs w:val="24"/>
        </w:rPr>
        <w:t xml:space="preserve">Reference relevant CJEU case law </w:t>
      </w:r>
      <w:r w:rsidR="007B63DB" w:rsidRPr="006017E5">
        <w:rPr>
          <w:rStyle w:val="y2iqfc"/>
          <w:rFonts w:asciiTheme="majorHAnsi" w:hAnsiTheme="majorHAnsi" w:cstheme="majorHAnsi"/>
          <w:color w:val="2C2D5B"/>
          <w:sz w:val="24"/>
          <w:szCs w:val="24"/>
        </w:rPr>
        <w:t xml:space="preserve">to clarify how the Charter should be read and applied in the specific case context. </w:t>
      </w:r>
    </w:p>
    <w:p w14:paraId="1D0C2BEE" w14:textId="77777777" w:rsidR="006017E5" w:rsidRDefault="006017E5" w:rsidP="006017E5">
      <w:pPr>
        <w:pStyle w:val="FormtovanvHTML"/>
        <w:spacing w:after="120" w:line="276" w:lineRule="auto"/>
        <w:jc w:val="both"/>
        <w:rPr>
          <w:rStyle w:val="y2iqfc"/>
          <w:rFonts w:asciiTheme="majorHAnsi" w:hAnsiTheme="majorHAnsi" w:cstheme="majorHAnsi"/>
          <w:color w:val="2C2D5B"/>
          <w:sz w:val="24"/>
          <w:szCs w:val="24"/>
        </w:rPr>
      </w:pPr>
    </w:p>
    <w:p w14:paraId="0B27BA7B" w14:textId="77777777" w:rsidR="006017E5" w:rsidRDefault="006017E5" w:rsidP="006017E5">
      <w:pPr>
        <w:pStyle w:val="FormtovanvHTML"/>
        <w:spacing w:after="120" w:line="276" w:lineRule="auto"/>
        <w:jc w:val="both"/>
        <w:rPr>
          <w:rStyle w:val="y2iqfc"/>
          <w:rFonts w:asciiTheme="majorHAnsi" w:hAnsiTheme="majorHAnsi" w:cstheme="majorHAnsi"/>
          <w:color w:val="2C2D5B"/>
          <w:sz w:val="24"/>
          <w:szCs w:val="24"/>
        </w:rPr>
      </w:pPr>
    </w:p>
    <w:p w14:paraId="71645564" w14:textId="77777777" w:rsidR="006017E5" w:rsidRDefault="006017E5" w:rsidP="006017E5">
      <w:pPr>
        <w:pStyle w:val="FormtovanvHTML"/>
        <w:spacing w:after="120" w:line="276" w:lineRule="auto"/>
        <w:jc w:val="both"/>
        <w:rPr>
          <w:rStyle w:val="y2iqfc"/>
          <w:rFonts w:asciiTheme="majorHAnsi" w:hAnsiTheme="majorHAnsi" w:cstheme="majorHAnsi"/>
          <w:color w:val="2C2D5B"/>
          <w:sz w:val="24"/>
          <w:szCs w:val="24"/>
        </w:rPr>
      </w:pPr>
    </w:p>
    <w:p w14:paraId="1F755097" w14:textId="77777777" w:rsidR="006017E5" w:rsidRDefault="006017E5" w:rsidP="006017E5">
      <w:pPr>
        <w:pStyle w:val="FormtovanvHTML"/>
        <w:spacing w:after="120" w:line="276" w:lineRule="auto"/>
        <w:jc w:val="both"/>
        <w:rPr>
          <w:rStyle w:val="y2iqfc"/>
          <w:rFonts w:asciiTheme="majorHAnsi" w:hAnsiTheme="majorHAnsi" w:cstheme="majorHAnsi"/>
          <w:color w:val="2C2D5B"/>
          <w:sz w:val="24"/>
          <w:szCs w:val="24"/>
        </w:rPr>
      </w:pPr>
    </w:p>
    <w:p w14:paraId="3564B91C" w14:textId="77777777" w:rsidR="006017E5" w:rsidRDefault="006017E5" w:rsidP="006017E5">
      <w:pPr>
        <w:pStyle w:val="FormtovanvHTML"/>
        <w:spacing w:after="120" w:line="276" w:lineRule="auto"/>
        <w:jc w:val="both"/>
        <w:rPr>
          <w:rStyle w:val="y2iqfc"/>
          <w:rFonts w:asciiTheme="majorHAnsi" w:hAnsiTheme="majorHAnsi" w:cstheme="majorHAnsi"/>
          <w:color w:val="2C2D5B"/>
          <w:sz w:val="24"/>
          <w:szCs w:val="24"/>
        </w:rPr>
      </w:pPr>
    </w:p>
    <w:p w14:paraId="488B57EF" w14:textId="77777777" w:rsidR="006017E5" w:rsidRDefault="006017E5" w:rsidP="006017E5">
      <w:pPr>
        <w:pStyle w:val="FormtovanvHTML"/>
        <w:spacing w:after="120" w:line="276" w:lineRule="auto"/>
        <w:jc w:val="both"/>
        <w:rPr>
          <w:rStyle w:val="y2iqfc"/>
          <w:rFonts w:asciiTheme="majorHAnsi" w:hAnsiTheme="majorHAnsi" w:cstheme="majorHAnsi"/>
          <w:color w:val="2C2D5B"/>
          <w:sz w:val="24"/>
          <w:szCs w:val="24"/>
        </w:rPr>
      </w:pPr>
    </w:p>
    <w:p w14:paraId="71B567CF" w14:textId="77777777" w:rsidR="006017E5" w:rsidRDefault="006017E5" w:rsidP="006017E5">
      <w:pPr>
        <w:pStyle w:val="FormtovanvHTML"/>
        <w:spacing w:after="120" w:line="276" w:lineRule="auto"/>
        <w:jc w:val="both"/>
        <w:rPr>
          <w:rStyle w:val="y2iqfc"/>
          <w:rFonts w:asciiTheme="majorHAnsi" w:hAnsiTheme="majorHAnsi" w:cstheme="majorHAnsi"/>
          <w:color w:val="2C2D5B"/>
          <w:sz w:val="24"/>
          <w:szCs w:val="24"/>
        </w:rPr>
      </w:pPr>
    </w:p>
    <w:p w14:paraId="0D1AD628" w14:textId="77777777" w:rsidR="006017E5" w:rsidRDefault="006017E5" w:rsidP="006017E5">
      <w:pPr>
        <w:pStyle w:val="FormtovanvHTML"/>
        <w:spacing w:after="120" w:line="276" w:lineRule="auto"/>
        <w:jc w:val="both"/>
        <w:rPr>
          <w:rStyle w:val="y2iqfc"/>
          <w:rFonts w:asciiTheme="majorHAnsi" w:hAnsiTheme="majorHAnsi" w:cstheme="majorHAnsi"/>
          <w:color w:val="2C2D5B"/>
          <w:sz w:val="24"/>
          <w:szCs w:val="24"/>
        </w:rPr>
      </w:pPr>
    </w:p>
    <w:p w14:paraId="7AB5B582" w14:textId="77777777" w:rsidR="006017E5" w:rsidRDefault="006017E5" w:rsidP="006017E5">
      <w:pPr>
        <w:pStyle w:val="FormtovanvHTML"/>
        <w:spacing w:after="120" w:line="276" w:lineRule="auto"/>
        <w:jc w:val="both"/>
        <w:rPr>
          <w:rStyle w:val="y2iqfc"/>
          <w:rFonts w:asciiTheme="majorHAnsi" w:hAnsiTheme="majorHAnsi" w:cstheme="majorHAnsi"/>
          <w:color w:val="2C2D5B"/>
          <w:sz w:val="24"/>
          <w:szCs w:val="24"/>
        </w:rPr>
      </w:pPr>
    </w:p>
    <w:p w14:paraId="51DFC0A3" w14:textId="77777777" w:rsidR="006017E5" w:rsidRDefault="006017E5" w:rsidP="006017E5">
      <w:pPr>
        <w:pStyle w:val="FormtovanvHTML"/>
        <w:spacing w:after="120" w:line="276" w:lineRule="auto"/>
        <w:jc w:val="both"/>
        <w:rPr>
          <w:rStyle w:val="y2iqfc"/>
          <w:rFonts w:asciiTheme="majorHAnsi" w:hAnsiTheme="majorHAnsi" w:cstheme="majorHAnsi"/>
          <w:color w:val="2C2D5B"/>
          <w:sz w:val="24"/>
          <w:szCs w:val="24"/>
        </w:rPr>
      </w:pPr>
    </w:p>
    <w:p w14:paraId="39D392C9" w14:textId="77777777" w:rsidR="006017E5" w:rsidRDefault="006017E5" w:rsidP="006017E5">
      <w:pPr>
        <w:pStyle w:val="FormtovanvHTML"/>
        <w:spacing w:after="120" w:line="276" w:lineRule="auto"/>
        <w:jc w:val="both"/>
        <w:rPr>
          <w:rStyle w:val="y2iqfc"/>
          <w:rFonts w:asciiTheme="majorHAnsi" w:hAnsiTheme="majorHAnsi" w:cstheme="majorHAnsi"/>
          <w:color w:val="2C2D5B"/>
          <w:sz w:val="24"/>
          <w:szCs w:val="24"/>
        </w:rPr>
      </w:pPr>
    </w:p>
    <w:p w14:paraId="5FBB8389" w14:textId="77777777" w:rsidR="006017E5" w:rsidRPr="006017E5" w:rsidRDefault="006017E5" w:rsidP="006017E5">
      <w:pPr>
        <w:pStyle w:val="FormtovanvHTML"/>
        <w:spacing w:after="120" w:line="276" w:lineRule="auto"/>
        <w:jc w:val="both"/>
        <w:rPr>
          <w:rStyle w:val="y2iqfc"/>
          <w:rFonts w:asciiTheme="majorHAnsi" w:hAnsiTheme="majorHAnsi" w:cstheme="majorHAnsi"/>
          <w:color w:val="2C2D5B"/>
          <w:sz w:val="24"/>
          <w:szCs w:val="24"/>
        </w:rPr>
      </w:pPr>
    </w:p>
    <w:p w14:paraId="004F4308" w14:textId="451DC4E4" w:rsidR="00BE2184" w:rsidRPr="00F87908" w:rsidRDefault="004F6D98" w:rsidP="00F37B27">
      <w:pPr>
        <w:pStyle w:val="FormtovanvHTML"/>
        <w:spacing w:after="120" w:line="276" w:lineRule="auto"/>
        <w:jc w:val="both"/>
        <w:rPr>
          <w:rFonts w:ascii="Calibri" w:hAnsi="Calibri" w:cs="Calibri"/>
          <w:color w:val="1F1F1F"/>
          <w:sz w:val="24"/>
          <w:szCs w:val="24"/>
        </w:rPr>
      </w:pPr>
      <w:r w:rsidRPr="005A6959">
        <w:rPr>
          <w:rFonts w:ascii="Calibri" w:hAnsi="Calibri" w:cs="Calibri"/>
          <w:noProof/>
          <w:color w:val="1F1F1F"/>
          <w:sz w:val="24"/>
          <w:szCs w:val="24"/>
          <w14:ligatures w14:val="standardContextual"/>
        </w:rPr>
        <w:drawing>
          <wp:inline distT="0" distB="0" distL="0" distR="0" wp14:anchorId="6E870659" wp14:editId="788C818C">
            <wp:extent cx="5400040" cy="5125752"/>
            <wp:effectExtent l="38100" t="0" r="48260" b="0"/>
            <wp:docPr id="1523571354" name="Diagramme 6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inline>
        </w:drawing>
      </w:r>
      <w:r w:rsidR="00976991" w:rsidRPr="005A6959">
        <w:rPr>
          <w:rFonts w:ascii="Calibri" w:hAnsi="Calibri" w:cs="Calibri"/>
          <w:noProof/>
          <w:color w:val="1F1F1F"/>
          <w:sz w:val="42"/>
          <w:szCs w:val="42"/>
          <w:lang w:eastAsia="ca-ES"/>
          <w14:ligatures w14:val="standardContextual"/>
        </w:rPr>
        <mc:AlternateContent>
          <mc:Choice Requires="wps">
            <w:drawing>
              <wp:anchor distT="0" distB="0" distL="114300" distR="114300" simplePos="0" relativeHeight="251665408" behindDoc="0" locked="0" layoutInCell="1" allowOverlap="1" wp14:anchorId="134D03EC" wp14:editId="1DF69A4C">
                <wp:simplePos x="0" y="0"/>
                <wp:positionH relativeFrom="column">
                  <wp:posOffset>1269365</wp:posOffset>
                </wp:positionH>
                <wp:positionV relativeFrom="paragraph">
                  <wp:posOffset>1165860</wp:posOffset>
                </wp:positionV>
                <wp:extent cx="374650" cy="292100"/>
                <wp:effectExtent l="0" t="0" r="6350" b="0"/>
                <wp:wrapNone/>
                <wp:docPr id="15" name="Fletxa dreta 15"/>
                <wp:cNvGraphicFramePr/>
                <a:graphic xmlns:a="http://schemas.openxmlformats.org/drawingml/2006/main">
                  <a:graphicData uri="http://schemas.microsoft.com/office/word/2010/wordprocessingShape">
                    <wps:wsp>
                      <wps:cNvSpPr/>
                      <wps:spPr>
                        <a:xfrm>
                          <a:off x="0" y="0"/>
                          <a:ext cx="374650" cy="292100"/>
                        </a:xfrm>
                        <a:prstGeom prst="rightArrow">
                          <a:avLst/>
                        </a:prstGeom>
                        <a:solidFill>
                          <a:schemeClr val="bg1">
                            <a:alpha val="7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0B0B3D" id="Fletxa dreta 15" o:spid="_x0000_s1026" type="#_x0000_t13" style="position:absolute;margin-left:99.95pt;margin-top:91.8pt;width:29.5pt;height:2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VBbiAIAAIYFAAAOAAAAZHJzL2Uyb0RvYy54bWysVMFu2zAMvQ/YPwi6r06ytF2DOkXQosOA&#10;oi3WDj0rshwLkEWNUuJkXz9Kcpys63YYloMiiuQj+Uzy8mrbGrZR6DXYko9PRpwpK6HSdlXyb8+3&#10;Hz5x5oOwlTBgVcl3yvOr+ft3l52bqQk0YCqFjECsn3Wu5E0IblYUXjaqFf4EnLKkrAFbEUjEVVGh&#10;6Ai9NcVkNDorOsDKIUjlPb3eZCWfJ/y6VjI81LVXgZmSU24hnZjOZTyL+aWYrVC4Rss+DfEPWbRC&#10;Wwo6QN2IINga9W9QrZYIHupwIqEtoK61VKkGqmY8elXNUyOcSrUQOd4NNPn/ByvvN0/uEYmGzvmZ&#10;p2usYltjG/8pP7ZNZO0GstQ2MEmPH8+nZ6dEqSTV5GIyHiUyi4OzQx8+K2hZvJQc9aoJC0ToElFi&#10;c+cDhSWHvWGM6MHo6lYbk4TYBeraINsI+n7L1Ti7GteI/HQ+ol/8iASTeiZaZ+kYyNgIZyECZ+P4&#10;UhxKTrewMyraGftV1UxXVOQkBRyQc1AhpbIh5+IbUan8fPrHXBJgRK4p/oDdA/xa4x47Z9nbR1eV&#10;mnlwHv0tsew8eKTIYMPg3GoL+BaAoar6yNl+T1KmJrK0hGr3iAwhj5J38lbT970TPjwKpNmhlqB9&#10;EB7oqA10JYf+xlkD+OOt92hPLU1azjqaxZL772uBijPzxVKzX4yn0zi8SZienk9IwGPN8lhj1+01&#10;ULuMafM4ma7RPpj9tUZoX2htLGJUUgkrKXbJZcC9cB3yjqDFI9VikcxoYJ0Id/bJyQgeWY2d+7x9&#10;Eej6Jg80Hfewn1sxe9Xl2TZ6WlisA9Q6jcCB155vGvbUxP1iitvkWE5Wh/U5/wkAAP//AwBQSwME&#10;FAAGAAgAAAAhALpAsnXcAAAACwEAAA8AAABkcnMvZG93bnJldi54bWxMj0FPwzAMhe9I/IfISFwQ&#10;Swlq1XZNJwZCO7ONu9dkbUXjVE26lX+POcHtPfvp+XO1WdwgLnYKvScNT6sEhKXGm55aDcfD+2MO&#10;IkQkg4Mnq+HbBtjUtzcVlsZf6cNe9rEVXEKhRA1djGMpZWg66zCs/GiJd2c/OYxsp1aaCa9c7gap&#10;kiSTDnviCx2O9rWzzdd+dhp2qfGpW+jwML65rcLdsJ3Vp9b3d8vLGkS0S/wLwy8+o0PNTCc/kwli&#10;YF8UBUdZ5M8ZCE6oNOfJiYUqMpB1Jf//UP8AAAD//wMAUEsBAi0AFAAGAAgAAAAhALaDOJL+AAAA&#10;4QEAABMAAAAAAAAAAAAAAAAAAAAAAFtDb250ZW50X1R5cGVzXS54bWxQSwECLQAUAAYACAAAACEA&#10;OP0h/9YAAACUAQAACwAAAAAAAAAAAAAAAAAvAQAAX3JlbHMvLnJlbHNQSwECLQAUAAYACAAAACEA&#10;N8FQW4gCAACGBQAADgAAAAAAAAAAAAAAAAAuAgAAZHJzL2Uyb0RvYy54bWxQSwECLQAUAAYACAAA&#10;ACEAukCyddwAAAALAQAADwAAAAAAAAAAAAAAAADiBAAAZHJzL2Rvd25yZXYueG1sUEsFBgAAAAAE&#10;AAQA8wAAAOsFAAAAAA==&#10;" adj="13180" fillcolor="white [3212]" stroked="f" strokeweight="1pt">
                <v:fill opacity="46003f"/>
              </v:shape>
            </w:pict>
          </mc:Fallback>
        </mc:AlternateContent>
      </w:r>
    </w:p>
    <w:p w14:paraId="030D10C2" w14:textId="3D79AF84" w:rsidR="0088078E" w:rsidRPr="00626035" w:rsidRDefault="00DF5FDC" w:rsidP="00F37B27">
      <w:pPr>
        <w:pStyle w:val="FormtovanvHTML"/>
        <w:spacing w:after="120" w:line="276" w:lineRule="auto"/>
        <w:jc w:val="both"/>
        <w:rPr>
          <w:rFonts w:asciiTheme="majorHAnsi" w:hAnsiTheme="majorHAnsi" w:cstheme="majorHAnsi"/>
          <w:color w:val="2C2D5B"/>
          <w:sz w:val="24"/>
          <w:szCs w:val="24"/>
        </w:rPr>
      </w:pPr>
      <w:r w:rsidRPr="00626035">
        <w:rPr>
          <w:rFonts w:asciiTheme="majorHAnsi" w:hAnsiTheme="majorHAnsi" w:cstheme="majorHAnsi"/>
          <w:color w:val="2C2D5B"/>
          <w:sz w:val="24"/>
          <w:szCs w:val="24"/>
        </w:rPr>
        <w:t>R</w:t>
      </w:r>
      <w:r w:rsidR="00A47BFB" w:rsidRPr="00626035">
        <w:rPr>
          <w:rFonts w:asciiTheme="majorHAnsi" w:hAnsiTheme="majorHAnsi" w:cstheme="majorHAnsi"/>
          <w:color w:val="2C2D5B"/>
          <w:sz w:val="24"/>
          <w:szCs w:val="24"/>
        </w:rPr>
        <w:t xml:space="preserve">egarding the protection of fundamental rights under the Charter, it should be noted that the </w:t>
      </w:r>
      <w:r w:rsidR="00A47BFB" w:rsidRPr="00626035">
        <w:rPr>
          <w:rFonts w:asciiTheme="majorHAnsi" w:hAnsiTheme="majorHAnsi" w:cstheme="majorHAnsi"/>
          <w:i/>
          <w:color w:val="2C2D5B"/>
          <w:sz w:val="24"/>
          <w:szCs w:val="24"/>
        </w:rPr>
        <w:t>ex officio</w:t>
      </w:r>
      <w:r w:rsidR="00A47BFB" w:rsidRPr="00626035">
        <w:rPr>
          <w:rFonts w:asciiTheme="majorHAnsi" w:hAnsiTheme="majorHAnsi" w:cstheme="majorHAnsi"/>
          <w:color w:val="2C2D5B"/>
          <w:sz w:val="24"/>
          <w:szCs w:val="24"/>
        </w:rPr>
        <w:t xml:space="preserve"> application of EU law by the national judge is twofold. </w:t>
      </w:r>
    </w:p>
    <w:p w14:paraId="4DD2A84A" w14:textId="3E465EEC" w:rsidR="008B5458" w:rsidRPr="00626035" w:rsidRDefault="00A47BFB" w:rsidP="00F37B27">
      <w:pPr>
        <w:pStyle w:val="FormtovanvHTML"/>
        <w:spacing w:after="120" w:line="276" w:lineRule="auto"/>
        <w:jc w:val="both"/>
        <w:rPr>
          <w:rFonts w:ascii="Calibri" w:hAnsi="Calibri" w:cs="Calibri"/>
          <w:color w:val="2C2D5B"/>
          <w:sz w:val="24"/>
          <w:szCs w:val="24"/>
        </w:rPr>
      </w:pPr>
      <w:r w:rsidRPr="00626035">
        <w:rPr>
          <w:rFonts w:asciiTheme="majorHAnsi" w:hAnsiTheme="majorHAnsi" w:cstheme="majorHAnsi"/>
          <w:color w:val="2C2D5B"/>
          <w:sz w:val="24"/>
          <w:szCs w:val="24"/>
        </w:rPr>
        <w:t xml:space="preserve">As noted, </w:t>
      </w:r>
      <w:r w:rsidRPr="00626035">
        <w:rPr>
          <w:rFonts w:asciiTheme="majorHAnsi" w:hAnsiTheme="majorHAnsi" w:cstheme="majorHAnsi"/>
          <w:b/>
          <w:bCs/>
          <w:color w:val="2C2D5B"/>
          <w:sz w:val="24"/>
          <w:szCs w:val="24"/>
        </w:rPr>
        <w:t>the Charter does not apply directly to the facts of national proceedings or to domestic law in general</w:t>
      </w:r>
      <w:r w:rsidRPr="00626035">
        <w:rPr>
          <w:rFonts w:asciiTheme="majorHAnsi" w:hAnsiTheme="majorHAnsi" w:cstheme="majorHAnsi"/>
          <w:color w:val="2C2D5B"/>
          <w:sz w:val="24"/>
          <w:szCs w:val="24"/>
        </w:rPr>
        <w:t>: Its application depends on whether other rules of substantive</w:t>
      </w:r>
      <w:r w:rsidRPr="00626035">
        <w:rPr>
          <w:rFonts w:ascii="Calibri" w:hAnsi="Calibri" w:cs="Calibri"/>
          <w:color w:val="2C2D5B"/>
          <w:sz w:val="24"/>
          <w:szCs w:val="24"/>
        </w:rPr>
        <w:t xml:space="preserve"> </w:t>
      </w:r>
    </w:p>
    <w:p w14:paraId="4EEB62B3" w14:textId="3B08708D" w:rsidR="0088078E" w:rsidRPr="00626035" w:rsidRDefault="00A47BFB" w:rsidP="00F37B27">
      <w:pPr>
        <w:pStyle w:val="FormtovanvHTML"/>
        <w:spacing w:after="120" w:line="276" w:lineRule="auto"/>
        <w:jc w:val="both"/>
        <w:rPr>
          <w:rFonts w:asciiTheme="majorHAnsi" w:hAnsiTheme="majorHAnsi" w:cstheme="majorHAnsi"/>
          <w:color w:val="2C2D5B"/>
          <w:sz w:val="24"/>
          <w:szCs w:val="24"/>
        </w:rPr>
      </w:pPr>
      <w:r w:rsidRPr="00626035">
        <w:rPr>
          <w:rFonts w:asciiTheme="majorHAnsi" w:hAnsiTheme="majorHAnsi" w:cstheme="majorHAnsi"/>
          <w:color w:val="2C2D5B"/>
          <w:sz w:val="24"/>
          <w:szCs w:val="24"/>
        </w:rPr>
        <w:t xml:space="preserve">EU law are applicable. Consequently, the party wishing to invoke the guarantees of EU law may: </w:t>
      </w:r>
    </w:p>
    <w:p w14:paraId="19876C97" w14:textId="45B83345" w:rsidR="0088078E" w:rsidRPr="00626035" w:rsidRDefault="0088078E" w:rsidP="00253E61">
      <w:pPr>
        <w:pStyle w:val="FormtovanvHTML"/>
        <w:numPr>
          <w:ilvl w:val="0"/>
          <w:numId w:val="29"/>
        </w:numPr>
        <w:spacing w:after="120" w:line="276" w:lineRule="auto"/>
        <w:jc w:val="both"/>
        <w:rPr>
          <w:rFonts w:asciiTheme="majorHAnsi" w:hAnsiTheme="majorHAnsi" w:cstheme="majorHAnsi"/>
          <w:color w:val="2C2D5B"/>
          <w:sz w:val="24"/>
          <w:szCs w:val="24"/>
        </w:rPr>
      </w:pPr>
      <w:r w:rsidRPr="00626035">
        <w:rPr>
          <w:rFonts w:asciiTheme="majorHAnsi" w:hAnsiTheme="majorHAnsi" w:cstheme="majorHAnsi"/>
          <w:color w:val="2C2D5B"/>
          <w:sz w:val="24"/>
          <w:szCs w:val="24"/>
        </w:rPr>
        <w:t>P</w:t>
      </w:r>
      <w:r w:rsidR="00A47BFB" w:rsidRPr="00626035">
        <w:rPr>
          <w:rFonts w:asciiTheme="majorHAnsi" w:hAnsiTheme="majorHAnsi" w:cstheme="majorHAnsi"/>
          <w:color w:val="2C2D5B"/>
          <w:sz w:val="24"/>
          <w:szCs w:val="24"/>
        </w:rPr>
        <w:t xml:space="preserve">oint out the rules of EU law applicable in the main proceedings and, in addition, </w:t>
      </w:r>
    </w:p>
    <w:p w14:paraId="4F3BE8D9" w14:textId="77777777" w:rsidR="00734A07" w:rsidRPr="00626035" w:rsidRDefault="0088078E" w:rsidP="00253E61">
      <w:pPr>
        <w:pStyle w:val="FormtovanvHTML"/>
        <w:numPr>
          <w:ilvl w:val="0"/>
          <w:numId w:val="29"/>
        </w:numPr>
        <w:spacing w:after="120" w:line="276" w:lineRule="auto"/>
        <w:jc w:val="both"/>
        <w:rPr>
          <w:rFonts w:asciiTheme="majorHAnsi" w:hAnsiTheme="majorHAnsi" w:cstheme="majorHAnsi"/>
          <w:color w:val="2C2D5B"/>
          <w:sz w:val="24"/>
          <w:szCs w:val="24"/>
        </w:rPr>
      </w:pPr>
      <w:r w:rsidRPr="00626035">
        <w:rPr>
          <w:rFonts w:asciiTheme="majorHAnsi" w:hAnsiTheme="majorHAnsi" w:cstheme="majorHAnsi"/>
          <w:color w:val="2C2D5B"/>
          <w:sz w:val="24"/>
          <w:szCs w:val="24"/>
        </w:rPr>
        <w:t>D</w:t>
      </w:r>
      <w:r w:rsidR="00A47BFB" w:rsidRPr="00626035">
        <w:rPr>
          <w:rFonts w:asciiTheme="majorHAnsi" w:hAnsiTheme="majorHAnsi" w:cstheme="majorHAnsi"/>
          <w:color w:val="2C2D5B"/>
          <w:sz w:val="24"/>
          <w:szCs w:val="24"/>
        </w:rPr>
        <w:t>emonstrate the applicability of the concrete guarantees of fundamental rights.</w:t>
      </w:r>
    </w:p>
    <w:p w14:paraId="6D7605DB" w14:textId="77777777" w:rsidR="00F87908" w:rsidRDefault="00F87908" w:rsidP="00F37B27">
      <w:pPr>
        <w:pStyle w:val="FormtovanvHTML"/>
        <w:spacing w:after="120" w:line="276" w:lineRule="auto"/>
        <w:jc w:val="both"/>
        <w:rPr>
          <w:rFonts w:asciiTheme="majorHAnsi" w:hAnsiTheme="majorHAnsi" w:cstheme="majorHAnsi"/>
          <w:color w:val="1F1F1F"/>
          <w:sz w:val="24"/>
          <w:szCs w:val="24"/>
        </w:rPr>
      </w:pPr>
    </w:p>
    <w:p w14:paraId="1227F2F1" w14:textId="77777777" w:rsidR="00F87908" w:rsidRDefault="00F87908" w:rsidP="00F37B27">
      <w:pPr>
        <w:pStyle w:val="FormtovanvHTML"/>
        <w:spacing w:after="120" w:line="276" w:lineRule="auto"/>
        <w:jc w:val="both"/>
        <w:rPr>
          <w:rFonts w:asciiTheme="majorHAnsi" w:hAnsiTheme="majorHAnsi" w:cstheme="majorHAnsi"/>
          <w:color w:val="1F1F1F"/>
          <w:sz w:val="24"/>
          <w:szCs w:val="24"/>
        </w:rPr>
      </w:pPr>
    </w:p>
    <w:p w14:paraId="0B04489F" w14:textId="77777777" w:rsidR="00F87908" w:rsidRDefault="00F87908" w:rsidP="00F37B27">
      <w:pPr>
        <w:pStyle w:val="FormtovanvHTML"/>
        <w:spacing w:after="120" w:line="276" w:lineRule="auto"/>
        <w:jc w:val="both"/>
        <w:rPr>
          <w:rFonts w:asciiTheme="majorHAnsi" w:hAnsiTheme="majorHAnsi" w:cstheme="majorHAnsi"/>
          <w:color w:val="1F1F1F"/>
          <w:sz w:val="24"/>
          <w:szCs w:val="24"/>
        </w:rPr>
      </w:pPr>
    </w:p>
    <w:p w14:paraId="0395D739" w14:textId="77777777" w:rsidR="00F87908" w:rsidRDefault="00F87908" w:rsidP="00F37B27">
      <w:pPr>
        <w:pStyle w:val="FormtovanvHTML"/>
        <w:spacing w:after="120" w:line="276" w:lineRule="auto"/>
        <w:jc w:val="both"/>
        <w:rPr>
          <w:rFonts w:asciiTheme="majorHAnsi" w:hAnsiTheme="majorHAnsi" w:cstheme="majorHAnsi"/>
          <w:color w:val="1F1F1F"/>
          <w:sz w:val="24"/>
          <w:szCs w:val="24"/>
        </w:rPr>
      </w:pPr>
    </w:p>
    <w:p w14:paraId="0F2D4C1F" w14:textId="77777777" w:rsidR="00FC0C5F" w:rsidRDefault="00FC0C5F" w:rsidP="00F37B27">
      <w:pPr>
        <w:pStyle w:val="FormtovanvHTML"/>
        <w:spacing w:after="120" w:line="276" w:lineRule="auto"/>
        <w:jc w:val="both"/>
        <w:rPr>
          <w:rFonts w:asciiTheme="majorHAnsi" w:hAnsiTheme="majorHAnsi" w:cstheme="majorHAnsi"/>
          <w:color w:val="1F1F1F"/>
          <w:sz w:val="24"/>
          <w:szCs w:val="24"/>
        </w:rPr>
      </w:pPr>
    </w:p>
    <w:p w14:paraId="388F9526" w14:textId="77777777" w:rsidR="00F87908" w:rsidRDefault="00F87908" w:rsidP="00F37B27">
      <w:pPr>
        <w:pStyle w:val="FormtovanvHTML"/>
        <w:spacing w:after="120" w:line="276" w:lineRule="auto"/>
        <w:jc w:val="both"/>
        <w:rPr>
          <w:rFonts w:asciiTheme="majorHAnsi" w:hAnsiTheme="majorHAnsi" w:cstheme="majorHAnsi"/>
          <w:color w:val="1F1F1F"/>
          <w:sz w:val="24"/>
          <w:szCs w:val="24"/>
        </w:rPr>
      </w:pPr>
    </w:p>
    <w:p w14:paraId="3A633502" w14:textId="77777777" w:rsidR="00F87908" w:rsidRDefault="00F87908" w:rsidP="00F37B27">
      <w:pPr>
        <w:pStyle w:val="FormtovanvHTML"/>
        <w:spacing w:after="120" w:line="276" w:lineRule="auto"/>
        <w:jc w:val="both"/>
        <w:rPr>
          <w:rFonts w:asciiTheme="majorHAnsi" w:hAnsiTheme="majorHAnsi" w:cstheme="majorHAnsi"/>
          <w:color w:val="1F1F1F"/>
          <w:sz w:val="24"/>
          <w:szCs w:val="24"/>
        </w:rPr>
      </w:pPr>
    </w:p>
    <w:p w14:paraId="54F6E927" w14:textId="65641AEC" w:rsidR="00734A07" w:rsidRDefault="00734A07" w:rsidP="00F37B27">
      <w:pPr>
        <w:pStyle w:val="FormtovanvHTML"/>
        <w:spacing w:after="120" w:line="276" w:lineRule="auto"/>
        <w:jc w:val="both"/>
        <w:rPr>
          <w:rFonts w:asciiTheme="majorHAnsi" w:hAnsiTheme="majorHAnsi" w:cstheme="majorHAnsi"/>
          <w:color w:val="2C2D5B"/>
          <w:sz w:val="24"/>
          <w:szCs w:val="24"/>
        </w:rPr>
      </w:pPr>
      <w:r w:rsidRPr="00FC0C5F">
        <w:rPr>
          <w:rFonts w:asciiTheme="majorHAnsi" w:hAnsiTheme="majorHAnsi" w:cstheme="majorHAnsi"/>
          <w:color w:val="2C2D5B"/>
          <w:sz w:val="24"/>
          <w:szCs w:val="24"/>
        </w:rPr>
        <w:t xml:space="preserve">In the case of only presenting allegations regarding the substantive rules of EU law, it should be remembered that compliance with fundamental rights is a condition for the validity of EU rules, and therefore national judges can always raise its relevance </w:t>
      </w:r>
      <w:r w:rsidRPr="00FC0C5F">
        <w:rPr>
          <w:rFonts w:asciiTheme="majorHAnsi" w:hAnsiTheme="majorHAnsi" w:cstheme="majorHAnsi"/>
          <w:i/>
          <w:color w:val="2C2D5B"/>
          <w:sz w:val="24"/>
          <w:szCs w:val="24"/>
        </w:rPr>
        <w:t>ex oficio</w:t>
      </w:r>
      <w:r w:rsidRPr="00FC0C5F">
        <w:rPr>
          <w:rFonts w:asciiTheme="majorHAnsi" w:hAnsiTheme="majorHAnsi" w:cstheme="majorHAnsi"/>
          <w:color w:val="2C2D5B"/>
          <w:sz w:val="24"/>
          <w:szCs w:val="24"/>
        </w:rPr>
        <w:t>. In other words</w:t>
      </w:r>
      <w:r w:rsidRPr="00FC0C5F">
        <w:rPr>
          <w:rFonts w:asciiTheme="majorHAnsi" w:hAnsiTheme="majorHAnsi" w:cstheme="majorHAnsi"/>
          <w:b/>
          <w:bCs/>
          <w:color w:val="2C2D5B"/>
          <w:sz w:val="24"/>
          <w:szCs w:val="24"/>
        </w:rPr>
        <w:t>, it is very important that the lawyer endeavors to introduce EU law into the proceedings in accordance with the national procedural regime</w:t>
      </w:r>
      <w:r w:rsidRPr="00FC0C5F">
        <w:rPr>
          <w:rFonts w:asciiTheme="majorHAnsi" w:hAnsiTheme="majorHAnsi" w:cstheme="majorHAnsi"/>
          <w:color w:val="2C2D5B"/>
          <w:sz w:val="24"/>
          <w:szCs w:val="24"/>
        </w:rPr>
        <w:t>, as the application of fundamental rights is not required to be specifically included in the reasons of the parties.</w:t>
      </w:r>
    </w:p>
    <w:p w14:paraId="4B61EAF5" w14:textId="4C69C5BF" w:rsidR="00832A7C" w:rsidRPr="00FC0C5F" w:rsidRDefault="00832A7C" w:rsidP="00F37B27">
      <w:pPr>
        <w:pStyle w:val="FormtovanvHTML"/>
        <w:spacing w:after="120" w:line="276" w:lineRule="auto"/>
        <w:jc w:val="both"/>
        <w:rPr>
          <w:rFonts w:asciiTheme="majorHAnsi" w:hAnsiTheme="majorHAnsi" w:cstheme="majorHAnsi"/>
          <w:color w:val="2C2D5B"/>
          <w:sz w:val="24"/>
          <w:szCs w:val="24"/>
        </w:rPr>
      </w:pPr>
      <w:r w:rsidRPr="00832A7C">
        <w:rPr>
          <w:rFonts w:ascii="Calibri" w:hAnsi="Calibri" w:cs="Calibri"/>
          <w:noProof/>
          <w:color w:val="1F1F1F"/>
        </w:rPr>
        <w:drawing>
          <wp:anchor distT="0" distB="0" distL="114300" distR="114300" simplePos="0" relativeHeight="251944960" behindDoc="0" locked="0" layoutInCell="1" allowOverlap="1" wp14:anchorId="33EE0682" wp14:editId="41150772">
            <wp:simplePos x="0" y="0"/>
            <wp:positionH relativeFrom="column">
              <wp:posOffset>4937125</wp:posOffset>
            </wp:positionH>
            <wp:positionV relativeFrom="paragraph">
              <wp:posOffset>109432</wp:posOffset>
            </wp:positionV>
            <wp:extent cx="530578" cy="476506"/>
            <wp:effectExtent l="0" t="0" r="3175" b="0"/>
            <wp:wrapNone/>
            <wp:docPr id="1167894797" name="Image 1" descr="Une image contenant clipart, dessin humoristique, jouet,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894797" name="Image 1" descr="Une image contenant clipart, dessin humoristique, jouet, illustration&#10;&#10;Description générée automatiquement"/>
                    <pic:cNvPicPr/>
                  </pic:nvPicPr>
                  <pic:blipFill>
                    <a:blip r:embed="rId52">
                      <a:extLst>
                        <a:ext uri="{28A0092B-C50C-407E-A947-70E740481C1C}">
                          <a14:useLocalDpi xmlns:a14="http://schemas.microsoft.com/office/drawing/2010/main" val="0"/>
                        </a:ext>
                      </a:extLst>
                    </a:blip>
                    <a:stretch>
                      <a:fillRect/>
                    </a:stretch>
                  </pic:blipFill>
                  <pic:spPr>
                    <a:xfrm>
                      <a:off x="0" y="0"/>
                      <a:ext cx="530578" cy="476506"/>
                    </a:xfrm>
                    <a:prstGeom prst="rect">
                      <a:avLst/>
                    </a:prstGeom>
                  </pic:spPr>
                </pic:pic>
              </a:graphicData>
            </a:graphic>
            <wp14:sizeRelH relativeFrom="page">
              <wp14:pctWidth>0</wp14:pctWidth>
            </wp14:sizeRelH>
            <wp14:sizeRelV relativeFrom="page">
              <wp14:pctHeight>0</wp14:pctHeight>
            </wp14:sizeRelV>
          </wp:anchor>
        </w:drawing>
      </w:r>
    </w:p>
    <w:p w14:paraId="164C5BB8" w14:textId="03499170" w:rsidR="00E744C3" w:rsidRDefault="00832A7C" w:rsidP="00F37B27">
      <w:pPr>
        <w:pStyle w:val="FormtovanvHTML"/>
        <w:spacing w:after="120" w:line="276" w:lineRule="auto"/>
        <w:jc w:val="both"/>
        <w:rPr>
          <w:rStyle w:val="y2iqfc"/>
          <w:rFonts w:asciiTheme="majorHAnsi" w:hAnsiTheme="majorHAnsi" w:cstheme="majorHAnsi"/>
          <w:color w:val="1F1F1F"/>
          <w:sz w:val="24"/>
          <w:szCs w:val="24"/>
        </w:rPr>
      </w:pPr>
      <w:r w:rsidRPr="00FC0C5F">
        <w:rPr>
          <w:rFonts w:ascii="Calibri" w:hAnsi="Calibri" w:cs="Calibri"/>
          <w:b/>
          <w:bCs/>
          <w:i/>
          <w:iCs/>
          <w:noProof/>
          <w:color w:val="2C2D5B"/>
          <w:sz w:val="24"/>
          <w:szCs w:val="24"/>
        </w:rPr>
        <mc:AlternateContent>
          <mc:Choice Requires="wps">
            <w:drawing>
              <wp:anchor distT="45720" distB="45720" distL="114300" distR="114300" simplePos="0" relativeHeight="251812864" behindDoc="0" locked="0" layoutInCell="1" allowOverlap="1" wp14:anchorId="5D5B2401" wp14:editId="57725C81">
                <wp:simplePos x="0" y="0"/>
                <wp:positionH relativeFrom="margin">
                  <wp:posOffset>3175</wp:posOffset>
                </wp:positionH>
                <wp:positionV relativeFrom="paragraph">
                  <wp:posOffset>93980</wp:posOffset>
                </wp:positionV>
                <wp:extent cx="5248275" cy="902970"/>
                <wp:effectExtent l="19050" t="19050" r="28575" b="11430"/>
                <wp:wrapSquare wrapText="bothSides"/>
                <wp:docPr id="103406306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48275" cy="902970"/>
                        </a:xfrm>
                        <a:prstGeom prst="roundRect">
                          <a:avLst/>
                        </a:prstGeom>
                        <a:solidFill>
                          <a:schemeClr val="bg1"/>
                        </a:solidFill>
                        <a:ln w="28575">
                          <a:solidFill>
                            <a:srgbClr val="C9CAE5"/>
                          </a:solidFill>
                          <a:miter lim="800000"/>
                          <a:headEnd/>
                          <a:tailEnd/>
                        </a:ln>
                      </wps:spPr>
                      <wps:txbx>
                        <w:txbxContent>
                          <w:p w14:paraId="7BD24559" w14:textId="74EC3F8F" w:rsidR="008B5458" w:rsidRPr="00C32062" w:rsidRDefault="008B5458" w:rsidP="008B5458">
                            <w:pPr>
                              <w:pStyle w:val="FormtovanvHTML"/>
                              <w:spacing w:after="120" w:line="276" w:lineRule="auto"/>
                              <w:jc w:val="both"/>
                              <w:rPr>
                                <w:rFonts w:ascii="Calibri" w:hAnsi="Calibri" w:cs="Calibri"/>
                                <w:i/>
                                <w:iCs/>
                                <w:color w:val="2C2D5B"/>
                                <w:sz w:val="24"/>
                                <w:szCs w:val="24"/>
                              </w:rPr>
                            </w:pPr>
                            <w:r w:rsidRPr="00C32062">
                              <w:rPr>
                                <w:rFonts w:ascii="Calibri" w:hAnsi="Calibri" w:cs="Calibri"/>
                                <w:b/>
                                <w:bCs/>
                                <w:i/>
                                <w:iCs/>
                                <w:color w:val="2C2D5B"/>
                                <w:sz w:val="24"/>
                                <w:szCs w:val="24"/>
                              </w:rPr>
                              <w:t>Strategy Tip</w:t>
                            </w:r>
                            <w:r w:rsidR="00FC0C5F" w:rsidRPr="00C32062">
                              <w:rPr>
                                <w:rFonts w:ascii="Calibri" w:hAnsi="Calibri" w:cs="Calibri"/>
                                <w:b/>
                                <w:bCs/>
                                <w:i/>
                                <w:iCs/>
                                <w:color w:val="2C2D5B"/>
                                <w:sz w:val="24"/>
                                <w:szCs w:val="24"/>
                              </w:rPr>
                              <w:t xml:space="preserve"> </w:t>
                            </w:r>
                            <w:r w:rsidRPr="00C32062">
                              <w:rPr>
                                <w:rFonts w:ascii="Calibri" w:hAnsi="Calibri" w:cs="Calibri"/>
                                <w:b/>
                                <w:bCs/>
                                <w:i/>
                                <w:iCs/>
                                <w:color w:val="2C2D5B"/>
                                <w:sz w:val="24"/>
                                <w:szCs w:val="24"/>
                              </w:rPr>
                              <w:t>:</w:t>
                            </w:r>
                            <w:r w:rsidRPr="00C32062">
                              <w:rPr>
                                <w:rFonts w:ascii="Calibri" w:hAnsi="Calibri" w:cs="Calibri"/>
                                <w:i/>
                                <w:iCs/>
                                <w:color w:val="2C2D5B"/>
                                <w:sz w:val="24"/>
                                <w:szCs w:val="24"/>
                              </w:rPr>
                              <w:t xml:space="preserve"> Integrate applicable EU provisions from the start of proceedings, as the court can raise fundamental rights issues independently if EU law is invoked. </w:t>
                            </w:r>
                          </w:p>
                          <w:p w14:paraId="323A3A0F" w14:textId="0EA21A29" w:rsidR="008B5458" w:rsidRPr="008B5458" w:rsidRDefault="008B545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5D5B2401" id="_x0000_s1049" style="position:absolute;left:0;text-align:left;margin-left:.25pt;margin-top:7.4pt;width:413.25pt;height:71.1pt;z-index:2518128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kIQIAACwEAAAOAAAAZHJzL2Uyb0RvYy54bWysU9uO2yAQfa/Uf0C8N3bcpEmsOKs0u1tV&#10;2l7UbT8AA7ZRMeMCiZ39+g44m42yb1X9gBgPHM6cObO+GVpNDtI6Baag00lKiTQchDJ1QX/9vH+3&#10;pMR5ZgTTYGRBj9LRm83bN+u+y2UGDWghLUEQ4/K+K2jjfZcnieONbJmbQCcNJiuwLfMY2joRlvWI&#10;3uokS9MPSQ9WdBa4dA7/3o5Juon4VSW5/1ZVTnqiC4rcfFxtXMuwJps1y2vLukbxEw32Dyxapgw+&#10;eoa6ZZ6RvVWvoFrFLTio/IRDm0BVKS5jDVjNNL2q5rFhnYy1oDiuO8vk/h8s/3p47L5b4oePMGAD&#10;YxGuewD+2xEDu4aZWm6thb6RTODD0yBZ0ncuP10NUrvcBZCy/wICm8z2HiLQUNk2qIJ1EkTHBhzP&#10;osvBE44/59lsmS3mlHDMrdJstYhdSVj+fLuzzn+S0JKwKaiFvRE/sLPxCXZ4cD5QYvnzufCiA63E&#10;vdI6BsFNcqctOTD0QVmPRVyd0ob0Bc2WcyTzGsLW5Rlgt9pt7+ZRiCuMVnm0s1ZtQZdp+EaDBe3u&#10;jIhm80zpcY+UtTmJGfQblfRDORAlkMn7cDmIW4I4orwWRvviuOGmAftESY/WLaj7s2dWUqI/G2zR&#10;ajqbBa/HYDZfZBjYy0x5mWGGI1RBPSXjdufjfAQJDGyxlZWKAr8wOXFGS0bdT+MTPH8Zx1MvQ775&#10;CwAA//8DAFBLAwQUAAYACAAAACEATgcTNdsAAAAHAQAADwAAAGRycy9kb3ducmV2LnhtbEyPQW/C&#10;MAyF75P4D5GRdhvpYGysa4oQElw4wSZ2DY1puyVOlQTa/ft5p3Gz33t6/lwsB2fFFUNsPSl4nGQg&#10;kCpvWqoVfLxvHhYgYtJktPWECn4wwrIc3RU6N76nPV4PqRZcQjHXCpqUulzKWDXodJz4Dom9sw9O&#10;J15DLU3QPZc7K6dZ9iydbokvNLrDdYPV9+HiFJxD71+z3fZYf2138nO/2sTjzCp1Px5WbyASDuk/&#10;DH/4jA4lM538hUwUVsGcc6w+MT+7i+kLf3ZiYc6DLAt5y1/+AgAA//8DAFBLAQItABQABgAIAAAA&#10;IQC2gziS/gAAAOEBAAATAAAAAAAAAAAAAAAAAAAAAABbQ29udGVudF9UeXBlc10ueG1sUEsBAi0A&#10;FAAGAAgAAAAhADj9If/WAAAAlAEAAAsAAAAAAAAAAAAAAAAALwEAAF9yZWxzLy5yZWxzUEsBAi0A&#10;FAAGAAgAAAAhALtv7+QhAgAALAQAAA4AAAAAAAAAAAAAAAAALgIAAGRycy9lMm9Eb2MueG1sUEsB&#10;Ai0AFAAGAAgAAAAhAE4HEzXbAAAABwEAAA8AAAAAAAAAAAAAAAAAewQAAGRycy9kb3ducmV2Lnht&#10;bFBLBQYAAAAABAAEAPMAAACDBQAAAAA=&#10;" fillcolor="white [3212]" strokecolor="#c9cae5" strokeweight="2.25pt">
                <v:stroke joinstyle="miter"/>
                <v:textbox>
                  <w:txbxContent>
                    <w:p w14:paraId="7BD24559" w14:textId="74EC3F8F" w:rsidR="008B5458" w:rsidRPr="00C32062" w:rsidRDefault="008B5458" w:rsidP="008B5458">
                      <w:pPr>
                        <w:pStyle w:val="PrformatHTML"/>
                        <w:spacing w:after="120" w:line="276" w:lineRule="auto"/>
                        <w:jc w:val="both"/>
                        <w:rPr>
                          <w:rFonts w:ascii="Calibri" w:hAnsi="Calibri" w:cs="Calibri"/>
                          <w:i/>
                          <w:iCs/>
                          <w:color w:val="2C2D5B"/>
                          <w:sz w:val="24"/>
                          <w:szCs w:val="24"/>
                        </w:rPr>
                      </w:pPr>
                      <w:r w:rsidRPr="00C32062">
                        <w:rPr>
                          <w:rFonts w:ascii="Calibri" w:hAnsi="Calibri" w:cs="Calibri"/>
                          <w:b/>
                          <w:bCs/>
                          <w:i/>
                          <w:iCs/>
                          <w:color w:val="2C2D5B"/>
                          <w:sz w:val="24"/>
                          <w:szCs w:val="24"/>
                        </w:rPr>
                        <w:t>Strategy Tip</w:t>
                      </w:r>
                      <w:r w:rsidR="00FC0C5F" w:rsidRPr="00C32062">
                        <w:rPr>
                          <w:rFonts w:ascii="Calibri" w:hAnsi="Calibri" w:cs="Calibri"/>
                          <w:b/>
                          <w:bCs/>
                          <w:i/>
                          <w:iCs/>
                          <w:color w:val="2C2D5B"/>
                          <w:sz w:val="24"/>
                          <w:szCs w:val="24"/>
                        </w:rPr>
                        <w:t xml:space="preserve"> </w:t>
                      </w:r>
                      <w:r w:rsidRPr="00C32062">
                        <w:rPr>
                          <w:rFonts w:ascii="Calibri" w:hAnsi="Calibri" w:cs="Calibri"/>
                          <w:b/>
                          <w:bCs/>
                          <w:i/>
                          <w:iCs/>
                          <w:color w:val="2C2D5B"/>
                          <w:sz w:val="24"/>
                          <w:szCs w:val="24"/>
                        </w:rPr>
                        <w:t>:</w:t>
                      </w:r>
                      <w:r w:rsidRPr="00C32062">
                        <w:rPr>
                          <w:rFonts w:ascii="Calibri" w:hAnsi="Calibri" w:cs="Calibri"/>
                          <w:i/>
                          <w:iCs/>
                          <w:color w:val="2C2D5B"/>
                          <w:sz w:val="24"/>
                          <w:szCs w:val="24"/>
                        </w:rPr>
                        <w:t xml:space="preserve"> Integrate applicable EU provisions from the start of proceedings, as the court can raise fundamental rights issues independently if EU law is invoked. </w:t>
                      </w:r>
                    </w:p>
                    <w:p w14:paraId="323A3A0F" w14:textId="0EA21A29" w:rsidR="008B5458" w:rsidRPr="008B5458" w:rsidRDefault="008B5458"/>
                  </w:txbxContent>
                </v:textbox>
                <w10:wrap type="square" anchorx="margin"/>
              </v:roundrect>
            </w:pict>
          </mc:Fallback>
        </mc:AlternateContent>
      </w:r>
    </w:p>
    <w:p w14:paraId="222F1082" w14:textId="008469AA" w:rsidR="00FC0C5F" w:rsidRDefault="00FC0C5F" w:rsidP="00F37B27">
      <w:pPr>
        <w:pStyle w:val="FormtovanvHTML"/>
        <w:spacing w:after="120" w:line="276" w:lineRule="auto"/>
        <w:jc w:val="both"/>
        <w:rPr>
          <w:rStyle w:val="y2iqfc"/>
          <w:rFonts w:asciiTheme="majorHAnsi" w:hAnsiTheme="majorHAnsi" w:cstheme="majorHAnsi"/>
          <w:color w:val="1F1F1F"/>
          <w:sz w:val="24"/>
          <w:szCs w:val="24"/>
        </w:rPr>
      </w:pPr>
    </w:p>
    <w:p w14:paraId="46BCFF88" w14:textId="72A883A4" w:rsidR="00FC0C5F" w:rsidRDefault="00FC0C5F" w:rsidP="00F37B27">
      <w:pPr>
        <w:pStyle w:val="FormtovanvHTML"/>
        <w:spacing w:after="120" w:line="276" w:lineRule="auto"/>
        <w:jc w:val="both"/>
        <w:rPr>
          <w:rStyle w:val="y2iqfc"/>
          <w:rFonts w:asciiTheme="majorHAnsi" w:hAnsiTheme="majorHAnsi" w:cstheme="majorHAnsi"/>
          <w:color w:val="1F1F1F"/>
          <w:sz w:val="24"/>
          <w:szCs w:val="24"/>
        </w:rPr>
      </w:pPr>
    </w:p>
    <w:p w14:paraId="37AEE9C7" w14:textId="0C785CDA" w:rsidR="00FC0C5F" w:rsidRDefault="00FC0C5F" w:rsidP="00F37B27">
      <w:pPr>
        <w:pStyle w:val="FormtovanvHTML"/>
        <w:spacing w:after="120" w:line="276" w:lineRule="auto"/>
        <w:jc w:val="both"/>
        <w:rPr>
          <w:rStyle w:val="y2iqfc"/>
          <w:rFonts w:asciiTheme="majorHAnsi" w:hAnsiTheme="majorHAnsi" w:cstheme="majorHAnsi"/>
          <w:color w:val="1F1F1F"/>
          <w:sz w:val="24"/>
          <w:szCs w:val="24"/>
        </w:rPr>
      </w:pPr>
    </w:p>
    <w:p w14:paraId="786BB06C" w14:textId="34FC2DB1" w:rsidR="00FC0C5F" w:rsidRDefault="00FC0C5F" w:rsidP="00F37B27">
      <w:pPr>
        <w:pStyle w:val="FormtovanvHTML"/>
        <w:spacing w:after="120" w:line="276" w:lineRule="auto"/>
        <w:jc w:val="both"/>
        <w:rPr>
          <w:rStyle w:val="y2iqfc"/>
          <w:rFonts w:asciiTheme="majorHAnsi" w:hAnsiTheme="majorHAnsi" w:cstheme="majorHAnsi"/>
          <w:color w:val="1F1F1F"/>
          <w:sz w:val="24"/>
          <w:szCs w:val="24"/>
        </w:rPr>
      </w:pPr>
    </w:p>
    <w:p w14:paraId="26A4E3A5" w14:textId="43AEF237" w:rsidR="00FC0C5F" w:rsidRPr="00FC0C5F" w:rsidRDefault="00F82879" w:rsidP="00F37B27">
      <w:pPr>
        <w:pStyle w:val="FormtovanvHTML"/>
        <w:spacing w:after="120" w:line="276" w:lineRule="auto"/>
        <w:jc w:val="both"/>
        <w:rPr>
          <w:rStyle w:val="y2iqfc"/>
          <w:rFonts w:asciiTheme="majorHAnsi" w:hAnsiTheme="majorHAnsi" w:cstheme="majorHAnsi"/>
          <w:color w:val="2C2D5B"/>
          <w:sz w:val="24"/>
          <w:szCs w:val="24"/>
        </w:rPr>
      </w:pPr>
      <w:r>
        <w:rPr>
          <w:rFonts w:asciiTheme="majorHAnsi" w:hAnsiTheme="majorHAnsi" w:cstheme="majorHAnsi"/>
          <w:noProof/>
          <w:color w:val="000000"/>
          <w14:ligatures w14:val="standardContextual"/>
        </w:rPr>
        <mc:AlternateContent>
          <mc:Choice Requires="wps">
            <w:drawing>
              <wp:anchor distT="0" distB="0" distL="114300" distR="114300" simplePos="0" relativeHeight="251942912" behindDoc="0" locked="0" layoutInCell="1" allowOverlap="1" wp14:anchorId="2151B9E8" wp14:editId="24C778A3">
                <wp:simplePos x="0" y="0"/>
                <wp:positionH relativeFrom="column">
                  <wp:posOffset>5450346</wp:posOffset>
                </wp:positionH>
                <wp:positionV relativeFrom="paragraph">
                  <wp:posOffset>87630</wp:posOffset>
                </wp:positionV>
                <wp:extent cx="670560" cy="620395"/>
                <wp:effectExtent l="0" t="0" r="0" b="8255"/>
                <wp:wrapNone/>
                <wp:docPr id="278608051" name="Ellipse 68"/>
                <wp:cNvGraphicFramePr/>
                <a:graphic xmlns:a="http://schemas.openxmlformats.org/drawingml/2006/main">
                  <a:graphicData uri="http://schemas.microsoft.com/office/word/2010/wordprocessingShape">
                    <wps:wsp>
                      <wps:cNvSpPr/>
                      <wps:spPr>
                        <a:xfrm>
                          <a:off x="0" y="0"/>
                          <a:ext cx="670560" cy="620395"/>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584500E3" id="Ellipse 68" o:spid="_x0000_s1026" style="position:absolute;margin-left:429.15pt;margin-top:6.9pt;width:52.8pt;height:48.85pt;z-index:2519429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urfAIAAGAFAAAOAAAAZHJzL2Uyb0RvYy54bWysVFFv2yAQfp+0/4B4X21nSbpGcaooVadJ&#10;VVutnfpMMMRImGNA4mS/fgd2nHSt9jDtBQN3993d5++YX+8bTXbCeQWmpMVFTokwHCplNiX98Xz7&#10;6QslPjBTMQ1GlPQgPL1efPwwb+1MjKAGXQlHEMT4WWtLWodgZ1nmeS0a5i/ACoNGCa5hAY9uk1WO&#10;tYje6GyU59OsBVdZB1x4j7c3nZEuEr6UgocHKb0IRJcUawtpdWldxzVbzNls45itFe/LYP9QRcOU&#10;waQD1A0LjGydegPVKO7AgwwXHJoMpFRcpB6wmyL/o5unmlmRekFyvB1o8v8Plt/vnuyjQxpa62ce&#10;t7GLvXRN/GJ9ZJ/IOgxkiX0gHC+nl/lkipRyNE1H+eerSSQzOwVb58NXAQ2Jm5IKrZX1sR02Y7s7&#10;Hzrvo1e89qBVdau0TocoAbHSjuwY/rz1pujxX3lpE30NxKgOMN5kp2bSLhy0iH7afBeSqArLH6VC&#10;ks5OSRjnwoSiM9WsEl3uYpLnSSrY3RCRek2AEVli/gG7B3jdwBG7q7L3j6EiyXQIzv9WWBc8RKTM&#10;YMIQ3CgD7j0AjV31mTv/I0kdNZGlNVSHR0ccdEPiLb9V+OfumA+PzOFU4M/GSQ8PuEgNbUmh31FS&#10;g/v13n30R7GilZIWp6yk/ueWOUGJ/mZQxlfFeBzHMh3Gk8sRHty5ZX1uMdtmBaiFAt8Uy9M2+gd9&#10;3EoHzQs+CMuYFU3McMxdUh7c8bAK3fTjk8LFcpnccBQtC3fmyfIIHlmNsnzevzBne/kG1P09HCfy&#10;jYQ73xhpYLkNIFXS94nXnm8c4ySc/smJ78T5OXmdHsbFbwAAAP//AwBQSwMEFAAGAAgAAAAhAGzq&#10;PkfhAAAACgEAAA8AAABkcnMvZG93bnJldi54bWxMj0tPwzAQhO9I/AdrkbhRJ1ip0hCnQrwu5SHS&#10;SoibG5skaryObLcJ/57lBMed+TQ7U65nO7CT8aF3KCFdJMAMNk732ErYbR+vcmAhKtRqcGgkfJsA&#10;6+r8rFSFdhO+m1MdW0YhGAoloYtxLDgPTWesCgs3GiTvy3mrIp2+5dqricLtwK+TZMmt6pE+dGo0&#10;d51pDvXRSnj+eD0Inz3dv708bKY6EVlfbz6lvLyYb2+ARTPHPxh+61N1qKjT3h1RBzZIyLNcEEqG&#10;oAkErJZiBWxPQppmwKuS/59Q/QAAAP//AwBQSwECLQAUAAYACAAAACEAtoM4kv4AAADhAQAAEwAA&#10;AAAAAAAAAAAAAAAAAAAAW0NvbnRlbnRfVHlwZXNdLnhtbFBLAQItABQABgAIAAAAIQA4/SH/1gAA&#10;AJQBAAALAAAAAAAAAAAAAAAAAC8BAABfcmVscy8ucmVsc1BLAQItABQABgAIAAAAIQA/U9urfAIA&#10;AGAFAAAOAAAAAAAAAAAAAAAAAC4CAABkcnMvZTJvRG9jLnhtbFBLAQItABQABgAIAAAAIQBs6j5H&#10;4QAAAAoBAAAPAAAAAAAAAAAAAAAAANYEAABkcnMvZG93bnJldi54bWxQSwUGAAAAAAQABADzAAAA&#10;5AUAAAAA&#10;" fillcolor="white [3212]" stroked="f" strokeweight="1pt">
                <v:stroke joinstyle="miter"/>
              </v:oval>
            </w:pict>
          </mc:Fallback>
        </mc:AlternateContent>
      </w:r>
      <w:r w:rsidRPr="007A6459">
        <w:rPr>
          <w:rFonts w:asciiTheme="majorHAnsi" w:hAnsiTheme="majorHAnsi" w:cstheme="majorHAnsi"/>
          <w:noProof/>
          <w:color w:val="000000"/>
        </w:rPr>
        <w:drawing>
          <wp:anchor distT="0" distB="0" distL="114300" distR="114300" simplePos="0" relativeHeight="251943936" behindDoc="0" locked="0" layoutInCell="1" allowOverlap="1" wp14:anchorId="11354D96" wp14:editId="298F09D7">
            <wp:simplePos x="0" y="0"/>
            <wp:positionH relativeFrom="column">
              <wp:posOffset>5519843</wp:posOffset>
            </wp:positionH>
            <wp:positionV relativeFrom="paragraph">
              <wp:posOffset>83185</wp:posOffset>
            </wp:positionV>
            <wp:extent cx="518795" cy="514350"/>
            <wp:effectExtent l="0" t="0" r="0" b="0"/>
            <wp:wrapNone/>
            <wp:docPr id="525980923" name="Image 1" descr="Une image contenant dessin humoristique, Silhouette d’animal, clipart, coch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876948" name="Image 1" descr="Une image contenant dessin humoristique, Silhouette d’animal, clipart, cochon&#10;&#10;Description générée automatiquement"/>
                    <pic:cNvPicPr/>
                  </pic:nvPicPr>
                  <pic:blipFill>
                    <a:blip r:embed="rId21">
                      <a:extLst>
                        <a:ext uri="{28A0092B-C50C-407E-A947-70E740481C1C}">
                          <a14:useLocalDpi xmlns:a14="http://schemas.microsoft.com/office/drawing/2010/main" val="0"/>
                        </a:ext>
                      </a:extLst>
                    </a:blip>
                    <a:stretch>
                      <a:fillRect/>
                    </a:stretch>
                  </pic:blipFill>
                  <pic:spPr>
                    <a:xfrm>
                      <a:off x="0" y="0"/>
                      <a:ext cx="518795" cy="514350"/>
                    </a:xfrm>
                    <a:prstGeom prst="rect">
                      <a:avLst/>
                    </a:prstGeom>
                  </pic:spPr>
                </pic:pic>
              </a:graphicData>
            </a:graphic>
            <wp14:sizeRelH relativeFrom="page">
              <wp14:pctWidth>0</wp14:pctWidth>
            </wp14:sizeRelH>
            <wp14:sizeRelV relativeFrom="page">
              <wp14:pctHeight>0</wp14:pctHeight>
            </wp14:sizeRelV>
          </wp:anchor>
        </w:drawing>
      </w:r>
    </w:p>
    <w:p w14:paraId="66895DDC" w14:textId="3A8A687B" w:rsidR="00566271" w:rsidRPr="00FC0C5F" w:rsidRDefault="00FC0C5F" w:rsidP="00F37B27">
      <w:pPr>
        <w:pStyle w:val="FormtovanvHTML"/>
        <w:spacing w:after="120" w:line="276" w:lineRule="auto"/>
        <w:jc w:val="both"/>
        <w:rPr>
          <w:rStyle w:val="y2iqfc"/>
          <w:rFonts w:asciiTheme="majorHAnsi" w:hAnsiTheme="majorHAnsi" w:cstheme="majorHAnsi"/>
          <w:color w:val="2C2D5B"/>
          <w:sz w:val="24"/>
          <w:szCs w:val="24"/>
        </w:rPr>
      </w:pPr>
      <w:r w:rsidRPr="00FC0C5F">
        <w:rPr>
          <w:rFonts w:asciiTheme="majorHAnsi" w:hAnsiTheme="majorHAnsi" w:cstheme="majorHAnsi"/>
          <w:noProof/>
          <w:color w:val="2C2D5B"/>
          <w:sz w:val="24"/>
          <w:szCs w:val="24"/>
        </w:rPr>
        <mc:AlternateContent>
          <mc:Choice Requires="wps">
            <w:drawing>
              <wp:anchor distT="45720" distB="45720" distL="114300" distR="114300" simplePos="0" relativeHeight="251748352" behindDoc="0" locked="0" layoutInCell="1" allowOverlap="1" wp14:anchorId="65170739" wp14:editId="71270EB5">
                <wp:simplePos x="0" y="0"/>
                <wp:positionH relativeFrom="margin">
                  <wp:posOffset>2679065</wp:posOffset>
                </wp:positionH>
                <wp:positionV relativeFrom="paragraph">
                  <wp:posOffset>110490</wp:posOffset>
                </wp:positionV>
                <wp:extent cx="3114675" cy="1659255"/>
                <wp:effectExtent l="0" t="0" r="28575" b="17145"/>
                <wp:wrapSquare wrapText="bothSides"/>
                <wp:docPr id="146494260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675" cy="1659255"/>
                        </a:xfrm>
                        <a:prstGeom prst="roundRect">
                          <a:avLst/>
                        </a:prstGeom>
                        <a:solidFill>
                          <a:schemeClr val="accent4">
                            <a:lumMod val="20000"/>
                            <a:lumOff val="80000"/>
                          </a:schemeClr>
                        </a:solidFill>
                        <a:ln w="9525">
                          <a:solidFill>
                            <a:schemeClr val="accent4">
                              <a:lumMod val="20000"/>
                              <a:lumOff val="80000"/>
                            </a:schemeClr>
                          </a:solidFill>
                          <a:miter lim="800000"/>
                          <a:headEnd/>
                          <a:tailEnd/>
                        </a:ln>
                      </wps:spPr>
                      <wps:txbx>
                        <w:txbxContent>
                          <w:p w14:paraId="4E860B7A" w14:textId="3015A07E" w:rsidR="003902D9" w:rsidRDefault="003902D9" w:rsidP="00FC0C5F">
                            <w:pPr>
                              <w:jc w:val="center"/>
                              <w:rPr>
                                <w:rFonts w:asciiTheme="minorHAnsi" w:hAnsiTheme="minorHAnsi" w:cstheme="minorHAnsi"/>
                                <w:b/>
                                <w:bCs/>
                                <w:color w:val="2C2D5B"/>
                                <w:sz w:val="20"/>
                                <w:szCs w:val="20"/>
                              </w:rPr>
                            </w:pPr>
                            <w:r w:rsidRPr="00FC0C5F">
                              <w:rPr>
                                <w:rFonts w:asciiTheme="minorHAnsi" w:hAnsiTheme="minorHAnsi" w:cstheme="minorHAnsi"/>
                                <w:b/>
                                <w:bCs/>
                                <w:color w:val="2C2D5B"/>
                                <w:sz w:val="20"/>
                                <w:szCs w:val="20"/>
                              </w:rPr>
                              <w:t>If interpreting the Charter raises complexities, lawyers can</w:t>
                            </w:r>
                            <w:r w:rsidR="00FC0C5F" w:rsidRPr="00FC0C5F">
                              <w:rPr>
                                <w:rFonts w:asciiTheme="minorHAnsi" w:hAnsiTheme="minorHAnsi" w:cstheme="minorHAnsi"/>
                                <w:b/>
                                <w:bCs/>
                                <w:color w:val="2C2D5B"/>
                                <w:sz w:val="20"/>
                                <w:szCs w:val="20"/>
                              </w:rPr>
                              <w:t xml:space="preserve"> </w:t>
                            </w:r>
                            <w:r w:rsidRPr="00FC0C5F">
                              <w:rPr>
                                <w:rFonts w:asciiTheme="minorHAnsi" w:hAnsiTheme="minorHAnsi" w:cstheme="minorHAnsi"/>
                                <w:b/>
                                <w:bCs/>
                                <w:color w:val="2C2D5B"/>
                                <w:sz w:val="20"/>
                                <w:szCs w:val="20"/>
                              </w:rPr>
                              <w:t>:</w:t>
                            </w:r>
                          </w:p>
                          <w:p w14:paraId="58C50550" w14:textId="77777777" w:rsidR="00F82879" w:rsidRPr="00FC0C5F" w:rsidRDefault="00F82879" w:rsidP="00FC0C5F">
                            <w:pPr>
                              <w:jc w:val="center"/>
                              <w:rPr>
                                <w:rFonts w:asciiTheme="minorHAnsi" w:hAnsiTheme="minorHAnsi" w:cstheme="minorHAnsi"/>
                                <w:b/>
                                <w:bCs/>
                                <w:color w:val="2C2D5B"/>
                                <w:sz w:val="20"/>
                                <w:szCs w:val="20"/>
                              </w:rPr>
                            </w:pPr>
                          </w:p>
                          <w:p w14:paraId="24E7A660" w14:textId="4C9563EA" w:rsidR="003902D9" w:rsidRPr="00FC0C5F" w:rsidRDefault="003902D9" w:rsidP="008B4B98">
                            <w:pPr>
                              <w:pStyle w:val="Odstavecseseznamem"/>
                              <w:numPr>
                                <w:ilvl w:val="0"/>
                                <w:numId w:val="14"/>
                              </w:numPr>
                              <w:rPr>
                                <w:rFonts w:asciiTheme="minorHAnsi" w:hAnsiTheme="minorHAnsi" w:cstheme="minorHAnsi"/>
                                <w:b/>
                                <w:bCs/>
                                <w:color w:val="2C2D5B"/>
                                <w:sz w:val="20"/>
                                <w:szCs w:val="20"/>
                              </w:rPr>
                            </w:pPr>
                            <w:r w:rsidRPr="00FC0C5F">
                              <w:rPr>
                                <w:rFonts w:asciiTheme="minorHAnsi" w:hAnsiTheme="minorHAnsi" w:cstheme="minorHAnsi"/>
                                <w:color w:val="2C2D5B"/>
                                <w:sz w:val="20"/>
                                <w:szCs w:val="20"/>
                              </w:rPr>
                              <w:t xml:space="preserve">Advocate for a </w:t>
                            </w:r>
                            <w:r w:rsidRPr="00FC0C5F">
                              <w:rPr>
                                <w:rFonts w:asciiTheme="minorHAnsi" w:hAnsiTheme="minorHAnsi" w:cstheme="minorHAnsi"/>
                                <w:b/>
                                <w:bCs/>
                                <w:color w:val="2C2D5B"/>
                                <w:sz w:val="20"/>
                                <w:szCs w:val="20"/>
                              </w:rPr>
                              <w:t xml:space="preserve">preliminary ruling from the CJEU </w:t>
                            </w:r>
                            <w:r w:rsidRPr="00FC0C5F">
                              <w:rPr>
                                <w:rFonts w:asciiTheme="minorHAnsi" w:hAnsiTheme="minorHAnsi" w:cstheme="minorHAnsi"/>
                                <w:color w:val="2C2D5B"/>
                                <w:sz w:val="20"/>
                                <w:szCs w:val="20"/>
                              </w:rPr>
                              <w:t xml:space="preserve">to resolve interpretation challenges </w:t>
                            </w:r>
                          </w:p>
                          <w:p w14:paraId="52F5C187" w14:textId="602FBFFC" w:rsidR="003902D9" w:rsidRPr="00FC0C5F" w:rsidRDefault="003902D9" w:rsidP="008B4B98">
                            <w:pPr>
                              <w:pStyle w:val="Odstavecseseznamem"/>
                              <w:numPr>
                                <w:ilvl w:val="0"/>
                                <w:numId w:val="14"/>
                              </w:numPr>
                              <w:rPr>
                                <w:rFonts w:asciiTheme="minorHAnsi" w:hAnsiTheme="minorHAnsi" w:cstheme="minorHAnsi"/>
                                <w:b/>
                                <w:bCs/>
                                <w:color w:val="2C2D5B"/>
                                <w:sz w:val="20"/>
                                <w:szCs w:val="20"/>
                              </w:rPr>
                            </w:pPr>
                            <w:r w:rsidRPr="00FC0C5F">
                              <w:rPr>
                                <w:rFonts w:asciiTheme="minorHAnsi" w:hAnsiTheme="minorHAnsi" w:cstheme="minorHAnsi"/>
                                <w:color w:val="2C2D5B"/>
                                <w:sz w:val="20"/>
                                <w:szCs w:val="20"/>
                              </w:rPr>
                              <w:t xml:space="preserve">Argue for non-application of conflicting national laws if they cannot be interpreted consistently with the Charter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65170739" id="_x0000_s1050" style="position:absolute;left:0;text-align:left;margin-left:210.95pt;margin-top:8.7pt;width:245.25pt;height:130.65pt;z-index:2517483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X20NwIAAKkEAAAOAAAAZHJzL2Uyb0RvYy54bWy0VNuO0zAQfUfiHyy/0zQh6W6jpqulyyKk&#10;5SIWPsB1nMbC8RjbbVK+nrGTdrvwhuDF8szEZ87MmcnqZugUOQjrJOiKprM5JUJzqKXeVfTb1/tX&#10;15Q4z3TNFGhR0aNw9Gb98sWqN6XIoAVVC0sQRLuyNxVtvTdlkjjeio65GRihMdiA7ZhH0+6S2rIe&#10;0TuVZPP5IunB1sYCF86h924M0nXEbxrB/aemccITVVHk5uNp47kNZ7JesXJnmWkln2iwv2DRMakx&#10;6RnqjnlG9lb+AdVJbsFB42ccugSaRnIRa8Bq0vlv1Ty2zIhYCzbHmXOb3L+D5R8Pj+azJX54AwMK&#10;GItw5gH4d0c0bFqmd+LWWuhbwWpMnIaWJb1x5fQ0tNqVLoBs+w9Qo8hs7yECDY3tQlewToLoKMDx&#10;3HQxeMLR+TpN88VVQQnHWLoolllRxBysPD031vl3AjoSLhW1sNf1F5Q25mCHB+cDJ1aevgspHShZ&#10;30ulohHGSWyUJQeGg8A4F9rn8bnad0h69ONAzaeRQDcOzui+PrkxRRzMgBQTPkuiNOkruiyyIgI/&#10;i52f/U8CnfS4S0p2FY2Up1KCcG91HSfdM6nGO9ai9KRkEG+U0Q/bgci6olkeNAjKbqE+orYWxt3B&#10;XcdLC/YnJT3uTUXdjz2zghL1XuN8LNM8D4sWjby4ytCwl5HtZYRpjlAV9ZSM142PyxlE03CLc9TI&#10;KO4Tk4kz7kOUYNrdsHCXdvzq6Q+z/gUAAP//AwBQSwMEFAAGAAgAAAAhANuYTR7iAAAACgEAAA8A&#10;AABkcnMvZG93bnJldi54bWxMj8FOwzAMhu9IvENkJG4sbTXRrTSdBqgH0A4wJo1j1pi2onFKk61l&#10;T485wc3W/+n353w12U6ccPCtIwXxLAKBVDnTUq1g91beLED4oMnozhEq+EYPq+LyIteZcSO94mkb&#10;asEl5DOtoAmhz6T0VYNW+5nrkTj7cIPVgdehlmbQI5fbTiZRdCutbokvNLrHhwarz+3RKnj3X7tm&#10;Pd6fH/f7c/nsN0+bl7JX6vpqWt+BCDiFPxh+9VkdCnY6uCMZLzoF8yReMspBOgfBwDJOeDgoSNJF&#10;CrLI5f8Xih8AAAD//wMAUEsBAi0AFAAGAAgAAAAhALaDOJL+AAAA4QEAABMAAAAAAAAAAAAAAAAA&#10;AAAAAFtDb250ZW50X1R5cGVzXS54bWxQSwECLQAUAAYACAAAACEAOP0h/9YAAACUAQAACwAAAAAA&#10;AAAAAAAAAAAvAQAAX3JlbHMvLnJlbHNQSwECLQAUAAYACAAAACEAGWl9tDcCAACpBAAADgAAAAAA&#10;AAAAAAAAAAAuAgAAZHJzL2Uyb0RvYy54bWxQSwECLQAUAAYACAAAACEA25hNHuIAAAAKAQAADwAA&#10;AAAAAAAAAAAAAACRBAAAZHJzL2Rvd25yZXYueG1sUEsFBgAAAAAEAAQA8wAAAKAFAAAAAA==&#10;" fillcolor="#fff2cc [663]" strokecolor="#fff2cc [663]">
                <v:stroke joinstyle="miter"/>
                <v:textbox>
                  <w:txbxContent>
                    <w:p w14:paraId="4E860B7A" w14:textId="3015A07E" w:rsidR="003902D9" w:rsidRDefault="003902D9" w:rsidP="00FC0C5F">
                      <w:pPr>
                        <w:jc w:val="center"/>
                        <w:rPr>
                          <w:rFonts w:asciiTheme="minorHAnsi" w:hAnsiTheme="minorHAnsi" w:cstheme="minorHAnsi"/>
                          <w:b/>
                          <w:bCs/>
                          <w:color w:val="2C2D5B"/>
                          <w:sz w:val="20"/>
                          <w:szCs w:val="20"/>
                        </w:rPr>
                      </w:pPr>
                      <w:r w:rsidRPr="00FC0C5F">
                        <w:rPr>
                          <w:rFonts w:asciiTheme="minorHAnsi" w:hAnsiTheme="minorHAnsi" w:cstheme="minorHAnsi"/>
                          <w:b/>
                          <w:bCs/>
                          <w:color w:val="2C2D5B"/>
                          <w:sz w:val="20"/>
                          <w:szCs w:val="20"/>
                        </w:rPr>
                        <w:t>If interpreting the Charter raises complexities, lawyers can</w:t>
                      </w:r>
                      <w:r w:rsidR="00FC0C5F" w:rsidRPr="00FC0C5F">
                        <w:rPr>
                          <w:rFonts w:asciiTheme="minorHAnsi" w:hAnsiTheme="minorHAnsi" w:cstheme="minorHAnsi"/>
                          <w:b/>
                          <w:bCs/>
                          <w:color w:val="2C2D5B"/>
                          <w:sz w:val="20"/>
                          <w:szCs w:val="20"/>
                        </w:rPr>
                        <w:t xml:space="preserve"> </w:t>
                      </w:r>
                      <w:r w:rsidRPr="00FC0C5F">
                        <w:rPr>
                          <w:rFonts w:asciiTheme="minorHAnsi" w:hAnsiTheme="minorHAnsi" w:cstheme="minorHAnsi"/>
                          <w:b/>
                          <w:bCs/>
                          <w:color w:val="2C2D5B"/>
                          <w:sz w:val="20"/>
                          <w:szCs w:val="20"/>
                        </w:rPr>
                        <w:t>:</w:t>
                      </w:r>
                    </w:p>
                    <w:p w14:paraId="58C50550" w14:textId="77777777" w:rsidR="00F82879" w:rsidRPr="00FC0C5F" w:rsidRDefault="00F82879" w:rsidP="00FC0C5F">
                      <w:pPr>
                        <w:jc w:val="center"/>
                        <w:rPr>
                          <w:rFonts w:asciiTheme="minorHAnsi" w:hAnsiTheme="minorHAnsi" w:cstheme="minorHAnsi"/>
                          <w:b/>
                          <w:bCs/>
                          <w:color w:val="2C2D5B"/>
                          <w:sz w:val="20"/>
                          <w:szCs w:val="20"/>
                        </w:rPr>
                      </w:pPr>
                    </w:p>
                    <w:p w14:paraId="24E7A660" w14:textId="4C9563EA" w:rsidR="003902D9" w:rsidRPr="00FC0C5F" w:rsidRDefault="003902D9" w:rsidP="008B4B98">
                      <w:pPr>
                        <w:pStyle w:val="Paragraphedeliste"/>
                        <w:numPr>
                          <w:ilvl w:val="0"/>
                          <w:numId w:val="14"/>
                        </w:numPr>
                        <w:rPr>
                          <w:rFonts w:asciiTheme="minorHAnsi" w:hAnsiTheme="minorHAnsi" w:cstheme="minorHAnsi"/>
                          <w:b/>
                          <w:bCs/>
                          <w:color w:val="2C2D5B"/>
                          <w:sz w:val="20"/>
                          <w:szCs w:val="20"/>
                        </w:rPr>
                      </w:pPr>
                      <w:r w:rsidRPr="00FC0C5F">
                        <w:rPr>
                          <w:rFonts w:asciiTheme="minorHAnsi" w:hAnsiTheme="minorHAnsi" w:cstheme="minorHAnsi"/>
                          <w:color w:val="2C2D5B"/>
                          <w:sz w:val="20"/>
                          <w:szCs w:val="20"/>
                        </w:rPr>
                        <w:t xml:space="preserve">Advocate for a </w:t>
                      </w:r>
                      <w:r w:rsidRPr="00FC0C5F">
                        <w:rPr>
                          <w:rFonts w:asciiTheme="minorHAnsi" w:hAnsiTheme="minorHAnsi" w:cstheme="minorHAnsi"/>
                          <w:b/>
                          <w:bCs/>
                          <w:color w:val="2C2D5B"/>
                          <w:sz w:val="20"/>
                          <w:szCs w:val="20"/>
                        </w:rPr>
                        <w:t xml:space="preserve">preliminary ruling from the CJEU </w:t>
                      </w:r>
                      <w:r w:rsidRPr="00FC0C5F">
                        <w:rPr>
                          <w:rFonts w:asciiTheme="minorHAnsi" w:hAnsiTheme="minorHAnsi" w:cstheme="minorHAnsi"/>
                          <w:color w:val="2C2D5B"/>
                          <w:sz w:val="20"/>
                          <w:szCs w:val="20"/>
                        </w:rPr>
                        <w:t xml:space="preserve">to resolve interpretation challenges </w:t>
                      </w:r>
                    </w:p>
                    <w:p w14:paraId="52F5C187" w14:textId="602FBFFC" w:rsidR="003902D9" w:rsidRPr="00FC0C5F" w:rsidRDefault="003902D9" w:rsidP="008B4B98">
                      <w:pPr>
                        <w:pStyle w:val="Paragraphedeliste"/>
                        <w:numPr>
                          <w:ilvl w:val="0"/>
                          <w:numId w:val="14"/>
                        </w:numPr>
                        <w:rPr>
                          <w:rFonts w:asciiTheme="minorHAnsi" w:hAnsiTheme="minorHAnsi" w:cstheme="minorHAnsi"/>
                          <w:b/>
                          <w:bCs/>
                          <w:color w:val="2C2D5B"/>
                          <w:sz w:val="20"/>
                          <w:szCs w:val="20"/>
                        </w:rPr>
                      </w:pPr>
                      <w:r w:rsidRPr="00FC0C5F">
                        <w:rPr>
                          <w:rFonts w:asciiTheme="minorHAnsi" w:hAnsiTheme="minorHAnsi" w:cstheme="minorHAnsi"/>
                          <w:color w:val="2C2D5B"/>
                          <w:sz w:val="20"/>
                          <w:szCs w:val="20"/>
                        </w:rPr>
                        <w:t xml:space="preserve">Argue for non-application of conflicting national laws if they cannot be interpreted consistently with the Charter </w:t>
                      </w:r>
                    </w:p>
                  </w:txbxContent>
                </v:textbox>
                <w10:wrap type="square" anchorx="margin"/>
              </v:roundrect>
            </w:pict>
          </mc:Fallback>
        </mc:AlternateContent>
      </w:r>
      <w:r w:rsidR="00A47BFB" w:rsidRPr="00FC0C5F">
        <w:rPr>
          <w:rStyle w:val="y2iqfc"/>
          <w:rFonts w:asciiTheme="majorHAnsi" w:hAnsiTheme="majorHAnsi" w:cstheme="majorHAnsi"/>
          <w:color w:val="2C2D5B"/>
          <w:sz w:val="24"/>
          <w:szCs w:val="24"/>
        </w:rPr>
        <w:t>However, i</w:t>
      </w:r>
      <w:r w:rsidR="00566271" w:rsidRPr="00FC0C5F">
        <w:rPr>
          <w:rStyle w:val="y2iqfc"/>
          <w:rFonts w:asciiTheme="majorHAnsi" w:hAnsiTheme="majorHAnsi" w:cstheme="majorHAnsi"/>
          <w:color w:val="2C2D5B"/>
          <w:sz w:val="24"/>
          <w:szCs w:val="24"/>
        </w:rPr>
        <w:t>n the event that a compliant interpretation is unlikely, or it may raise difficulties, the lawyer can also contribute to the elaboration of the necessary analysis in order to convince the national judge to request a preliminary ruling or, even, the non-application of the national rule</w:t>
      </w:r>
      <w:r w:rsidR="00A47BFB" w:rsidRPr="00FC0C5F">
        <w:rPr>
          <w:rStyle w:val="y2iqfc"/>
          <w:rFonts w:asciiTheme="majorHAnsi" w:hAnsiTheme="majorHAnsi" w:cstheme="majorHAnsi"/>
          <w:color w:val="2C2D5B"/>
          <w:sz w:val="24"/>
          <w:szCs w:val="24"/>
        </w:rPr>
        <w:t xml:space="preserve"> introducing the Charter compliance as a good argument</w:t>
      </w:r>
      <w:r w:rsidR="00566271" w:rsidRPr="00FC0C5F">
        <w:rPr>
          <w:rStyle w:val="y2iqfc"/>
          <w:rFonts w:asciiTheme="majorHAnsi" w:hAnsiTheme="majorHAnsi" w:cstheme="majorHAnsi"/>
          <w:color w:val="2C2D5B"/>
          <w:sz w:val="24"/>
          <w:szCs w:val="24"/>
        </w:rPr>
        <w:t>.</w:t>
      </w:r>
    </w:p>
    <w:p w14:paraId="381EE193" w14:textId="4846825D" w:rsidR="003902D9" w:rsidRPr="005A6959" w:rsidRDefault="003902D9" w:rsidP="00F37B27">
      <w:pPr>
        <w:pStyle w:val="FormtovanvHTML"/>
        <w:spacing w:after="120" w:line="276" w:lineRule="auto"/>
        <w:jc w:val="both"/>
        <w:rPr>
          <w:rStyle w:val="y2iqfc"/>
          <w:rFonts w:ascii="Calibri" w:hAnsi="Calibri" w:cs="Calibri"/>
          <w:color w:val="1F1F1F"/>
          <w:sz w:val="24"/>
          <w:szCs w:val="24"/>
        </w:rPr>
      </w:pPr>
    </w:p>
    <w:p w14:paraId="6D4A4642" w14:textId="263C6CAD" w:rsidR="003902D9" w:rsidRPr="005A6959" w:rsidRDefault="003902D9" w:rsidP="00F37B27">
      <w:pPr>
        <w:pStyle w:val="FormtovanvHTML"/>
        <w:spacing w:after="120" w:line="276" w:lineRule="auto"/>
        <w:jc w:val="both"/>
        <w:rPr>
          <w:rFonts w:ascii="Calibri" w:hAnsi="Calibri" w:cs="Calibri"/>
          <w:color w:val="1F1F1F"/>
          <w:sz w:val="24"/>
          <w:szCs w:val="24"/>
        </w:rPr>
      </w:pPr>
    </w:p>
    <w:p w14:paraId="392587F9" w14:textId="27BB4E9A" w:rsidR="00566271" w:rsidRPr="005A6959" w:rsidRDefault="00566271" w:rsidP="00EF37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540" w:lineRule="atLeast"/>
        <w:rPr>
          <w:rFonts w:ascii="Calibri" w:hAnsi="Calibri" w:cs="Calibri"/>
          <w:color w:val="1F1F1F"/>
        </w:rPr>
      </w:pPr>
    </w:p>
    <w:p w14:paraId="08488080" w14:textId="77777777" w:rsidR="00A52661" w:rsidRPr="005A6959" w:rsidRDefault="00A52661" w:rsidP="00662304">
      <w:pPr>
        <w:spacing w:line="276" w:lineRule="auto"/>
        <w:jc w:val="both"/>
        <w:rPr>
          <w:rStyle w:val="y2iqfc"/>
          <w:rFonts w:ascii="Calibri" w:hAnsi="Calibri" w:cs="Calibri"/>
          <w:b/>
          <w:bCs/>
        </w:rPr>
      </w:pPr>
    </w:p>
    <w:p w14:paraId="38CDB5AA" w14:textId="77777777" w:rsidR="00A52661" w:rsidRPr="005A6959" w:rsidRDefault="00A52661" w:rsidP="00662304">
      <w:pPr>
        <w:spacing w:line="276" w:lineRule="auto"/>
        <w:jc w:val="both"/>
        <w:rPr>
          <w:rStyle w:val="y2iqfc"/>
          <w:rFonts w:ascii="Calibri" w:hAnsi="Calibri" w:cs="Calibri"/>
          <w:b/>
          <w:bCs/>
        </w:rPr>
      </w:pPr>
    </w:p>
    <w:p w14:paraId="150540C6" w14:textId="77777777" w:rsidR="00A52661" w:rsidRPr="005A6959" w:rsidRDefault="00A52661" w:rsidP="00662304">
      <w:pPr>
        <w:spacing w:line="276" w:lineRule="auto"/>
        <w:jc w:val="both"/>
        <w:rPr>
          <w:rStyle w:val="y2iqfc"/>
          <w:rFonts w:ascii="Calibri" w:hAnsi="Calibri" w:cs="Calibri"/>
          <w:b/>
          <w:bCs/>
        </w:rPr>
      </w:pPr>
    </w:p>
    <w:p w14:paraId="7E7E708C" w14:textId="77777777" w:rsidR="00A52661" w:rsidRPr="005A6959" w:rsidRDefault="00A52661" w:rsidP="00662304">
      <w:pPr>
        <w:spacing w:line="276" w:lineRule="auto"/>
        <w:jc w:val="both"/>
        <w:rPr>
          <w:rStyle w:val="y2iqfc"/>
          <w:rFonts w:ascii="Calibri" w:hAnsi="Calibri" w:cs="Calibri"/>
          <w:b/>
          <w:bCs/>
        </w:rPr>
      </w:pPr>
    </w:p>
    <w:p w14:paraId="1C9EF155" w14:textId="77777777" w:rsidR="00A52661" w:rsidRPr="005A6959" w:rsidRDefault="00A52661" w:rsidP="00662304">
      <w:pPr>
        <w:spacing w:line="276" w:lineRule="auto"/>
        <w:jc w:val="both"/>
        <w:rPr>
          <w:rStyle w:val="y2iqfc"/>
          <w:rFonts w:ascii="Calibri" w:hAnsi="Calibri" w:cs="Calibri"/>
          <w:b/>
          <w:bCs/>
        </w:rPr>
      </w:pPr>
    </w:p>
    <w:p w14:paraId="2CD83B45" w14:textId="77777777" w:rsidR="00A52661" w:rsidRPr="005A6959" w:rsidRDefault="00A52661" w:rsidP="00662304">
      <w:pPr>
        <w:spacing w:line="276" w:lineRule="auto"/>
        <w:jc w:val="both"/>
        <w:rPr>
          <w:rStyle w:val="y2iqfc"/>
          <w:rFonts w:ascii="Calibri" w:hAnsi="Calibri" w:cs="Calibri"/>
          <w:b/>
          <w:bCs/>
        </w:rPr>
      </w:pPr>
    </w:p>
    <w:p w14:paraId="67B479B5" w14:textId="77777777" w:rsidR="00A52661" w:rsidRPr="005A6959" w:rsidRDefault="00A52661" w:rsidP="00662304">
      <w:pPr>
        <w:spacing w:line="276" w:lineRule="auto"/>
        <w:jc w:val="both"/>
        <w:rPr>
          <w:rStyle w:val="y2iqfc"/>
          <w:rFonts w:ascii="Calibri" w:hAnsi="Calibri" w:cs="Calibri"/>
          <w:b/>
          <w:bCs/>
        </w:rPr>
      </w:pPr>
    </w:p>
    <w:p w14:paraId="1A5CAD8C" w14:textId="77777777" w:rsidR="00A52661" w:rsidRPr="005A6959" w:rsidRDefault="00A52661" w:rsidP="00662304">
      <w:pPr>
        <w:spacing w:line="276" w:lineRule="auto"/>
        <w:jc w:val="both"/>
        <w:rPr>
          <w:rStyle w:val="y2iqfc"/>
          <w:rFonts w:ascii="Calibri" w:hAnsi="Calibri" w:cs="Calibri"/>
          <w:b/>
          <w:bCs/>
        </w:rPr>
      </w:pPr>
    </w:p>
    <w:p w14:paraId="5EEE6092" w14:textId="77777777" w:rsidR="00A52661" w:rsidRPr="005A6959" w:rsidRDefault="00A52661" w:rsidP="00662304">
      <w:pPr>
        <w:spacing w:line="276" w:lineRule="auto"/>
        <w:jc w:val="both"/>
        <w:rPr>
          <w:rStyle w:val="y2iqfc"/>
          <w:rFonts w:ascii="Calibri" w:hAnsi="Calibri" w:cs="Calibri"/>
          <w:b/>
          <w:bCs/>
        </w:rPr>
      </w:pPr>
    </w:p>
    <w:p w14:paraId="64B61CE0" w14:textId="77777777" w:rsidR="00A52661" w:rsidRDefault="00A52661" w:rsidP="00662304">
      <w:pPr>
        <w:spacing w:line="276" w:lineRule="auto"/>
        <w:jc w:val="both"/>
        <w:rPr>
          <w:rStyle w:val="y2iqfc"/>
          <w:rFonts w:ascii="Calibri" w:hAnsi="Calibri" w:cs="Calibri"/>
          <w:b/>
          <w:bCs/>
        </w:rPr>
      </w:pPr>
    </w:p>
    <w:p w14:paraId="1F362F85" w14:textId="77777777" w:rsidR="00FC0C5F" w:rsidRDefault="00FC0C5F" w:rsidP="00662304">
      <w:pPr>
        <w:spacing w:line="276" w:lineRule="auto"/>
        <w:jc w:val="both"/>
        <w:rPr>
          <w:rStyle w:val="y2iqfc"/>
          <w:rFonts w:ascii="Calibri" w:hAnsi="Calibri" w:cs="Calibri"/>
          <w:b/>
          <w:bCs/>
        </w:rPr>
      </w:pPr>
    </w:p>
    <w:p w14:paraId="3DA83219" w14:textId="77777777" w:rsidR="00832A7C" w:rsidRDefault="00832A7C" w:rsidP="00662304">
      <w:pPr>
        <w:spacing w:line="276" w:lineRule="auto"/>
        <w:jc w:val="both"/>
        <w:rPr>
          <w:rStyle w:val="y2iqfc"/>
          <w:rFonts w:ascii="Calibri" w:hAnsi="Calibri" w:cs="Calibri"/>
          <w:b/>
          <w:bCs/>
        </w:rPr>
      </w:pPr>
    </w:p>
    <w:p w14:paraId="629F509B" w14:textId="77777777" w:rsidR="00FC0C5F" w:rsidRPr="005A6959" w:rsidRDefault="00FC0C5F" w:rsidP="00662304">
      <w:pPr>
        <w:spacing w:line="276" w:lineRule="auto"/>
        <w:jc w:val="both"/>
        <w:rPr>
          <w:rStyle w:val="y2iqfc"/>
          <w:rFonts w:ascii="Calibri" w:hAnsi="Calibri" w:cs="Calibri"/>
          <w:b/>
          <w:bCs/>
        </w:rPr>
      </w:pPr>
    </w:p>
    <w:p w14:paraId="7198ECEE" w14:textId="06D3BED5" w:rsidR="00A52661" w:rsidRPr="005A6959" w:rsidRDefault="002F07B8" w:rsidP="00662304">
      <w:pPr>
        <w:spacing w:line="276" w:lineRule="auto"/>
        <w:jc w:val="both"/>
        <w:rPr>
          <w:rStyle w:val="y2iqfc"/>
          <w:rFonts w:ascii="Calibri" w:hAnsi="Calibri" w:cs="Calibri"/>
          <w:b/>
          <w:bCs/>
        </w:rPr>
      </w:pPr>
      <w:r w:rsidRPr="005A6959">
        <w:rPr>
          <w:rFonts w:ascii="Calibri" w:hAnsi="Calibri" w:cs="Calibri"/>
          <w:b/>
          <w:bCs/>
          <w:noProof/>
          <w14:ligatures w14:val="standardContextual"/>
        </w:rPr>
        <mc:AlternateContent>
          <mc:Choice Requires="wps">
            <w:drawing>
              <wp:anchor distT="0" distB="0" distL="114300" distR="114300" simplePos="0" relativeHeight="251780096" behindDoc="0" locked="0" layoutInCell="1" allowOverlap="1" wp14:anchorId="526D35FE" wp14:editId="7C906F2B">
                <wp:simplePos x="0" y="0"/>
                <wp:positionH relativeFrom="column">
                  <wp:posOffset>901418</wp:posOffset>
                </wp:positionH>
                <wp:positionV relativeFrom="paragraph">
                  <wp:posOffset>2564483</wp:posOffset>
                </wp:positionV>
                <wp:extent cx="1028700" cy="581025"/>
                <wp:effectExtent l="0" t="0" r="0" b="9525"/>
                <wp:wrapNone/>
                <wp:docPr id="397077562" name="Ellipse 71"/>
                <wp:cNvGraphicFramePr/>
                <a:graphic xmlns:a="http://schemas.openxmlformats.org/drawingml/2006/main">
                  <a:graphicData uri="http://schemas.microsoft.com/office/word/2010/wordprocessingShape">
                    <wps:wsp>
                      <wps:cNvSpPr/>
                      <wps:spPr>
                        <a:xfrm>
                          <a:off x="0" y="0"/>
                          <a:ext cx="1028700" cy="581025"/>
                        </a:xfrm>
                        <a:prstGeom prst="ellipse">
                          <a:avLst/>
                        </a:prstGeom>
                        <a:solidFill>
                          <a:srgbClr val="C9CAE5"/>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A1985BF" w14:textId="752578EA" w:rsidR="006127A8" w:rsidRPr="00327D5A" w:rsidRDefault="006127A8" w:rsidP="006127A8">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If d</w:t>
                            </w:r>
                            <w:r w:rsidRPr="00327D5A">
                              <w:rPr>
                                <w:rFonts w:asciiTheme="minorHAnsi" w:hAnsiTheme="minorHAnsi" w:cstheme="minorHAnsi"/>
                                <w:color w:val="000000" w:themeColor="text1"/>
                                <w:sz w:val="20"/>
                                <w:szCs w:val="20"/>
                              </w:rPr>
                              <w:t>oubts subsist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26D35FE" id="Ellipse 71" o:spid="_x0000_s1051" style="position:absolute;left:0;text-align:left;margin-left:71pt;margin-top:201.95pt;width:81pt;height:45.7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DnL0hgIAAHUFAAAOAAAAZHJzL2Uyb0RvYy54bWysVMFu2zAMvQ/YPwi6r7aDZG2DOkWQrsOA&#10;oi3aDj0rshQLkEVNUmJnXz9KdpxuKXYYdpFFkXwkn0leXXeNJjvhvAJT0uIsp0QYDpUym5J+f7n9&#10;dEGJD8xUTIMRJd0LT68XHz9ctXYuJlCDroQjCGL8vLUlrUOw8yzzvBYN82dghUGlBNewgKLbZJVj&#10;LaI3Opvk+eesBVdZB1x4j683vZIuEr6UgocHKb0IRJcUcwvpdOlcxzNbXLH5xjFbKz6kwf4hi4Yp&#10;g0FHqBsWGNk6dQLVKO7AgwxnHJoMpFRcpBqwmiL/o5rnmlmRakFyvB1p8v8Plt/vnu2jQxpa6+ce&#10;r7GKTromfjE/0iWy9iNZoguE42ORTy7Oc+SUo252geIsspkdva3z4auAhsRLSYXWyvpYD5uz3Z0P&#10;vfXBKj570Kq6VVonwW3WK+3IjuG/W12ull8OAX4z0yYaG4huPWJ8yY7lpFvYaxHttHkSkqgKC5ik&#10;TFKniTEO41yYUPSqmlWiD1/Mciy1hx89UrEJMCJLjD9iDwCxi0+xe5jBPrqK1Kijc/63xHrn0SNF&#10;BhNG50YZcO8BaKxqiNzbH0jqqYkshW7dITdITWI6Pq2h2j864qCfHG/5rcK/ecd8eGQORwUbAMc/&#10;POAhNbQlheFGSQ3u53vv0R47GLWUtDh6JfU/tswJSvQ3g719WUyncVaTMJ2dT1BwbzXrtxqzbVaA&#10;HVLgorE8XaN90IerdNC84pZYxqioYoZj7JLy4A7CKvQrAfcMF8tlMsP5tCzcmWfLI3gkOrbqS/fK&#10;nB1aOuAw3MNhTE/aureNngaW2wBSpZ4/8jr8Apzt1EvDHorL462crI7bcvELAAD//wMAUEsDBBQA&#10;BgAIAAAAIQC6dKMZ3gAAAAsBAAAPAAAAZHJzL2Rvd25yZXYueG1sTI/NTsMwEITvSLyDtUjcqE0a&#10;UBviVAhEEUfCz9lJtknUeB1sJw1vz3KC48yOZr/Jd4sdxIw+9I40XK8UCKTaNT21Gt7fnq42IEI0&#10;1JjBEWr4xgC74vwsN1njTvSKcxlbwSUUMqOhi3HMpAx1h9aElRuR+HZw3prI0rey8ebE5XaQiVK3&#10;0pqe+ENnRnzosD6Wk9VQfbhNuX85JI/qy89Tefzs4/Ne68uL5f4ORMQl/oXhF5/RoWCmyk3UBDGw&#10;ThPeEjWkar0FwYm1Stmp2NnepCCLXP7fUPwAAAD//wMAUEsBAi0AFAAGAAgAAAAhALaDOJL+AAAA&#10;4QEAABMAAAAAAAAAAAAAAAAAAAAAAFtDb250ZW50X1R5cGVzXS54bWxQSwECLQAUAAYACAAAACEA&#10;OP0h/9YAAACUAQAACwAAAAAAAAAAAAAAAAAvAQAAX3JlbHMvLnJlbHNQSwECLQAUAAYACAAAACEA&#10;/Q5y9IYCAAB1BQAADgAAAAAAAAAAAAAAAAAuAgAAZHJzL2Uyb0RvYy54bWxQSwECLQAUAAYACAAA&#10;ACEAunSjGd4AAAALAQAADwAAAAAAAAAAAAAAAADgBAAAZHJzL2Rvd25yZXYueG1sUEsFBgAAAAAE&#10;AAQA8wAAAOsFAAAAAA==&#10;" fillcolor="#c9cae5" stroked="f" strokeweight="1pt">
                <v:stroke joinstyle="miter"/>
                <v:textbox>
                  <w:txbxContent>
                    <w:p w14:paraId="4A1985BF" w14:textId="752578EA" w:rsidR="006127A8" w:rsidRPr="00327D5A" w:rsidRDefault="006127A8" w:rsidP="006127A8">
                      <w:pPr>
                        <w:jc w:val="center"/>
                        <w:rPr>
                          <w:rFonts w:asciiTheme="minorHAnsi" w:hAnsiTheme="minorHAnsi" w:cstheme="minorHAnsi"/>
                          <w:color w:val="000000" w:themeColor="text1"/>
                          <w:sz w:val="20"/>
                          <w:szCs w:val="20"/>
                        </w:rPr>
                      </w:pPr>
                      <w:r>
                        <w:rPr>
                          <w:rFonts w:asciiTheme="minorHAnsi" w:hAnsiTheme="minorHAnsi" w:cstheme="minorHAnsi"/>
                          <w:color w:val="000000" w:themeColor="text1"/>
                          <w:sz w:val="20"/>
                          <w:szCs w:val="20"/>
                        </w:rPr>
                        <w:t>If d</w:t>
                      </w:r>
                      <w:r w:rsidRPr="00327D5A">
                        <w:rPr>
                          <w:rFonts w:asciiTheme="minorHAnsi" w:hAnsiTheme="minorHAnsi" w:cstheme="minorHAnsi"/>
                          <w:color w:val="000000" w:themeColor="text1"/>
                          <w:sz w:val="20"/>
                          <w:szCs w:val="20"/>
                        </w:rPr>
                        <w:t>oubts subsist</w:t>
                      </w:r>
                    </w:p>
                  </w:txbxContent>
                </v:textbox>
              </v:oval>
            </w:pict>
          </mc:Fallback>
        </mc:AlternateContent>
      </w:r>
      <w:r w:rsidR="00DF5FDC" w:rsidRPr="005A6959">
        <w:rPr>
          <w:rFonts w:ascii="Calibri" w:hAnsi="Calibri" w:cs="Calibri"/>
          <w:b/>
          <w:bCs/>
          <w:noProof/>
          <w14:ligatures w14:val="standardContextual"/>
        </w:rPr>
        <mc:AlternateContent>
          <mc:Choice Requires="wps">
            <w:drawing>
              <wp:anchor distT="0" distB="0" distL="114300" distR="114300" simplePos="0" relativeHeight="251781120" behindDoc="0" locked="0" layoutInCell="1" allowOverlap="1" wp14:anchorId="20B26589" wp14:editId="07A9463C">
                <wp:simplePos x="0" y="0"/>
                <wp:positionH relativeFrom="column">
                  <wp:posOffset>1729740</wp:posOffset>
                </wp:positionH>
                <wp:positionV relativeFrom="paragraph">
                  <wp:posOffset>5053330</wp:posOffset>
                </wp:positionV>
                <wp:extent cx="1676400" cy="1162050"/>
                <wp:effectExtent l="0" t="0" r="19050" b="19050"/>
                <wp:wrapNone/>
                <wp:docPr id="1028806655" name="Ellipse 74"/>
                <wp:cNvGraphicFramePr/>
                <a:graphic xmlns:a="http://schemas.openxmlformats.org/drawingml/2006/main">
                  <a:graphicData uri="http://schemas.microsoft.com/office/word/2010/wordprocessingShape">
                    <wps:wsp>
                      <wps:cNvSpPr/>
                      <wps:spPr>
                        <a:xfrm>
                          <a:off x="0" y="0"/>
                          <a:ext cx="1676400" cy="1162050"/>
                        </a:xfrm>
                        <a:prstGeom prst="ellipse">
                          <a:avLst/>
                        </a:prstGeom>
                        <a:solidFill>
                          <a:schemeClr val="bg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33C4717" w14:textId="420BF2EA" w:rsidR="00E35DE0" w:rsidRPr="00FC0C5F" w:rsidRDefault="00E35DE0" w:rsidP="00327D5A">
                            <w:pPr>
                              <w:jc w:val="center"/>
                              <w:rPr>
                                <w:b/>
                                <w:bCs/>
                                <w:color w:val="2C2D5B"/>
                              </w:rPr>
                            </w:pPr>
                            <w:r w:rsidRPr="00FC0C5F">
                              <w:rPr>
                                <w:rFonts w:asciiTheme="minorHAnsi" w:hAnsiTheme="minorHAnsi" w:cstheme="minorHAnsi"/>
                                <w:b/>
                                <w:bCs/>
                                <w:color w:val="2C2D5B"/>
                                <w:sz w:val="20"/>
                                <w:szCs w:val="20"/>
                              </w:rPr>
                              <w:t>National courts must apply the guidance in their final ruling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B26589" id="Ellipse 74" o:spid="_x0000_s1052" style="position:absolute;left:0;text-align:left;margin-left:136.2pt;margin-top:397.9pt;width:132pt;height:91.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Ay2jQIAAJ0FAAAOAAAAZHJzL2Uyb0RvYy54bWysVE1v2zAMvQ/YfxB0X20HaboFdYqgRYcB&#10;RVusHXpWZCkWIIuapMTOfv0o+SPdGmzAsIssiuQj+Uzy8qprNNkL5xWYkhZnOSXCcKiU2Zb02/Pt&#10;h4+U+MBMxTQYUdKD8PRq9f7dZWuXYgY16Eo4giDGL1tb0joEu8wyz2vRMH8GVhhUSnANCyi6bVY5&#10;1iJ6o7NZni+yFlxlHXDhPb7e9Eq6SvhSCh4epPQiEF1SzC2k06VzE89sdcmWW8dsrfiQBvuHLBqm&#10;DAadoG5YYGTn1BuoRnEHHmQ449BkIKXiItWA1RT5b9U81cyKVAuS4+1Ek/9/sPx+/2QfHdLQWr/0&#10;eI1VdNI18Yv5kS6RdZjIEl0gHB+LxcViniOnHHVFsZjl54nO7OhunQ+fBTQkXkoqtFbWx4LYku3v&#10;fMCoaD1axWcPWlW3SuskxCYQ19qRPcPft9kW8Xehxy9W2vzNMXQnHBEmembHstMtHLSIeNp8FZKo&#10;CgudpYRTRx6TYZwLE4peVbNK9DkW5zlSMmQ5pp9yToARWWJ1E/YAMFr2ICN2DzPYR1eRGnpyzv+U&#10;WO88eaTIYMLk3CgD7hSAxqqGyL39SFJPTWQpdJsOuUFqFtE0Pm2gOjw64qCfMG/5rcKffsd8eGQO&#10;RwobBddEeMBDamhLCsONkhrcj1Pv0R47HbWUtDiiJfXfd8wJSvQXgzPwqZjP40wnYX5+MUPBvdZs&#10;XmvMrrkGbKMCF5Ll6Rrtgx6v0kHzgttkHaOiihmOsUvKgxuF69CvDtxHXKzXyQzn2LJwZ54sj+CR&#10;6NjRz90Lc3bo/IBDcw/jOL/p/t42ehpY7wJIlUbjyOvwC3AHpF4a9lVcMq/lZHXcqqufAAAA//8D&#10;AFBLAwQUAAYACAAAACEATerhOOAAAAALAQAADwAAAGRycy9kb3ducmV2LnhtbEyPy07DMBBF90j8&#10;gzVI7KhDaJs0ZFIhRLaIlgpYOrGbBPyIYufB3zOsYDkzR3fOzfeL0WxSg++cRbhdRcCUrZ3sbINw&#10;ei1vUmA+CCuFdlYhfCsP++LyIheZdLM9qOkYGkYh1mcCoQ2hzzj3dauM8CvXK0u3sxuMCDQODZeD&#10;mCncaB5H0ZYb0Vn60IpePbaq/jqOBqH89Of4uTxNb301Sv00f7y/NGvE66vl4R5YUEv4g+FXn9Sh&#10;IKfKjVZ6phHiJF4TipDsNtSBiM3dljYVwi5JU+BFzv93KH4AAAD//wMAUEsBAi0AFAAGAAgAAAAh&#10;ALaDOJL+AAAA4QEAABMAAAAAAAAAAAAAAAAAAAAAAFtDb250ZW50X1R5cGVzXS54bWxQSwECLQAU&#10;AAYACAAAACEAOP0h/9YAAACUAQAACwAAAAAAAAAAAAAAAAAvAQAAX3JlbHMvLnJlbHNQSwECLQAU&#10;AAYACAAAACEAgEgMto0CAACdBQAADgAAAAAAAAAAAAAAAAAuAgAAZHJzL2Uyb0RvYy54bWxQSwEC&#10;LQAUAAYACAAAACEATerhOOAAAAALAQAADwAAAAAAAAAAAAAAAADnBAAAZHJzL2Rvd25yZXYueG1s&#10;UEsFBgAAAAAEAAQA8wAAAPQFAAAAAA==&#10;" fillcolor="white [3212]" strokecolor="black [3213]" strokeweight="1pt">
                <v:stroke joinstyle="miter"/>
                <v:textbox>
                  <w:txbxContent>
                    <w:p w14:paraId="033C4717" w14:textId="420BF2EA" w:rsidR="00E35DE0" w:rsidRPr="00FC0C5F" w:rsidRDefault="00E35DE0" w:rsidP="00327D5A">
                      <w:pPr>
                        <w:jc w:val="center"/>
                        <w:rPr>
                          <w:b/>
                          <w:bCs/>
                          <w:color w:val="2C2D5B"/>
                        </w:rPr>
                      </w:pPr>
                      <w:r w:rsidRPr="00FC0C5F">
                        <w:rPr>
                          <w:rFonts w:asciiTheme="minorHAnsi" w:hAnsiTheme="minorHAnsi" w:cstheme="minorHAnsi"/>
                          <w:b/>
                          <w:bCs/>
                          <w:color w:val="2C2D5B"/>
                          <w:sz w:val="20"/>
                          <w:szCs w:val="20"/>
                        </w:rPr>
                        <w:t>National courts must apply the guidance in their final ruling</w:t>
                      </w:r>
                    </w:p>
                  </w:txbxContent>
                </v:textbox>
              </v:oval>
            </w:pict>
          </mc:Fallback>
        </mc:AlternateContent>
      </w:r>
      <w:r w:rsidR="00DF5FDC">
        <w:rPr>
          <w:rFonts w:ascii="Calibri" w:hAnsi="Calibri" w:cs="Calibri"/>
          <w:b/>
          <w:bCs/>
          <w:noProof/>
          <w14:ligatures w14:val="standardContextual"/>
        </w:rPr>
        <mc:AlternateContent>
          <mc:Choice Requires="wps">
            <w:drawing>
              <wp:anchor distT="0" distB="0" distL="114300" distR="114300" simplePos="0" relativeHeight="251814911" behindDoc="1" locked="0" layoutInCell="1" allowOverlap="1" wp14:anchorId="47D2E6E2" wp14:editId="26D8B7E2">
                <wp:simplePos x="0" y="0"/>
                <wp:positionH relativeFrom="column">
                  <wp:posOffset>2310765</wp:posOffset>
                </wp:positionH>
                <wp:positionV relativeFrom="paragraph">
                  <wp:posOffset>2116455</wp:posOffset>
                </wp:positionV>
                <wp:extent cx="257175" cy="0"/>
                <wp:effectExtent l="0" t="0" r="0" b="0"/>
                <wp:wrapNone/>
                <wp:docPr id="1909127045" name="Connecteur droit 64"/>
                <wp:cNvGraphicFramePr/>
                <a:graphic xmlns:a="http://schemas.openxmlformats.org/drawingml/2006/main">
                  <a:graphicData uri="http://schemas.microsoft.com/office/word/2010/wordprocessingShape">
                    <wps:wsp>
                      <wps:cNvCnPr/>
                      <wps:spPr>
                        <a:xfrm>
                          <a:off x="0" y="0"/>
                          <a:ext cx="2571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136C334" id="Connecteur droit 64" o:spid="_x0000_s1026" style="position:absolute;z-index:-251501569;visibility:visible;mso-wrap-style:square;mso-wrap-distance-left:9pt;mso-wrap-distance-top:0;mso-wrap-distance-right:9pt;mso-wrap-distance-bottom:0;mso-position-horizontal:absolute;mso-position-horizontal-relative:text;mso-position-vertical:absolute;mso-position-vertical-relative:text" from="181.95pt,166.65pt" to="202.2pt,16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dl2mgEAAJMDAAAOAAAAZHJzL2Uyb0RvYy54bWysU9tO4zAQfV+Jf7D8TpNUAlZRUx5A8LJa&#10;ELv7AcYZN5Z809g06d8zdtt0xa6EQLw4vsw5M+fMZHU9WcO2gFF71/FmUXMGTvpeu03H//y+O//O&#10;WUzC9cJ4Bx3fQeTX67NvqzG0sPSDNz0gIxIX2zF0fEgptFUV5QBWxIUP4OhRebQi0RE3VY9iJHZr&#10;qmVdX1ajxz6glxAj3d7uH/m68CsFMj0oFSEx03GqLZUVy/qc12q9Eu0GRRi0PJQhPlGFFdpR0pnq&#10;ViTBXlD/Q2W1RB+9SgvpbeWV0hKKBlLT1G/U/BpEgKKFzIlhtil+Ha38ub1xj0g2jCG2MTxiVjEp&#10;tPlL9bGpmLWbzYIpMUmXy4ur5uqCM3l8qk64gDHdg7csbzputMsyRCu2P2KiXBR6DKHDKXPZpZ2B&#10;HGzcEyime8rVFHQZCrgxyLaC2imkBJea3ELiK9EZprQxM7B+H3iIz1AoA/MR8Iwomb1LM9hq5/F/&#10;2dN0LFnt448O7HVnC559vys9KdZQ54vCw5Tm0fr7XOCnf2n9CgAA//8DAFBLAwQUAAYACAAAACEA&#10;4gGdFuAAAAALAQAADwAAAGRycy9kb3ducmV2LnhtbEyP3UrDQBCF7wXfYRnBO7uxDcXGbEopiLUg&#10;xVqol9vsmESzs2F326Rv7xQEnav5OZzzTT4fbCtO6EPjSMH9KAGBVDrTUKVg9/509wAiRE1Gt45Q&#10;wRkDzIvrq1xnxvX0hqdtrASbUMi0gjrGLpMylDVaHUauQ+Lbp/NWRx59JY3XPZvbVo6TZCqtbogT&#10;at3hssbye3u0Cl79arVcrM9ftPmw/X683m9ehmelbm+GxSOIiEP8E8MFn9GhYKaDO5IJolUwmU5m&#10;LOWGCwQr0iRNQRx+N7LI5f8fih8AAAD//wMAUEsBAi0AFAAGAAgAAAAhALaDOJL+AAAA4QEAABMA&#10;AAAAAAAAAAAAAAAAAAAAAFtDb250ZW50X1R5cGVzXS54bWxQSwECLQAUAAYACAAAACEAOP0h/9YA&#10;AACUAQAACwAAAAAAAAAAAAAAAAAvAQAAX3JlbHMvLnJlbHNQSwECLQAUAAYACAAAACEAw4HZdpoB&#10;AACTAwAADgAAAAAAAAAAAAAAAAAuAgAAZHJzL2Uyb0RvYy54bWxQSwECLQAUAAYACAAAACEA4gGd&#10;FuAAAAALAQAADwAAAAAAAAAAAAAAAAD0AwAAZHJzL2Rvd25yZXYueG1sUEsFBgAAAAAEAAQA8wAA&#10;AAEFAAAAAA==&#10;" strokecolor="#4472c4 [3204]" strokeweight=".5pt">
                <v:stroke joinstyle="miter"/>
              </v:line>
            </w:pict>
          </mc:Fallback>
        </mc:AlternateContent>
      </w:r>
      <w:r w:rsidR="00DF5FDC" w:rsidRPr="005A6959">
        <w:rPr>
          <w:rFonts w:ascii="Calibri" w:hAnsi="Calibri" w:cs="Calibri"/>
          <w:b/>
          <w:bCs/>
          <w:noProof/>
          <w14:ligatures w14:val="standardContextual"/>
        </w:rPr>
        <w:drawing>
          <wp:inline distT="0" distB="0" distL="0" distR="0" wp14:anchorId="2DB108D4" wp14:editId="6A2E5C8F">
            <wp:extent cx="5400040" cy="6219825"/>
            <wp:effectExtent l="0" t="57150" r="0" b="0"/>
            <wp:docPr id="1064072719" name="Diagramme 7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r w:rsidR="00DF5FDC">
        <w:rPr>
          <w:rFonts w:ascii="Calibri" w:hAnsi="Calibri" w:cs="Calibri"/>
          <w:b/>
          <w:bCs/>
          <w:noProof/>
          <w:sz w:val="20"/>
          <w:szCs w:val="20"/>
          <w14:ligatures w14:val="standardContextual"/>
        </w:rPr>
        <mc:AlternateContent>
          <mc:Choice Requires="wps">
            <w:drawing>
              <wp:anchor distT="0" distB="0" distL="114300" distR="114300" simplePos="0" relativeHeight="251813888" behindDoc="1" locked="0" layoutInCell="1" allowOverlap="1" wp14:anchorId="6D773159" wp14:editId="26F42905">
                <wp:simplePos x="0" y="0"/>
                <wp:positionH relativeFrom="column">
                  <wp:posOffset>3586480</wp:posOffset>
                </wp:positionH>
                <wp:positionV relativeFrom="paragraph">
                  <wp:posOffset>2202180</wp:posOffset>
                </wp:positionV>
                <wp:extent cx="466725" cy="133350"/>
                <wp:effectExtent l="0" t="0" r="28575" b="19050"/>
                <wp:wrapNone/>
                <wp:docPr id="949044537" name="Connecteur droit 62"/>
                <wp:cNvGraphicFramePr/>
                <a:graphic xmlns:a="http://schemas.openxmlformats.org/drawingml/2006/main">
                  <a:graphicData uri="http://schemas.microsoft.com/office/word/2010/wordprocessingShape">
                    <wps:wsp>
                      <wps:cNvCnPr/>
                      <wps:spPr>
                        <a:xfrm>
                          <a:off x="0" y="0"/>
                          <a:ext cx="466725" cy="1333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8EEB4CB" id="Connecteur droit 62" o:spid="_x0000_s1026" style="position:absolute;z-index:-25150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2.4pt,173.4pt" to="319.15pt,18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KjYoQEAAJgDAAAOAAAAZHJzL2Uyb0RvYy54bWysU8tu2zAQvBfoPxC815Lsxg0EyzkkSC9F&#10;G7TJBzDU0iLAF0jWkv++y7UtB22BokEuFB87szuzq83NZA3bQ0zau443i5ozcNL32u06/vR4/+Ga&#10;s5SF64XxDjp+gMRvtu/fbcbQwtIP3vQQGZK41I6h40POoa2qJAewIi18AIePykcrMh7jruqjGJHd&#10;mmpZ1+tq9LEP0UtICW/vjo98S/xKgczflEqQmek41pZpjbQ+l7XabkS7iyIMWp7KEK+owgrtMOlM&#10;dSeyYD+j/oPKahl98iovpLeVV0pLIA2opql/U/NjEAFIC5qTwmxTejta+XV/6x4i2jCG1KbwEIuK&#10;SUVbvlgfm8isw2wWTJlJvPy4Xn9aXnEm8alZrVZXZGZ1AYeY8mfwlpVNx412RYtoxf5LypgQQ88h&#10;eLikp10+GCjBxn0HxXSPCRtC02TArYlsL7CnQkpwuSl9RD6KLjCljZmB9b+Bp/gCBZqa/wHPCMrs&#10;XZ7BVjsf/5Y9T+eS1TH+7MBRd7Hg2fcHagxZg+0nhadRLfP18kzwyw+1/QUAAP//AwBQSwMEFAAG&#10;AAgAAAAhAICzpZbjAAAACwEAAA8AAABkcnMvZG93bnJldi54bWxMj8FOwzAQRO+V+Adrkbi1Dk0x&#10;UYhTVZUQpRKqKEjl6MYmCcTryHab9O9ZTnDbnR3NvC2Wo+3Y2fjQOpRwO0uAGaycbrGW8P72OM2A&#10;hahQq86hkXAxAZbl1aRQuXYDvprzPtaMQjDkSkITY59zHqrGWBVmrjdIt0/nrYq0+pprrwYKtx2f&#10;J4ngVrVIDY3qzbox1ff+ZCW8+M1mvdpevnD3YYfDfHvYPY9PUt5cj6sHYNGM8c8Mv/iEDiUxHd0J&#10;dWCdhDuxIPQoIV0IGsgh0iwFdiRF3GfAy4L//6H8AQAA//8DAFBLAQItABQABgAIAAAAIQC2gziS&#10;/gAAAOEBAAATAAAAAAAAAAAAAAAAAAAAAABbQ29udGVudF9UeXBlc10ueG1sUEsBAi0AFAAGAAgA&#10;AAAhADj9If/WAAAAlAEAAAsAAAAAAAAAAAAAAAAALwEAAF9yZWxzLy5yZWxzUEsBAi0AFAAGAAgA&#10;AAAhANLQqNihAQAAmAMAAA4AAAAAAAAAAAAAAAAALgIAAGRycy9lMm9Eb2MueG1sUEsBAi0AFAAG&#10;AAgAAAAhAICzpZbjAAAACwEAAA8AAAAAAAAAAAAAAAAA+wMAAGRycy9kb3ducmV2LnhtbFBLBQYA&#10;AAAABAAEAPMAAAALBQAAAAA=&#10;" strokecolor="#4472c4 [3204]" strokeweight=".5pt">
                <v:stroke joinstyle="miter"/>
              </v:line>
            </w:pict>
          </mc:Fallback>
        </mc:AlternateContent>
      </w:r>
      <w:r w:rsidR="00DF5FDC" w:rsidRPr="005A6959">
        <w:rPr>
          <w:rFonts w:ascii="Calibri" w:hAnsi="Calibri" w:cs="Calibri"/>
          <w:b/>
          <w:bCs/>
          <w:noProof/>
          <w:sz w:val="20"/>
          <w:szCs w:val="20"/>
          <w14:ligatures w14:val="standardContextual"/>
        </w:rPr>
        <mc:AlternateContent>
          <mc:Choice Requires="wps">
            <w:drawing>
              <wp:anchor distT="0" distB="0" distL="114300" distR="114300" simplePos="0" relativeHeight="251784192" behindDoc="0" locked="0" layoutInCell="1" allowOverlap="1" wp14:anchorId="39D7DDFC" wp14:editId="441E3F23">
                <wp:simplePos x="0" y="0"/>
                <wp:positionH relativeFrom="margin">
                  <wp:posOffset>3895090</wp:posOffset>
                </wp:positionH>
                <wp:positionV relativeFrom="paragraph">
                  <wp:posOffset>1967230</wp:posOffset>
                </wp:positionV>
                <wp:extent cx="1514475" cy="1028700"/>
                <wp:effectExtent l="0" t="0" r="28575" b="19050"/>
                <wp:wrapNone/>
                <wp:docPr id="717182363" name="Ellipse 65"/>
                <wp:cNvGraphicFramePr/>
                <a:graphic xmlns:a="http://schemas.openxmlformats.org/drawingml/2006/main">
                  <a:graphicData uri="http://schemas.microsoft.com/office/word/2010/wordprocessingShape">
                    <wps:wsp>
                      <wps:cNvSpPr/>
                      <wps:spPr>
                        <a:xfrm>
                          <a:off x="0" y="0"/>
                          <a:ext cx="1514475" cy="1028700"/>
                        </a:xfrm>
                        <a:prstGeom prst="ellipse">
                          <a:avLst/>
                        </a:prstGeom>
                        <a:solidFill>
                          <a:schemeClr val="bg1"/>
                        </a:solidFill>
                        <a:ln>
                          <a:solidFill>
                            <a:srgbClr val="2C2D5B"/>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70DD0A0" w14:textId="6976FEBA" w:rsidR="001957ED" w:rsidRPr="00FC0C5F" w:rsidRDefault="001957ED" w:rsidP="00327D5A">
                            <w:pPr>
                              <w:jc w:val="center"/>
                              <w:rPr>
                                <w:rFonts w:ascii="Calibri" w:hAnsi="Calibri" w:cs="Calibri"/>
                                <w:b/>
                                <w:bCs/>
                                <w:color w:val="2C2D5B"/>
                                <w:sz w:val="20"/>
                                <w:szCs w:val="20"/>
                              </w:rPr>
                            </w:pPr>
                            <w:r w:rsidRPr="00FC0C5F">
                              <w:rPr>
                                <w:rFonts w:ascii="Calibri" w:hAnsi="Calibri" w:cs="Calibri"/>
                                <w:b/>
                                <w:bCs/>
                                <w:color w:val="2C2D5B"/>
                                <w:sz w:val="20"/>
                                <w:szCs w:val="20"/>
                              </w:rPr>
                              <w:t>National courts must apply</w:t>
                            </w:r>
                            <w:r w:rsidR="00AF3469" w:rsidRPr="00FC0C5F">
                              <w:rPr>
                                <w:rFonts w:ascii="Calibri" w:hAnsi="Calibri" w:cs="Calibri"/>
                                <w:b/>
                                <w:bCs/>
                                <w:color w:val="2C2D5B"/>
                                <w:sz w:val="20"/>
                                <w:szCs w:val="20"/>
                              </w:rPr>
                              <w:t xml:space="preserve"> the legislation as such</w:t>
                            </w:r>
                            <w:r w:rsidR="00CF2F3F" w:rsidRPr="00FC0C5F">
                              <w:rPr>
                                <w:rFonts w:ascii="Calibri" w:hAnsi="Calibri" w:cs="Calibri"/>
                                <w:b/>
                                <w:bCs/>
                                <w:color w:val="2C2D5B"/>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9D7DDFC" id="Ellipse 65" o:spid="_x0000_s1053" style="position:absolute;left:0;text-align:left;margin-left:306.7pt;margin-top:154.9pt;width:119.25pt;height:81pt;z-index:251784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anokgIAAJ4FAAAOAAAAZHJzL2Uyb0RvYy54bWysVE1v2zAMvQ/YfxB0X/2BZumCOkWWosOA&#10;oi3aDj0rshQLkEVNUuJkv36U7DjtUuww7CJLIt8T+Uzy8mrXarIVziswFS3OckqE4VArs67oj+eb&#10;TxeU+MBMzTQYUdG98PRq/vHDZWdnooQGdC0cQRLjZ52taBOCnWWZ541omT8DKwwaJbiWBTy6dVY7&#10;1iF7q7Myzz9nHbjaOuDCe7y97o10nvilFDzcS+lFILqiGFtIq0vrKq7Z/JLN1o7ZRvEhDPYPUbRM&#10;GXx0pLpmgZGNUydUreIOPMhwxqHNQErFRcoBsynyP7J5apgVKRcUx9tRJv//aPnd9sk+OJShs37m&#10;cRuz2EnXxi/GR3ZJrP0oltgFwvGymBTn59MJJRxtRV5eTPMkZ3aEW+fDNwEtiZuKCq2V9TEhNmPb&#10;Wx/wVfQ+eMVrD1rVN0rrdIhFIJbakS3D37daF/F3IeKNlzanQLdejbByWV5Pvp4ikSdCs2PeaRf2&#10;WkRCbR6FJKrGTMsUcSrJYzSMc2FC0ZsaVos+yGKSjzKMiBR0IozMEtMbuQeCt5keuPtsB/8IFami&#10;R3D+t8B68IhIL4MJI7hVBtx7BBqzGl7u/Q8i9dJElcJutUNtUJppdI1XK6j3D4446FvMW36j8K/f&#10;Mh8emMOewu7DORHucZEauorCsKOkAffrvfvoj6WOVko67NGK+p8b5gQl+rvBJviCFRibOh3OJ9MS&#10;D+61ZfXaYjbtErCOCpxIlqdt9A/6sJUO2hccJ4v4KpqY4fh2RXlwh8My9LMDBxIXi0Vyw0a2LNya&#10;J8sjeRQ6lvTz7oU5O5R+wK65g0M/n5R/7xuRBhabAFKl3jjqOvwCHAKploaBFafM63PyOo7V+W8A&#10;AAD//wMAUEsDBBQABgAIAAAAIQC4GQ084QAAAAsBAAAPAAAAZHJzL2Rvd25yZXYueG1sTI/LTsMw&#10;EEX3SPyDNUhsEHXcZxoyqSoESxYEhMTOiYckENtR7LYpX8+wguVoju49N99NthdHGkPnHYKaJSDI&#10;1d50rkF4fXm8TUGEqJ3RvXeEcKYAu+LyIteZ8Sf3TMcyNoJDXMg0QhvjkEkZ6pasDjM/kOPfhx+t&#10;jnyOjTSjPnG47eU8SdbS6s5xQ6sHum+p/ioPFiF9mutq9f123t9Y+iwn9b4JDwPi9dW0vwMRaYp/&#10;MPzqszoU7FT5gzNB9AhrtVgyirBItryBiXSltiAqhOVGpSCLXP7fUPwAAAD//wMAUEsBAi0AFAAG&#10;AAgAAAAhALaDOJL+AAAA4QEAABMAAAAAAAAAAAAAAAAAAAAAAFtDb250ZW50X1R5cGVzXS54bWxQ&#10;SwECLQAUAAYACAAAACEAOP0h/9YAAACUAQAACwAAAAAAAAAAAAAAAAAvAQAAX3JlbHMvLnJlbHNQ&#10;SwECLQAUAAYACAAAACEAgtWp6JICAACeBQAADgAAAAAAAAAAAAAAAAAuAgAAZHJzL2Uyb0RvYy54&#10;bWxQSwECLQAUAAYACAAAACEAuBkNPOEAAAALAQAADwAAAAAAAAAAAAAAAADsBAAAZHJzL2Rvd25y&#10;ZXYueG1sUEsFBgAAAAAEAAQA8wAAAPoFAAAAAA==&#10;" fillcolor="white [3212]" strokecolor="#2c2d5b" strokeweight="1pt">
                <v:stroke joinstyle="miter"/>
                <v:textbox>
                  <w:txbxContent>
                    <w:p w14:paraId="670DD0A0" w14:textId="6976FEBA" w:rsidR="001957ED" w:rsidRPr="00FC0C5F" w:rsidRDefault="001957ED" w:rsidP="00327D5A">
                      <w:pPr>
                        <w:jc w:val="center"/>
                        <w:rPr>
                          <w:rFonts w:ascii="Calibri" w:hAnsi="Calibri" w:cs="Calibri"/>
                          <w:b/>
                          <w:bCs/>
                          <w:color w:val="2C2D5B"/>
                          <w:sz w:val="20"/>
                          <w:szCs w:val="20"/>
                        </w:rPr>
                      </w:pPr>
                      <w:r w:rsidRPr="00FC0C5F">
                        <w:rPr>
                          <w:rFonts w:ascii="Calibri" w:hAnsi="Calibri" w:cs="Calibri"/>
                          <w:b/>
                          <w:bCs/>
                          <w:color w:val="2C2D5B"/>
                          <w:sz w:val="20"/>
                          <w:szCs w:val="20"/>
                        </w:rPr>
                        <w:t>National courts must apply</w:t>
                      </w:r>
                      <w:r w:rsidR="00AF3469" w:rsidRPr="00FC0C5F">
                        <w:rPr>
                          <w:rFonts w:ascii="Calibri" w:hAnsi="Calibri" w:cs="Calibri"/>
                          <w:b/>
                          <w:bCs/>
                          <w:color w:val="2C2D5B"/>
                          <w:sz w:val="20"/>
                          <w:szCs w:val="20"/>
                        </w:rPr>
                        <w:t xml:space="preserve"> the legislation as such</w:t>
                      </w:r>
                      <w:r w:rsidR="00CF2F3F" w:rsidRPr="00FC0C5F">
                        <w:rPr>
                          <w:rFonts w:ascii="Calibri" w:hAnsi="Calibri" w:cs="Calibri"/>
                          <w:b/>
                          <w:bCs/>
                          <w:color w:val="2C2D5B"/>
                          <w:sz w:val="20"/>
                          <w:szCs w:val="20"/>
                        </w:rPr>
                        <w:t>.</w:t>
                      </w:r>
                    </w:p>
                  </w:txbxContent>
                </v:textbox>
                <w10:wrap anchorx="margin"/>
              </v:oval>
            </w:pict>
          </mc:Fallback>
        </mc:AlternateContent>
      </w:r>
      <w:r w:rsidR="00DF5FDC" w:rsidRPr="005A6959">
        <w:rPr>
          <w:rFonts w:ascii="Calibri" w:hAnsi="Calibri" w:cs="Calibri"/>
          <w:b/>
          <w:bCs/>
          <w:noProof/>
          <w:sz w:val="20"/>
          <w:szCs w:val="20"/>
          <w14:ligatures w14:val="standardContextual"/>
        </w:rPr>
        <mc:AlternateContent>
          <mc:Choice Requires="wps">
            <w:drawing>
              <wp:anchor distT="0" distB="0" distL="114300" distR="114300" simplePos="0" relativeHeight="251786240" behindDoc="0" locked="0" layoutInCell="1" allowOverlap="1" wp14:anchorId="48E4601C" wp14:editId="4E187B0F">
                <wp:simplePos x="0" y="0"/>
                <wp:positionH relativeFrom="column">
                  <wp:posOffset>2548890</wp:posOffset>
                </wp:positionH>
                <wp:positionV relativeFrom="paragraph">
                  <wp:posOffset>1814830</wp:posOffset>
                </wp:positionV>
                <wp:extent cx="1143000" cy="571500"/>
                <wp:effectExtent l="0" t="0" r="0" b="0"/>
                <wp:wrapNone/>
                <wp:docPr id="707538822" name="Ellipse 67"/>
                <wp:cNvGraphicFramePr/>
                <a:graphic xmlns:a="http://schemas.openxmlformats.org/drawingml/2006/main">
                  <a:graphicData uri="http://schemas.microsoft.com/office/word/2010/wordprocessingShape">
                    <wps:wsp>
                      <wps:cNvSpPr/>
                      <wps:spPr>
                        <a:xfrm>
                          <a:off x="0" y="0"/>
                          <a:ext cx="1143000" cy="571500"/>
                        </a:xfrm>
                        <a:prstGeom prst="ellipse">
                          <a:avLst/>
                        </a:prstGeom>
                        <a:solidFill>
                          <a:srgbClr val="C9CAE5"/>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34DA4E95" w14:textId="3381C3F0" w:rsidR="00040A23" w:rsidRPr="00327D5A" w:rsidRDefault="00040A23" w:rsidP="00327D5A">
                            <w:pPr>
                              <w:jc w:val="center"/>
                              <w:rPr>
                                <w:rFonts w:asciiTheme="minorHAnsi" w:hAnsiTheme="minorHAnsi" w:cstheme="minorHAnsi"/>
                                <w:color w:val="000000" w:themeColor="text1"/>
                                <w:sz w:val="20"/>
                                <w:szCs w:val="20"/>
                              </w:rPr>
                            </w:pPr>
                            <w:r w:rsidRPr="00327D5A">
                              <w:rPr>
                                <w:rFonts w:asciiTheme="minorHAnsi" w:hAnsiTheme="minorHAnsi" w:cstheme="minorHAnsi"/>
                                <w:color w:val="000000" w:themeColor="text1"/>
                                <w:sz w:val="20"/>
                                <w:szCs w:val="20"/>
                              </w:rPr>
                              <w:t>If no doubt subsist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8E4601C" id="Ellipse 67" o:spid="_x0000_s1054" style="position:absolute;left:0;text-align:left;margin-left:200.7pt;margin-top:142.9pt;width:90pt;height:4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RgnqhwIAAHUFAAAOAAAAZHJzL2Uyb0RvYy54bWysVE1v2zAMvQ/YfxB0X21nydoGdYogXYcB&#10;RRusHXpWZCkWIIuapMTOfv0o2XG6tdhh2EWmxMfHD5O8uu4aTfbCeQWmpMVZTokwHCpltiX9/nT7&#10;4YISH5ipmAYjSnoQnl4v3r+7au1cTKAGXQlHkMT4eWtLWodg51nmeS0a5s/ACoNKCa5hAa9um1WO&#10;tcje6GyS55+yFlxlHXDhPb7e9Eq6SPxSCh4epPQiEF1SjC2k06VzE89sccXmW8dsrfgQBvuHKBqm&#10;DDodqW5YYGTn1CuqRnEHHmQ449BkIKXiIuWA2RT5H9k81syKlAsWx9uxTP7/0fL7/aNdOyxDa/3c&#10;oxiz6KRr4hfjI10q1mEslugC4fhYFNOPeY415aibnRczlJEmO1lb58MXAQ2JQkmF1sr6mA+bs/2d&#10;Dz36iIrPHrSqbpXW6eK2m5V2ZM/w360uV8vPs8HBbzBtIthANOsZ40t2SidJ4aBFxGnzTUiiKkxg&#10;kiJJnSZGP4xzYULRq2pWid59zO6Y3miRkk2EkVmi/5F7IIhd/Jq7j3LAR1ORGnU0zv8WWG88WiTP&#10;YMJo3CgD7i0CjVkNnnv8sUh9aWKVQrfpsDZYmosIjU8bqA5rRxz0k+Mtv1X4N++YD2vmcFSwAXD8&#10;wwMeUkNbUhgkSmpwP996j3jsYNRS0uLoldT/2DEnKNFfDfb2ZTGdxllNl+nsfIIX91Kzeakxu2YF&#10;2CEFLhrLkxjxQR9F6aB5xi2xjF5RxQxH3yXlwR0vq9CvBNwzXCyXCYbzaVm4M4+WR/JY6NiqT90z&#10;c3Zo6YDDcA/HMX3V1j02WhpY7gJIlXr+VNfhF+Bsp14a9lBcHi/vCXXalotfAAAA//8DAFBLAwQU&#10;AAYACAAAACEATwvWgt4AAAALAQAADwAAAGRycy9kb3ducmV2LnhtbEyPy07DMBBF90j8gzVI7Kjd&#10;0NIoZFIhEEUsGyhrJ3aTqLEdbCcNf890Bcu5c3Qf+XY2PZu0D52zCMuFAKZt7VRnG4TPj9e7FFiI&#10;0irZO6sRfnSAbXF9lctMubPd66mMDSMTGzKJ0MY4ZJyHutVGhoUbtKXf0XkjI52+4crLM5mbnidC&#10;PHAjO0sJrRz0c6vrUzkahOrg0nL3fkxexLefxvL01cW3HeLtzfz0CCzqOf7BcKlP1aGgTpUbrQqs&#10;R1iJ5YpQhCRd0wYi1ulFqRDuN6TwIuf/NxS/AAAA//8DAFBLAQItABQABgAIAAAAIQC2gziS/gAA&#10;AOEBAAATAAAAAAAAAAAAAAAAAAAAAABbQ29udGVudF9UeXBlc10ueG1sUEsBAi0AFAAGAAgAAAAh&#10;ADj9If/WAAAAlAEAAAsAAAAAAAAAAAAAAAAALwEAAF9yZWxzLy5yZWxzUEsBAi0AFAAGAAgAAAAh&#10;AIlGCeqHAgAAdQUAAA4AAAAAAAAAAAAAAAAALgIAAGRycy9lMm9Eb2MueG1sUEsBAi0AFAAGAAgA&#10;AAAhAE8L1oLeAAAACwEAAA8AAAAAAAAAAAAAAAAA4QQAAGRycy9kb3ducmV2LnhtbFBLBQYAAAAA&#10;BAAEAPMAAADsBQAAAAA=&#10;" fillcolor="#c9cae5" stroked="f" strokeweight="1pt">
                <v:stroke joinstyle="miter"/>
                <v:textbox>
                  <w:txbxContent>
                    <w:p w14:paraId="34DA4E95" w14:textId="3381C3F0" w:rsidR="00040A23" w:rsidRPr="00327D5A" w:rsidRDefault="00040A23" w:rsidP="00327D5A">
                      <w:pPr>
                        <w:jc w:val="center"/>
                        <w:rPr>
                          <w:rFonts w:asciiTheme="minorHAnsi" w:hAnsiTheme="minorHAnsi" w:cstheme="minorHAnsi"/>
                          <w:color w:val="000000" w:themeColor="text1"/>
                          <w:sz w:val="20"/>
                          <w:szCs w:val="20"/>
                        </w:rPr>
                      </w:pPr>
                      <w:r w:rsidRPr="00327D5A">
                        <w:rPr>
                          <w:rFonts w:asciiTheme="minorHAnsi" w:hAnsiTheme="minorHAnsi" w:cstheme="minorHAnsi"/>
                          <w:color w:val="000000" w:themeColor="text1"/>
                          <w:sz w:val="20"/>
                          <w:szCs w:val="20"/>
                        </w:rPr>
                        <w:t>If no doubt subsist</w:t>
                      </w:r>
                    </w:p>
                  </w:txbxContent>
                </v:textbox>
              </v:oval>
            </w:pict>
          </mc:Fallback>
        </mc:AlternateContent>
      </w:r>
    </w:p>
    <w:p w14:paraId="6A33EDE1" w14:textId="77777777" w:rsidR="00A52661" w:rsidRPr="005A6959" w:rsidRDefault="00A52661" w:rsidP="00662304">
      <w:pPr>
        <w:spacing w:line="276" w:lineRule="auto"/>
        <w:jc w:val="both"/>
        <w:rPr>
          <w:rStyle w:val="y2iqfc"/>
          <w:rFonts w:ascii="Calibri" w:hAnsi="Calibri" w:cs="Calibri"/>
          <w:b/>
          <w:bCs/>
        </w:rPr>
      </w:pPr>
    </w:p>
    <w:p w14:paraId="75FB39E0" w14:textId="77777777" w:rsidR="00492EB0" w:rsidRPr="005A6959" w:rsidRDefault="00492EB0" w:rsidP="00662304">
      <w:pPr>
        <w:spacing w:line="276" w:lineRule="auto"/>
        <w:jc w:val="both"/>
        <w:rPr>
          <w:rStyle w:val="y2iqfc"/>
          <w:rFonts w:ascii="Calibri" w:hAnsi="Calibri" w:cs="Calibri"/>
          <w:b/>
          <w:bCs/>
        </w:rPr>
      </w:pPr>
    </w:p>
    <w:p w14:paraId="57A51664" w14:textId="77777777" w:rsidR="00492EB0" w:rsidRPr="005A6959" w:rsidRDefault="00492EB0" w:rsidP="00662304">
      <w:pPr>
        <w:spacing w:line="276" w:lineRule="auto"/>
        <w:jc w:val="both"/>
        <w:rPr>
          <w:rStyle w:val="y2iqfc"/>
          <w:rFonts w:ascii="Calibri" w:hAnsi="Calibri" w:cs="Calibri"/>
          <w:b/>
          <w:bCs/>
        </w:rPr>
      </w:pPr>
    </w:p>
    <w:p w14:paraId="20DF292E" w14:textId="77777777" w:rsidR="00492EB0" w:rsidRPr="005A6959" w:rsidRDefault="00492EB0" w:rsidP="00662304">
      <w:pPr>
        <w:spacing w:line="276" w:lineRule="auto"/>
        <w:jc w:val="both"/>
        <w:rPr>
          <w:rStyle w:val="y2iqfc"/>
          <w:rFonts w:ascii="Calibri" w:hAnsi="Calibri" w:cs="Calibri"/>
          <w:b/>
          <w:bCs/>
        </w:rPr>
      </w:pPr>
    </w:p>
    <w:p w14:paraId="4B060DBE" w14:textId="77777777" w:rsidR="00492EB0" w:rsidRPr="005A6959" w:rsidRDefault="00492EB0" w:rsidP="00662304">
      <w:pPr>
        <w:spacing w:line="276" w:lineRule="auto"/>
        <w:jc w:val="both"/>
        <w:rPr>
          <w:rStyle w:val="y2iqfc"/>
          <w:rFonts w:ascii="Calibri" w:hAnsi="Calibri" w:cs="Calibri"/>
          <w:b/>
          <w:bCs/>
        </w:rPr>
      </w:pPr>
    </w:p>
    <w:p w14:paraId="7457D806" w14:textId="77777777" w:rsidR="00492EB0" w:rsidRPr="005A6959" w:rsidRDefault="00492EB0" w:rsidP="00662304">
      <w:pPr>
        <w:spacing w:line="276" w:lineRule="auto"/>
        <w:jc w:val="both"/>
        <w:rPr>
          <w:rStyle w:val="y2iqfc"/>
          <w:rFonts w:ascii="Calibri" w:hAnsi="Calibri" w:cs="Calibri"/>
          <w:b/>
          <w:bCs/>
        </w:rPr>
      </w:pPr>
    </w:p>
    <w:p w14:paraId="050D7ACE" w14:textId="77777777" w:rsidR="00492EB0" w:rsidRPr="005A6959" w:rsidRDefault="00492EB0" w:rsidP="00662304">
      <w:pPr>
        <w:spacing w:line="276" w:lineRule="auto"/>
        <w:jc w:val="both"/>
        <w:rPr>
          <w:rStyle w:val="y2iqfc"/>
          <w:rFonts w:ascii="Calibri" w:hAnsi="Calibri" w:cs="Calibri"/>
          <w:b/>
          <w:bCs/>
        </w:rPr>
      </w:pPr>
    </w:p>
    <w:p w14:paraId="62569DBB" w14:textId="77777777" w:rsidR="00BE2184" w:rsidRDefault="00BE2184" w:rsidP="00662304">
      <w:pPr>
        <w:spacing w:line="276" w:lineRule="auto"/>
        <w:jc w:val="both"/>
        <w:rPr>
          <w:rStyle w:val="y2iqfc"/>
          <w:rFonts w:ascii="Calibri" w:hAnsi="Calibri" w:cs="Calibri"/>
          <w:b/>
          <w:bCs/>
        </w:rPr>
      </w:pPr>
    </w:p>
    <w:p w14:paraId="47971839" w14:textId="77777777" w:rsidR="00F87908" w:rsidRDefault="00F87908" w:rsidP="00662304">
      <w:pPr>
        <w:spacing w:line="276" w:lineRule="auto"/>
        <w:jc w:val="both"/>
        <w:rPr>
          <w:rStyle w:val="y2iqfc"/>
          <w:rFonts w:asciiTheme="majorHAnsi" w:hAnsiTheme="majorHAnsi" w:cstheme="majorHAnsi"/>
          <w:b/>
          <w:bCs/>
          <w:i/>
          <w:iCs/>
          <w:color w:val="2F5496" w:themeColor="accent1" w:themeShade="BF"/>
          <w:sz w:val="26"/>
          <w:szCs w:val="26"/>
        </w:rPr>
      </w:pPr>
    </w:p>
    <w:p w14:paraId="1E255FD5" w14:textId="26DD5732" w:rsidR="00F87908" w:rsidRDefault="00F87908" w:rsidP="00662304">
      <w:pPr>
        <w:spacing w:line="276" w:lineRule="auto"/>
        <w:jc w:val="both"/>
        <w:rPr>
          <w:rStyle w:val="y2iqfc"/>
          <w:rFonts w:asciiTheme="majorHAnsi" w:hAnsiTheme="majorHAnsi" w:cstheme="majorHAnsi"/>
          <w:b/>
          <w:bCs/>
          <w:i/>
          <w:iCs/>
          <w:color w:val="2F5496" w:themeColor="accent1" w:themeShade="BF"/>
          <w:sz w:val="26"/>
          <w:szCs w:val="26"/>
        </w:rPr>
      </w:pPr>
    </w:p>
    <w:p w14:paraId="204033A8" w14:textId="04C8578E" w:rsidR="007C6A2D" w:rsidRPr="00BE2184" w:rsidRDefault="00E5517F" w:rsidP="00662304">
      <w:pPr>
        <w:spacing w:line="276" w:lineRule="auto"/>
        <w:jc w:val="both"/>
        <w:rPr>
          <w:rStyle w:val="y2iqfc"/>
          <w:rFonts w:asciiTheme="majorHAnsi" w:hAnsiTheme="majorHAnsi" w:cstheme="majorHAnsi"/>
          <w:b/>
          <w:bCs/>
          <w:i/>
          <w:iCs/>
          <w:color w:val="2F5496" w:themeColor="accent1" w:themeShade="BF"/>
          <w:sz w:val="26"/>
          <w:szCs w:val="26"/>
        </w:rPr>
      </w:pPr>
      <w:r w:rsidRPr="007A6459">
        <w:rPr>
          <w:rFonts w:asciiTheme="majorHAnsi" w:hAnsiTheme="majorHAnsi" w:cstheme="majorHAnsi"/>
          <w:noProof/>
          <w:color w:val="000000"/>
        </w:rPr>
        <w:drawing>
          <wp:anchor distT="0" distB="0" distL="114300" distR="114300" simplePos="0" relativeHeight="251948032" behindDoc="0" locked="0" layoutInCell="1" allowOverlap="1" wp14:anchorId="65878F10" wp14:editId="1FD1B89B">
            <wp:simplePos x="0" y="0"/>
            <wp:positionH relativeFrom="column">
              <wp:posOffset>5295900</wp:posOffset>
            </wp:positionH>
            <wp:positionV relativeFrom="paragraph">
              <wp:posOffset>46355</wp:posOffset>
            </wp:positionV>
            <wp:extent cx="518795" cy="514350"/>
            <wp:effectExtent l="0" t="0" r="0" b="0"/>
            <wp:wrapNone/>
            <wp:docPr id="871706994" name="Image 1" descr="Une image contenant dessin humoristique, Silhouette d’animal, clipart, coch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876948" name="Image 1" descr="Une image contenant dessin humoristique, Silhouette d’animal, clipart, cochon&#10;&#10;Description générée automatiquement"/>
                    <pic:cNvPicPr/>
                  </pic:nvPicPr>
                  <pic:blipFill>
                    <a:blip r:embed="rId21">
                      <a:extLst>
                        <a:ext uri="{28A0092B-C50C-407E-A947-70E740481C1C}">
                          <a14:useLocalDpi xmlns:a14="http://schemas.microsoft.com/office/drawing/2010/main" val="0"/>
                        </a:ext>
                      </a:extLst>
                    </a:blip>
                    <a:stretch>
                      <a:fillRect/>
                    </a:stretch>
                  </pic:blipFill>
                  <pic:spPr>
                    <a:xfrm>
                      <a:off x="0" y="0"/>
                      <a:ext cx="518795" cy="514350"/>
                    </a:xfrm>
                    <a:prstGeom prst="rect">
                      <a:avLst/>
                    </a:prstGeom>
                  </pic:spPr>
                </pic:pic>
              </a:graphicData>
            </a:graphic>
            <wp14:sizeRelH relativeFrom="page">
              <wp14:pctWidth>0</wp14:pctWidth>
            </wp14:sizeRelH>
            <wp14:sizeRelV relativeFrom="page">
              <wp14:pctHeight>0</wp14:pctHeight>
            </wp14:sizeRelV>
          </wp:anchor>
        </w:drawing>
      </w:r>
      <w:r>
        <w:rPr>
          <w:rFonts w:asciiTheme="majorHAnsi" w:hAnsiTheme="majorHAnsi" w:cstheme="majorHAnsi"/>
          <w:noProof/>
          <w:color w:val="000000"/>
          <w14:ligatures w14:val="standardContextual"/>
        </w:rPr>
        <mc:AlternateContent>
          <mc:Choice Requires="wps">
            <w:drawing>
              <wp:anchor distT="0" distB="0" distL="114300" distR="114300" simplePos="0" relativeHeight="251947008" behindDoc="0" locked="0" layoutInCell="1" allowOverlap="1" wp14:anchorId="3354E0B1" wp14:editId="59954F38">
                <wp:simplePos x="0" y="0"/>
                <wp:positionH relativeFrom="column">
                  <wp:posOffset>5226755</wp:posOffset>
                </wp:positionH>
                <wp:positionV relativeFrom="paragraph">
                  <wp:posOffset>51012</wp:posOffset>
                </wp:positionV>
                <wp:extent cx="670560" cy="620395"/>
                <wp:effectExtent l="0" t="0" r="0" b="8255"/>
                <wp:wrapNone/>
                <wp:docPr id="2016785405" name="Ellipse 68"/>
                <wp:cNvGraphicFramePr/>
                <a:graphic xmlns:a="http://schemas.openxmlformats.org/drawingml/2006/main">
                  <a:graphicData uri="http://schemas.microsoft.com/office/word/2010/wordprocessingShape">
                    <wps:wsp>
                      <wps:cNvSpPr/>
                      <wps:spPr>
                        <a:xfrm>
                          <a:off x="0" y="0"/>
                          <a:ext cx="670560" cy="620395"/>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54E3EDE" id="Ellipse 68" o:spid="_x0000_s1026" style="position:absolute;margin-left:411.55pt;margin-top:4pt;width:52.8pt;height:48.85pt;z-index:251947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urfAIAAGAFAAAOAAAAZHJzL2Uyb0RvYy54bWysVFFv2yAQfp+0/4B4X21nSbpGcaooVadJ&#10;VVutnfpMMMRImGNA4mS/fgd2nHSt9jDtBQN3993d5++YX+8bTXbCeQWmpMVFTokwHCplNiX98Xz7&#10;6QslPjBTMQ1GlPQgPL1efPwwb+1MjKAGXQlHEMT4WWtLWodgZ1nmeS0a5i/ACoNGCa5hAY9uk1WO&#10;tYje6GyU59OsBVdZB1x4j7c3nZEuEr6UgocHKb0IRJcUawtpdWldxzVbzNls45itFe/LYP9QRcOU&#10;waQD1A0LjGydegPVKO7AgwwXHJoMpFRcpB6wmyL/o5unmlmRekFyvB1o8v8Plt/vnuyjQxpa62ce&#10;t7GLvXRN/GJ9ZJ/IOgxkiX0gHC+nl/lkipRyNE1H+eerSSQzOwVb58NXAQ2Jm5IKrZX1sR02Y7s7&#10;Hzrvo1e89qBVdau0TocoAbHSjuwY/rz1pujxX3lpE30NxKgOMN5kp2bSLhy0iH7afBeSqArLH6VC&#10;ks5OSRjnwoSiM9WsEl3uYpLnSSrY3RCRek2AEVli/gG7B3jdwBG7q7L3j6EiyXQIzv9WWBc8RKTM&#10;YMIQ3CgD7j0AjV31mTv/I0kdNZGlNVSHR0ccdEPiLb9V+OfumA+PzOFU4M/GSQ8PuEgNbUmh31FS&#10;g/v13n30R7GilZIWp6yk/ueWOUGJ/mZQxlfFeBzHMh3Gk8sRHty5ZX1uMdtmBaiFAt8Uy9M2+gd9&#10;3EoHzQs+CMuYFU3McMxdUh7c8bAK3fTjk8LFcpnccBQtC3fmyfIIHlmNsnzevzBne/kG1P09HCfy&#10;jYQ73xhpYLkNIFXS94nXnm8c4ySc/smJ78T5OXmdHsbFbwAAAP//AwBQSwMEFAAGAAgAAAAhAFdM&#10;6VngAAAACQEAAA8AAABkcnMvZG93bnJldi54bWxMj81OwzAQhO9IvIO1SNyo3UShIcSpEH+XFhAB&#10;CXFzY5NEjdeR7Tbh7VlOcNvRfJqdKdezHdjR+NA7lLBcCGAGG6d7bCW8vz1c5MBCVKjV4NBI+DYB&#10;1tXpSakK7SZ8Ncc6toxCMBRKQhfjWHAems5YFRZuNEjel/NWRZK+5dqricLtwBMhLrlVPdKHTo3m&#10;tjPNvj5YCduP533qs8e7l6f7zVSLNOvrzaeU52fzzTWwaOb4B8NvfaoOFXXauQPqwAYJeZIuCaWD&#10;JpF/leQrYDsCRbYCXpX8/4LqBwAA//8DAFBLAQItABQABgAIAAAAIQC2gziS/gAAAOEBAAATAAAA&#10;AAAAAAAAAAAAAAAAAABbQ29udGVudF9UeXBlc10ueG1sUEsBAi0AFAAGAAgAAAAhADj9If/WAAAA&#10;lAEAAAsAAAAAAAAAAAAAAAAALwEAAF9yZWxzLy5yZWxzUEsBAi0AFAAGAAgAAAAhAD9T26t8AgAA&#10;YAUAAA4AAAAAAAAAAAAAAAAALgIAAGRycy9lMm9Eb2MueG1sUEsBAi0AFAAGAAgAAAAhAFdM6Vng&#10;AAAACQEAAA8AAAAAAAAAAAAAAAAA1gQAAGRycy9kb3ducmV2LnhtbFBLBQYAAAAABAAEAPMAAADj&#10;BQAAAAA=&#10;" fillcolor="white [3212]" stroked="f" strokeweight="1pt">
                <v:stroke joinstyle="miter"/>
              </v:oval>
            </w:pict>
          </mc:Fallback>
        </mc:AlternateContent>
      </w:r>
      <w:r w:rsidR="007C6A2D" w:rsidRPr="00BE2184">
        <w:rPr>
          <w:rStyle w:val="y2iqfc"/>
          <w:rFonts w:asciiTheme="majorHAnsi" w:hAnsiTheme="majorHAnsi" w:cstheme="majorHAnsi"/>
          <w:b/>
          <w:bCs/>
          <w:i/>
          <w:iCs/>
          <w:color w:val="2F5496" w:themeColor="accent1" w:themeShade="BF"/>
          <w:sz w:val="26"/>
          <w:szCs w:val="26"/>
        </w:rPr>
        <w:t>Consistent Interpretation</w:t>
      </w:r>
      <w:r w:rsidR="008B77A1">
        <w:rPr>
          <w:rStyle w:val="y2iqfc"/>
          <w:rFonts w:asciiTheme="majorHAnsi" w:hAnsiTheme="majorHAnsi" w:cstheme="majorHAnsi"/>
          <w:b/>
          <w:bCs/>
          <w:i/>
          <w:iCs/>
          <w:color w:val="2F5496" w:themeColor="accent1" w:themeShade="BF"/>
          <w:sz w:val="26"/>
          <w:szCs w:val="26"/>
        </w:rPr>
        <w:t xml:space="preserve"> </w:t>
      </w:r>
      <w:r w:rsidR="007C6A2D" w:rsidRPr="00BE2184">
        <w:rPr>
          <w:rStyle w:val="y2iqfc"/>
          <w:rFonts w:asciiTheme="majorHAnsi" w:hAnsiTheme="majorHAnsi" w:cstheme="majorHAnsi"/>
          <w:b/>
          <w:bCs/>
          <w:i/>
          <w:iCs/>
          <w:color w:val="2F5496" w:themeColor="accent1" w:themeShade="BF"/>
          <w:sz w:val="26"/>
          <w:szCs w:val="26"/>
        </w:rPr>
        <w:t xml:space="preserve">: </w:t>
      </w:r>
    </w:p>
    <w:p w14:paraId="3F01F29E" w14:textId="744FF463" w:rsidR="00C56EE3" w:rsidRPr="008B77A1" w:rsidRDefault="007C6A2D" w:rsidP="00662304">
      <w:pPr>
        <w:spacing w:line="276" w:lineRule="auto"/>
        <w:jc w:val="both"/>
        <w:rPr>
          <w:rStyle w:val="y2iqfc"/>
          <w:rFonts w:asciiTheme="majorHAnsi" w:hAnsiTheme="majorHAnsi" w:cstheme="majorHAnsi"/>
          <w:color w:val="2C2D5B"/>
        </w:rPr>
      </w:pPr>
      <w:r w:rsidRPr="008B77A1">
        <w:rPr>
          <w:rStyle w:val="y2iqfc"/>
          <w:rFonts w:asciiTheme="majorHAnsi" w:hAnsiTheme="majorHAnsi" w:cstheme="majorHAnsi"/>
          <w:noProof/>
          <w:color w:val="2C2D5B"/>
          <w:lang w:eastAsia="ca-ES"/>
        </w:rPr>
        <mc:AlternateContent>
          <mc:Choice Requires="wps">
            <w:drawing>
              <wp:anchor distT="0" distB="0" distL="457200" distR="118745" simplePos="0" relativeHeight="251662336" behindDoc="0" locked="0" layoutInCell="0" allowOverlap="1" wp14:anchorId="42E3FA24" wp14:editId="1E10411E">
                <wp:simplePos x="0" y="0"/>
                <wp:positionH relativeFrom="margin">
                  <wp:posOffset>3886835</wp:posOffset>
                </wp:positionH>
                <wp:positionV relativeFrom="paragraph">
                  <wp:posOffset>48260</wp:posOffset>
                </wp:positionV>
                <wp:extent cx="1784985" cy="1884680"/>
                <wp:effectExtent l="0" t="0" r="13335" b="20320"/>
                <wp:wrapSquare wrapText="bothSides"/>
                <wp:docPr id="6" name="Forma automàtica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84985" cy="1884680"/>
                        </a:xfrm>
                        <a:prstGeom prst="roundRect">
                          <a:avLst/>
                        </a:prstGeom>
                        <a:solidFill>
                          <a:schemeClr val="accent4">
                            <a:lumMod val="20000"/>
                            <a:lumOff val="80000"/>
                          </a:schemeClr>
                        </a:solidFill>
                        <a:ln w="15875">
                          <a:solidFill>
                            <a:schemeClr val="accent4">
                              <a:lumMod val="20000"/>
                              <a:lumOff val="80000"/>
                            </a:schemeClr>
                          </a:solidFill>
                        </a:ln>
                      </wps:spPr>
                      <wps:style>
                        <a:lnRef idx="0">
                          <a:scrgbClr r="0" g="0" b="0"/>
                        </a:lnRef>
                        <a:fillRef idx="1003">
                          <a:schemeClr val="lt1"/>
                        </a:fillRef>
                        <a:effectRef idx="0">
                          <a:scrgbClr r="0" g="0" b="0"/>
                        </a:effectRef>
                        <a:fontRef idx="major"/>
                      </wps:style>
                      <wps:txbx>
                        <w:txbxContent>
                          <w:p w14:paraId="3EBB361B" w14:textId="1D10DDE6" w:rsidR="00321E09" w:rsidRPr="008B77A1" w:rsidRDefault="00321E09" w:rsidP="008B77A1">
                            <w:pPr>
                              <w:pBdr>
                                <w:left w:val="single" w:sz="4" w:space="9" w:color="4472C4" w:themeColor="accent1"/>
                              </w:pBdr>
                              <w:jc w:val="center"/>
                              <w:rPr>
                                <w:rFonts w:asciiTheme="minorHAnsi" w:eastAsiaTheme="majorEastAsia" w:hAnsiTheme="minorHAnsi" w:cstheme="minorHAnsi"/>
                                <w:b/>
                                <w:bCs/>
                                <w:color w:val="2C2D5B"/>
                                <w:sz w:val="20"/>
                                <w:szCs w:val="20"/>
                              </w:rPr>
                            </w:pPr>
                            <w:r w:rsidRPr="008B77A1">
                              <w:rPr>
                                <w:rFonts w:asciiTheme="minorHAnsi" w:eastAsiaTheme="majorEastAsia" w:hAnsiTheme="minorHAnsi" w:cstheme="minorHAnsi"/>
                                <w:b/>
                                <w:bCs/>
                                <w:color w:val="2C2D5B"/>
                                <w:sz w:val="20"/>
                                <w:szCs w:val="20"/>
                              </w:rPr>
                              <w:t>Consistent interpretation</w:t>
                            </w:r>
                          </w:p>
                          <w:p w14:paraId="7466FDEB" w14:textId="7DD21795" w:rsidR="00321E09" w:rsidRPr="008B77A1" w:rsidRDefault="00B23834" w:rsidP="00600AB8">
                            <w:pPr>
                              <w:pBdr>
                                <w:left w:val="single" w:sz="4" w:space="9" w:color="4472C4" w:themeColor="accent1"/>
                              </w:pBdr>
                              <w:jc w:val="both"/>
                              <w:rPr>
                                <w:rFonts w:asciiTheme="minorHAnsi" w:hAnsiTheme="minorHAnsi" w:cstheme="minorHAnsi"/>
                                <w:color w:val="2C2D5B"/>
                                <w:sz w:val="20"/>
                                <w:szCs w:val="20"/>
                              </w:rPr>
                            </w:pPr>
                            <w:r w:rsidRPr="008B77A1">
                              <w:rPr>
                                <w:rFonts w:asciiTheme="minorHAnsi" w:hAnsiTheme="minorHAnsi" w:cstheme="minorHAnsi"/>
                                <w:color w:val="2C2D5B"/>
                                <w:sz w:val="20"/>
                                <w:szCs w:val="20"/>
                              </w:rPr>
                              <w:t>A</w:t>
                            </w:r>
                            <w:r w:rsidR="00321E09" w:rsidRPr="008B77A1">
                              <w:rPr>
                                <w:rFonts w:asciiTheme="minorHAnsi" w:hAnsiTheme="minorHAnsi" w:cstheme="minorHAnsi"/>
                                <w:color w:val="2C2D5B"/>
                                <w:sz w:val="20"/>
                                <w:szCs w:val="20"/>
                              </w:rPr>
                              <w:t>nticipates and resolves direct conflicts between:</w:t>
                            </w:r>
                          </w:p>
                          <w:p w14:paraId="0027C27C" w14:textId="77777777" w:rsidR="00B23834" w:rsidRPr="008B77A1" w:rsidRDefault="00321E09" w:rsidP="00600AB8">
                            <w:pPr>
                              <w:pBdr>
                                <w:left w:val="single" w:sz="4" w:space="9" w:color="4472C4" w:themeColor="accent1"/>
                              </w:pBdr>
                              <w:jc w:val="both"/>
                              <w:rPr>
                                <w:rFonts w:asciiTheme="minorHAnsi" w:hAnsiTheme="minorHAnsi" w:cstheme="minorHAnsi"/>
                                <w:color w:val="2C2D5B"/>
                                <w:sz w:val="20"/>
                                <w:szCs w:val="20"/>
                              </w:rPr>
                            </w:pPr>
                            <w:r w:rsidRPr="008B77A1">
                              <w:rPr>
                                <w:rFonts w:asciiTheme="minorHAnsi" w:hAnsiTheme="minorHAnsi" w:cstheme="minorHAnsi"/>
                                <w:color w:val="2C2D5B"/>
                                <w:sz w:val="20"/>
                                <w:szCs w:val="20"/>
                              </w:rPr>
                              <w:t xml:space="preserve">(1) legal rules of national origin and EU/ECHR, </w:t>
                            </w:r>
                          </w:p>
                          <w:p w14:paraId="638C4629" w14:textId="13A01A90" w:rsidR="00321E09" w:rsidRPr="008B77A1" w:rsidRDefault="00321E09" w:rsidP="00600AB8">
                            <w:pPr>
                              <w:pBdr>
                                <w:left w:val="single" w:sz="4" w:space="9" w:color="4472C4" w:themeColor="accent1"/>
                              </w:pBdr>
                              <w:jc w:val="both"/>
                              <w:rPr>
                                <w:rFonts w:asciiTheme="minorHAnsi" w:hAnsiTheme="minorHAnsi" w:cstheme="minorHAnsi"/>
                                <w:color w:val="2C2D5B"/>
                                <w:sz w:val="20"/>
                                <w:szCs w:val="20"/>
                              </w:rPr>
                            </w:pPr>
                            <w:r w:rsidRPr="008B77A1">
                              <w:rPr>
                                <w:rFonts w:asciiTheme="minorHAnsi" w:hAnsiTheme="minorHAnsi" w:cstheme="minorHAnsi"/>
                                <w:color w:val="2C2D5B"/>
                                <w:sz w:val="20"/>
                                <w:szCs w:val="20"/>
                              </w:rPr>
                              <w:t>(2) EU and ECHR rules, and (3) divergent rulings of national law in the light of EU/ECHR law.</w:t>
                            </w:r>
                          </w:p>
                        </w:txbxContent>
                      </wps:txbx>
                      <wps:bodyPr rot="0" vert="horz" wrap="square" lIns="91440" tIns="91440" rIns="91440" bIns="91440" anchor="t" anchorCtr="0" upright="1">
                        <a:noAutofit/>
                      </wps:bodyPr>
                    </wps:wsp>
                  </a:graphicData>
                </a:graphic>
                <wp14:sizeRelH relativeFrom="margin">
                  <wp14:pctWidth>30000</wp14:pctWidth>
                </wp14:sizeRelH>
                <wp14:sizeRelV relativeFrom="margin">
                  <wp14:pctHeight>0</wp14:pctHeight>
                </wp14:sizeRelV>
              </wp:anchor>
            </w:drawing>
          </mc:Choice>
          <mc:Fallback>
            <w:pict>
              <v:roundrect w14:anchorId="42E3FA24" id="_x0000_s1055" style="position:absolute;left:0;text-align:left;margin-left:306.05pt;margin-top:3.8pt;width:140.55pt;height:148.4pt;z-index:251662336;visibility:visible;mso-wrap-style:square;mso-width-percent:300;mso-height-percent:0;mso-wrap-distance-left:36pt;mso-wrap-distance-top:0;mso-wrap-distance-right:9.35pt;mso-wrap-distance-bottom:0;mso-position-horizontal:absolute;mso-position-horizontal-relative:margin;mso-position-vertical:absolute;mso-position-vertical-relative:text;mso-width-percent:30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8SFbQIAAGIFAAAOAAAAZHJzL2Uyb0RvYy54bWy0VNtu2zAMfR+wfxD0vtruktYx6hRFig4D&#10;ugva7QMUWY69yaJGKXGyry8lO266AXsYthfDpHRIHvJQV9f7TrOdQteCKXl2lnKmjISqNZuSf/1y&#10;9ybnzHlhKqHBqJIflOPXy9evrnpbqHNoQFcKGQUxruhtyRvvbZEkTjaqE+4MrDJ0WAN2wpOJm6RC&#10;0VP0TifnaXqR9ICVRZDKOfLeDod8GePXtZL+U1075ZkuOdXm4xfjdx2+yfJKFBsUtmnlWIb4iyo6&#10;0RpKOoW6FV6wLba/hepaieCg9mcSugTqupUqciA2WfoLm8dGWBW5UHOcndrk/l1Y+XH3aD9jKN3Z&#10;e5DfHTOwaoTZqBtE6BslKkqXhUYlvXXFBAiGIyhb9x+gotGKrYfYg32NXQhI7Ng+tvowtVrtPZPk&#10;zC7z2SKfcybpLMvz2UUeh5GI4gi36Pw7BR0LPyVH2JrqgQYac4jdvfOhJlEc70UOoNvqrtU6GkFE&#10;aqWR7QSNX0ipjJ9FuN52VPTgJxmloxDITXIZ3PnRTSmiHEOkmNCdJtGG9cRgnl/OY+QXhxPu/1VA&#10;1WkzziaMIyifBuMPWoUeaPOgatZWcQ5DU3CzDj0ZloC2lNbiuAoxGAHCxZq6OGGzNH070HvZU+0H&#10;ZUzXA1LFvZuw6Qj8c94JFHOD8RO+E98AJ/2NzAJJv1/viVrJzxfhOLjWUB1IkgjDotPDRD8N4E/O&#10;elrykrsfW4GKM/3ekKwX2WwWXoVTA0+N9akhjKRQJfecDb8rPzRxa7HdNJQpi1QN3NAq1G3U53NV&#10;45BokaOKxkcnvBSndrz1/DQunwAAAP//AwBQSwMEFAAGAAgAAAAhAF6D8TvfAAAACQEAAA8AAABk&#10;cnMvZG93bnJldi54bWxMj81OwzAQhO9IvIO1SNyonaQKJWRTAVIlxI1SCbi58ZJE+CfYbhN4etwT&#10;HEczmvmmXs9GsyP5MDiLkC0EMLKtU4PtEHYvm6sVsBClVVI7SwjfFGDdnJ/VslJuss903MaOpRIb&#10;KonQxzhWnIe2JyPDwo1kk/fhvJExSd9x5eWUyo3muRAlN3KwaaGXIz301H5uDwahdePPu3oM5J/8&#10;67S7/9LirdggXl7Md7fAIs3xLwwn/IQOTWLau4NVgWmEMsuzFEW4LoElf3VT5MD2CIVYLoE3Nf//&#10;oPkFAAD//wMAUEsBAi0AFAAGAAgAAAAhALaDOJL+AAAA4QEAABMAAAAAAAAAAAAAAAAAAAAAAFtD&#10;b250ZW50X1R5cGVzXS54bWxQSwECLQAUAAYACAAAACEAOP0h/9YAAACUAQAACwAAAAAAAAAAAAAA&#10;AAAvAQAAX3JlbHMvLnJlbHNQSwECLQAUAAYACAAAACEAQJPEhW0CAABiBQAADgAAAAAAAAAAAAAA&#10;AAAuAgAAZHJzL2Uyb0RvYy54bWxQSwECLQAUAAYACAAAACEAXoPxO98AAAAJAQAADwAAAAAAAAAA&#10;AAAAAADHBAAAZHJzL2Rvd25yZXYueG1sUEsFBgAAAAAEAAQA8wAAANMFAAAAAA==&#10;" o:allowincell="f" fillcolor="#fff2cc [663]" strokecolor="#fff2cc [663]" strokeweight="1.25pt">
                <v:textbox inset=",7.2pt,,7.2pt">
                  <w:txbxContent>
                    <w:p w14:paraId="3EBB361B" w14:textId="1D10DDE6" w:rsidR="00321E09" w:rsidRPr="008B77A1" w:rsidRDefault="00321E09" w:rsidP="008B77A1">
                      <w:pPr>
                        <w:pBdr>
                          <w:left w:val="single" w:sz="4" w:space="9" w:color="4472C4" w:themeColor="accent1"/>
                        </w:pBdr>
                        <w:jc w:val="center"/>
                        <w:rPr>
                          <w:rFonts w:asciiTheme="minorHAnsi" w:eastAsiaTheme="majorEastAsia" w:hAnsiTheme="minorHAnsi" w:cstheme="minorHAnsi"/>
                          <w:b/>
                          <w:bCs/>
                          <w:color w:val="2C2D5B"/>
                          <w:sz w:val="20"/>
                          <w:szCs w:val="20"/>
                        </w:rPr>
                      </w:pPr>
                      <w:r w:rsidRPr="008B77A1">
                        <w:rPr>
                          <w:rFonts w:asciiTheme="minorHAnsi" w:eastAsiaTheme="majorEastAsia" w:hAnsiTheme="minorHAnsi" w:cstheme="minorHAnsi"/>
                          <w:b/>
                          <w:bCs/>
                          <w:color w:val="2C2D5B"/>
                          <w:sz w:val="20"/>
                          <w:szCs w:val="20"/>
                        </w:rPr>
                        <w:t>Consistent interpretation</w:t>
                      </w:r>
                    </w:p>
                    <w:p w14:paraId="7466FDEB" w14:textId="7DD21795" w:rsidR="00321E09" w:rsidRPr="008B77A1" w:rsidRDefault="00B23834" w:rsidP="00600AB8">
                      <w:pPr>
                        <w:pBdr>
                          <w:left w:val="single" w:sz="4" w:space="9" w:color="4472C4" w:themeColor="accent1"/>
                        </w:pBdr>
                        <w:jc w:val="both"/>
                        <w:rPr>
                          <w:rFonts w:asciiTheme="minorHAnsi" w:hAnsiTheme="minorHAnsi" w:cstheme="minorHAnsi"/>
                          <w:color w:val="2C2D5B"/>
                          <w:sz w:val="20"/>
                          <w:szCs w:val="20"/>
                        </w:rPr>
                      </w:pPr>
                      <w:r w:rsidRPr="008B77A1">
                        <w:rPr>
                          <w:rFonts w:asciiTheme="minorHAnsi" w:hAnsiTheme="minorHAnsi" w:cstheme="minorHAnsi"/>
                          <w:color w:val="2C2D5B"/>
                          <w:sz w:val="20"/>
                          <w:szCs w:val="20"/>
                        </w:rPr>
                        <w:t>A</w:t>
                      </w:r>
                      <w:r w:rsidR="00321E09" w:rsidRPr="008B77A1">
                        <w:rPr>
                          <w:rFonts w:asciiTheme="minorHAnsi" w:hAnsiTheme="minorHAnsi" w:cstheme="minorHAnsi"/>
                          <w:color w:val="2C2D5B"/>
                          <w:sz w:val="20"/>
                          <w:szCs w:val="20"/>
                        </w:rPr>
                        <w:t>nticipates and resolves direct conflicts between:</w:t>
                      </w:r>
                    </w:p>
                    <w:p w14:paraId="0027C27C" w14:textId="77777777" w:rsidR="00B23834" w:rsidRPr="008B77A1" w:rsidRDefault="00321E09" w:rsidP="00600AB8">
                      <w:pPr>
                        <w:pBdr>
                          <w:left w:val="single" w:sz="4" w:space="9" w:color="4472C4" w:themeColor="accent1"/>
                        </w:pBdr>
                        <w:jc w:val="both"/>
                        <w:rPr>
                          <w:rFonts w:asciiTheme="minorHAnsi" w:hAnsiTheme="minorHAnsi" w:cstheme="minorHAnsi"/>
                          <w:color w:val="2C2D5B"/>
                          <w:sz w:val="20"/>
                          <w:szCs w:val="20"/>
                        </w:rPr>
                      </w:pPr>
                      <w:r w:rsidRPr="008B77A1">
                        <w:rPr>
                          <w:rFonts w:asciiTheme="minorHAnsi" w:hAnsiTheme="minorHAnsi" w:cstheme="minorHAnsi"/>
                          <w:color w:val="2C2D5B"/>
                          <w:sz w:val="20"/>
                          <w:szCs w:val="20"/>
                        </w:rPr>
                        <w:t xml:space="preserve">(1) legal rules of national origin and EU/ECHR, </w:t>
                      </w:r>
                    </w:p>
                    <w:p w14:paraId="638C4629" w14:textId="13A01A90" w:rsidR="00321E09" w:rsidRPr="008B77A1" w:rsidRDefault="00321E09" w:rsidP="00600AB8">
                      <w:pPr>
                        <w:pBdr>
                          <w:left w:val="single" w:sz="4" w:space="9" w:color="4472C4" w:themeColor="accent1"/>
                        </w:pBdr>
                        <w:jc w:val="both"/>
                        <w:rPr>
                          <w:rFonts w:asciiTheme="minorHAnsi" w:hAnsiTheme="minorHAnsi" w:cstheme="minorHAnsi"/>
                          <w:color w:val="2C2D5B"/>
                          <w:sz w:val="20"/>
                          <w:szCs w:val="20"/>
                        </w:rPr>
                      </w:pPr>
                      <w:r w:rsidRPr="008B77A1">
                        <w:rPr>
                          <w:rFonts w:asciiTheme="minorHAnsi" w:hAnsiTheme="minorHAnsi" w:cstheme="minorHAnsi"/>
                          <w:color w:val="2C2D5B"/>
                          <w:sz w:val="20"/>
                          <w:szCs w:val="20"/>
                        </w:rPr>
                        <w:t>(2) EU and ECHR rules, and (3) divergent rulings of national law in the light of EU/ECHR law.</w:t>
                      </w:r>
                    </w:p>
                  </w:txbxContent>
                </v:textbox>
                <w10:wrap type="square" anchorx="margin"/>
              </v:roundrect>
            </w:pict>
          </mc:Fallback>
        </mc:AlternateContent>
      </w:r>
      <w:r w:rsidR="00566271" w:rsidRPr="008B77A1">
        <w:rPr>
          <w:rStyle w:val="y2iqfc"/>
          <w:rFonts w:asciiTheme="majorHAnsi" w:hAnsiTheme="majorHAnsi" w:cstheme="majorHAnsi"/>
          <w:color w:val="2C2D5B"/>
        </w:rPr>
        <w:t>In order to decide which is the best strategy, lawyer</w:t>
      </w:r>
      <w:r w:rsidR="00A52661" w:rsidRPr="008B77A1">
        <w:rPr>
          <w:rStyle w:val="y2iqfc"/>
          <w:rFonts w:asciiTheme="majorHAnsi" w:hAnsiTheme="majorHAnsi" w:cstheme="majorHAnsi"/>
          <w:color w:val="2C2D5B"/>
        </w:rPr>
        <w:t>s</w:t>
      </w:r>
      <w:r w:rsidR="00566271" w:rsidRPr="008B77A1">
        <w:rPr>
          <w:rStyle w:val="y2iqfc"/>
          <w:rFonts w:asciiTheme="majorHAnsi" w:hAnsiTheme="majorHAnsi" w:cstheme="majorHAnsi"/>
          <w:color w:val="2C2D5B"/>
        </w:rPr>
        <w:t xml:space="preserve"> must analy</w:t>
      </w:r>
      <w:r w:rsidR="00816E41" w:rsidRPr="008B77A1">
        <w:rPr>
          <w:rStyle w:val="y2iqfc"/>
          <w:rFonts w:asciiTheme="majorHAnsi" w:hAnsiTheme="majorHAnsi" w:cstheme="majorHAnsi"/>
          <w:color w:val="2C2D5B"/>
        </w:rPr>
        <w:t>s</w:t>
      </w:r>
      <w:r w:rsidR="00566271" w:rsidRPr="008B77A1">
        <w:rPr>
          <w:rStyle w:val="y2iqfc"/>
          <w:rFonts w:asciiTheme="majorHAnsi" w:hAnsiTheme="majorHAnsi" w:cstheme="majorHAnsi"/>
          <w:color w:val="2C2D5B"/>
        </w:rPr>
        <w:t xml:space="preserve">e if there is a conflict of rules between a national rule and what is established by the Charter. From the outset the national courts have the duty to make an interpretation considering the wording and the objective of the applicable EU legislation and the Charter. </w:t>
      </w:r>
      <w:r w:rsidR="00662304" w:rsidRPr="008B77A1">
        <w:rPr>
          <w:rStyle w:val="y2iqfc"/>
          <w:rFonts w:asciiTheme="majorHAnsi" w:hAnsiTheme="majorHAnsi" w:cstheme="majorHAnsi"/>
          <w:color w:val="2C2D5B"/>
        </w:rPr>
        <w:t xml:space="preserve">In other words, </w:t>
      </w:r>
      <w:r w:rsidR="00662304" w:rsidRPr="008B77A1">
        <w:rPr>
          <w:rFonts w:asciiTheme="majorHAnsi" w:hAnsiTheme="majorHAnsi" w:cstheme="majorHAnsi"/>
          <w:b/>
          <w:bCs/>
          <w:color w:val="2C2D5B"/>
        </w:rPr>
        <w:t xml:space="preserve">EU acts must be interpreted in light of EU fundamental rights and, if EU acts are open to differing meanings, the interpretation that is most in line with EU fundamental rights must be preferred. </w:t>
      </w:r>
      <w:r w:rsidR="00662304" w:rsidRPr="008B77A1">
        <w:rPr>
          <w:rStyle w:val="y2iqfc"/>
          <w:rFonts w:asciiTheme="majorHAnsi" w:hAnsiTheme="majorHAnsi" w:cstheme="majorHAnsi"/>
          <w:color w:val="2C2D5B"/>
        </w:rPr>
        <w:t>C</w:t>
      </w:r>
      <w:r w:rsidR="00566271" w:rsidRPr="008B77A1">
        <w:rPr>
          <w:rStyle w:val="y2iqfc"/>
          <w:rFonts w:asciiTheme="majorHAnsi" w:hAnsiTheme="majorHAnsi" w:cstheme="majorHAnsi"/>
          <w:color w:val="2C2D5B"/>
        </w:rPr>
        <w:t>onsistent interpretation allows national law to be interpreted in accordance with EU law, even if the national legislature has not yet transposed the relevant secondary law rule</w:t>
      </w:r>
      <w:r w:rsidR="00F74EFF" w:rsidRPr="008B77A1">
        <w:rPr>
          <w:rFonts w:asciiTheme="majorHAnsi" w:hAnsiTheme="majorHAnsi" w:cstheme="majorHAnsi"/>
          <w:color w:val="2C2D5B"/>
        </w:rPr>
        <w:t>.</w:t>
      </w:r>
      <w:r w:rsidR="00600AB8" w:rsidRPr="008B77A1">
        <w:rPr>
          <w:rFonts w:asciiTheme="majorHAnsi" w:hAnsiTheme="majorHAnsi" w:cstheme="majorHAnsi"/>
          <w:color w:val="2C2D5B"/>
        </w:rPr>
        <w:t xml:space="preserve"> </w:t>
      </w:r>
      <w:r w:rsidR="000E441E" w:rsidRPr="008B77A1">
        <w:rPr>
          <w:rStyle w:val="y2iqfc"/>
          <w:rFonts w:asciiTheme="majorHAnsi" w:hAnsiTheme="majorHAnsi" w:cstheme="majorHAnsi"/>
          <w:color w:val="2C2D5B"/>
        </w:rPr>
        <w:t>Sometimes consistent interpretation does not allow to achieve the result of aligning a national legal provision with what is established in the EU Charter.</w:t>
      </w:r>
    </w:p>
    <w:p w14:paraId="144F28C8" w14:textId="2A851E57" w:rsidR="00C56EE3" w:rsidRPr="005A6959" w:rsidRDefault="00C56EE3" w:rsidP="00662304">
      <w:pPr>
        <w:spacing w:line="276" w:lineRule="auto"/>
        <w:jc w:val="both"/>
        <w:rPr>
          <w:rStyle w:val="y2iqfc"/>
          <w:rFonts w:ascii="Calibri" w:hAnsi="Calibri" w:cs="Calibri"/>
          <w:color w:val="1F1F1F"/>
        </w:rPr>
      </w:pPr>
    </w:p>
    <w:p w14:paraId="4DD7217A" w14:textId="2B19F672" w:rsidR="008B77A1" w:rsidRPr="00BE2184" w:rsidRDefault="00E5517F" w:rsidP="00662304">
      <w:pPr>
        <w:spacing w:line="276" w:lineRule="auto"/>
        <w:jc w:val="both"/>
        <w:rPr>
          <w:rStyle w:val="y2iqfc"/>
          <w:rFonts w:asciiTheme="majorHAnsi" w:hAnsiTheme="majorHAnsi" w:cstheme="majorHAnsi"/>
          <w:b/>
          <w:bCs/>
          <w:i/>
          <w:iCs/>
          <w:color w:val="2F5496" w:themeColor="accent1" w:themeShade="BF"/>
          <w:sz w:val="26"/>
          <w:szCs w:val="26"/>
        </w:rPr>
      </w:pPr>
      <w:r w:rsidRPr="007A6459">
        <w:rPr>
          <w:rFonts w:asciiTheme="majorHAnsi" w:hAnsiTheme="majorHAnsi" w:cstheme="majorHAnsi"/>
          <w:noProof/>
          <w:color w:val="000000"/>
        </w:rPr>
        <w:drawing>
          <wp:anchor distT="0" distB="0" distL="114300" distR="114300" simplePos="0" relativeHeight="251951104" behindDoc="0" locked="0" layoutInCell="1" allowOverlap="1" wp14:anchorId="7332260A" wp14:editId="691F1AC6">
            <wp:simplePos x="0" y="0"/>
            <wp:positionH relativeFrom="column">
              <wp:posOffset>5311775</wp:posOffset>
            </wp:positionH>
            <wp:positionV relativeFrom="paragraph">
              <wp:posOffset>45720</wp:posOffset>
            </wp:positionV>
            <wp:extent cx="518795" cy="514350"/>
            <wp:effectExtent l="0" t="0" r="0" b="0"/>
            <wp:wrapNone/>
            <wp:docPr id="1709580050" name="Image 1" descr="Une image contenant dessin humoristique, Silhouette d’animal, clipart, coch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876948" name="Image 1" descr="Une image contenant dessin humoristique, Silhouette d’animal, clipart, cochon&#10;&#10;Description générée automatiquement"/>
                    <pic:cNvPicPr/>
                  </pic:nvPicPr>
                  <pic:blipFill>
                    <a:blip r:embed="rId21">
                      <a:extLst>
                        <a:ext uri="{28A0092B-C50C-407E-A947-70E740481C1C}">
                          <a14:useLocalDpi xmlns:a14="http://schemas.microsoft.com/office/drawing/2010/main" val="0"/>
                        </a:ext>
                      </a:extLst>
                    </a:blip>
                    <a:stretch>
                      <a:fillRect/>
                    </a:stretch>
                  </pic:blipFill>
                  <pic:spPr>
                    <a:xfrm>
                      <a:off x="0" y="0"/>
                      <a:ext cx="518795" cy="514350"/>
                    </a:xfrm>
                    <a:prstGeom prst="rect">
                      <a:avLst/>
                    </a:prstGeom>
                  </pic:spPr>
                </pic:pic>
              </a:graphicData>
            </a:graphic>
            <wp14:sizeRelH relativeFrom="page">
              <wp14:pctWidth>0</wp14:pctWidth>
            </wp14:sizeRelH>
            <wp14:sizeRelV relativeFrom="page">
              <wp14:pctHeight>0</wp14:pctHeight>
            </wp14:sizeRelV>
          </wp:anchor>
        </w:drawing>
      </w:r>
      <w:r>
        <w:rPr>
          <w:rFonts w:asciiTheme="majorHAnsi" w:hAnsiTheme="majorHAnsi" w:cstheme="majorHAnsi"/>
          <w:noProof/>
          <w:color w:val="000000"/>
          <w14:ligatures w14:val="standardContextual"/>
        </w:rPr>
        <mc:AlternateContent>
          <mc:Choice Requires="wps">
            <w:drawing>
              <wp:anchor distT="0" distB="0" distL="114300" distR="114300" simplePos="0" relativeHeight="251950080" behindDoc="0" locked="0" layoutInCell="1" allowOverlap="1" wp14:anchorId="4F3311F7" wp14:editId="69931DDB">
                <wp:simplePos x="0" y="0"/>
                <wp:positionH relativeFrom="column">
                  <wp:posOffset>5242772</wp:posOffset>
                </wp:positionH>
                <wp:positionV relativeFrom="paragraph">
                  <wp:posOffset>50165</wp:posOffset>
                </wp:positionV>
                <wp:extent cx="670560" cy="620395"/>
                <wp:effectExtent l="0" t="0" r="0" b="8255"/>
                <wp:wrapNone/>
                <wp:docPr id="188316652" name="Ellipse 68"/>
                <wp:cNvGraphicFramePr/>
                <a:graphic xmlns:a="http://schemas.openxmlformats.org/drawingml/2006/main">
                  <a:graphicData uri="http://schemas.microsoft.com/office/word/2010/wordprocessingShape">
                    <wps:wsp>
                      <wps:cNvSpPr/>
                      <wps:spPr>
                        <a:xfrm>
                          <a:off x="0" y="0"/>
                          <a:ext cx="670560" cy="620395"/>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016C7BF3" id="Ellipse 68" o:spid="_x0000_s1026" style="position:absolute;margin-left:412.8pt;margin-top:3.95pt;width:52.8pt;height:48.85pt;z-index:2519500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urfAIAAGAFAAAOAAAAZHJzL2Uyb0RvYy54bWysVFFv2yAQfp+0/4B4X21nSbpGcaooVadJ&#10;VVutnfpMMMRImGNA4mS/fgd2nHSt9jDtBQN3993d5++YX+8bTXbCeQWmpMVFTokwHCplNiX98Xz7&#10;6QslPjBTMQ1GlPQgPL1efPwwb+1MjKAGXQlHEMT4WWtLWodgZ1nmeS0a5i/ACoNGCa5hAY9uk1WO&#10;tYje6GyU59OsBVdZB1x4j7c3nZEuEr6UgocHKb0IRJcUawtpdWldxzVbzNls45itFe/LYP9QRcOU&#10;waQD1A0LjGydegPVKO7AgwwXHJoMpFRcpB6wmyL/o5unmlmRekFyvB1o8v8Plt/vnuyjQxpa62ce&#10;t7GLvXRN/GJ9ZJ/IOgxkiX0gHC+nl/lkipRyNE1H+eerSSQzOwVb58NXAQ2Jm5IKrZX1sR02Y7s7&#10;Hzrvo1e89qBVdau0TocoAbHSjuwY/rz1pujxX3lpE30NxKgOMN5kp2bSLhy0iH7afBeSqArLH6VC&#10;ks5OSRjnwoSiM9WsEl3uYpLnSSrY3RCRek2AEVli/gG7B3jdwBG7q7L3j6EiyXQIzv9WWBc8RKTM&#10;YMIQ3CgD7j0AjV31mTv/I0kdNZGlNVSHR0ccdEPiLb9V+OfumA+PzOFU4M/GSQ8PuEgNbUmh31FS&#10;g/v13n30R7GilZIWp6yk/ueWOUGJ/mZQxlfFeBzHMh3Gk8sRHty5ZX1uMdtmBaiFAt8Uy9M2+gd9&#10;3EoHzQs+CMuYFU3McMxdUh7c8bAK3fTjk8LFcpnccBQtC3fmyfIIHlmNsnzevzBne/kG1P09HCfy&#10;jYQ73xhpYLkNIFXS94nXnm8c4ySc/smJ78T5OXmdHsbFbwAAAP//AwBQSwMEFAAGAAgAAAAhADfT&#10;8yzhAAAACQEAAA8AAABkcnMvZG93bnJldi54bWxMj8tOwzAQRfdI/IM1SOyo3UQpbYhTIV6b8lBT&#10;JMTOjU0SNR5HttuEv2dYwXJ0ru49U6wn27OT8aFzKGE+E8AM1k532Eh43z1eLYGFqFCr3qGR8G0C&#10;rMvzs0Ll2o24NacqNoxKMORKQhvjkHMe6tZYFWZuMEjsy3mrIp2+4dqrkcptzxMhFtyqDmmhVYO5&#10;a019qI5WwvPH6yH12dP928vDZqxEmnXV5lPKy4vp9gZYNFP8C8OvPqlDSU57d0QdWC9hmWQLikq4&#10;XgEjvkrnCbA9BQUBXhb8/wflDwAAAP//AwBQSwECLQAUAAYACAAAACEAtoM4kv4AAADhAQAAEwAA&#10;AAAAAAAAAAAAAAAAAAAAW0NvbnRlbnRfVHlwZXNdLnhtbFBLAQItABQABgAIAAAAIQA4/SH/1gAA&#10;AJQBAAALAAAAAAAAAAAAAAAAAC8BAABfcmVscy8ucmVsc1BLAQItABQABgAIAAAAIQA/U9urfAIA&#10;AGAFAAAOAAAAAAAAAAAAAAAAAC4CAABkcnMvZTJvRG9jLnhtbFBLAQItABQABgAIAAAAIQA30/Ms&#10;4QAAAAkBAAAPAAAAAAAAAAAAAAAAANYEAABkcnMvZG93bnJldi54bWxQSwUGAAAAAAQABADzAAAA&#10;5AUAAAAA&#10;" fillcolor="white [3212]" stroked="f" strokeweight="1pt">
                <v:stroke joinstyle="miter"/>
              </v:oval>
            </w:pict>
          </mc:Fallback>
        </mc:AlternateContent>
      </w:r>
      <w:r w:rsidR="007C6A2D" w:rsidRPr="00BE2184">
        <w:rPr>
          <w:rStyle w:val="y2iqfc"/>
          <w:rFonts w:asciiTheme="majorHAnsi" w:hAnsiTheme="majorHAnsi" w:cstheme="majorHAnsi"/>
          <w:b/>
          <w:bCs/>
          <w:i/>
          <w:iCs/>
          <w:color w:val="2F5496" w:themeColor="accent1" w:themeShade="BF"/>
          <w:sz w:val="26"/>
          <w:szCs w:val="26"/>
        </w:rPr>
        <w:t>Preliminary Reference</w:t>
      </w:r>
      <w:r w:rsidR="008B77A1">
        <w:rPr>
          <w:rStyle w:val="y2iqfc"/>
          <w:rFonts w:asciiTheme="majorHAnsi" w:hAnsiTheme="majorHAnsi" w:cstheme="majorHAnsi"/>
          <w:b/>
          <w:bCs/>
          <w:i/>
          <w:iCs/>
          <w:color w:val="2F5496" w:themeColor="accent1" w:themeShade="BF"/>
          <w:sz w:val="26"/>
          <w:szCs w:val="26"/>
        </w:rPr>
        <w:t xml:space="preserve"> </w:t>
      </w:r>
      <w:r w:rsidR="007C6A2D" w:rsidRPr="00BE2184">
        <w:rPr>
          <w:rStyle w:val="y2iqfc"/>
          <w:rFonts w:asciiTheme="majorHAnsi" w:hAnsiTheme="majorHAnsi" w:cstheme="majorHAnsi"/>
          <w:b/>
          <w:bCs/>
          <w:i/>
          <w:iCs/>
          <w:color w:val="2F5496" w:themeColor="accent1" w:themeShade="BF"/>
          <w:sz w:val="26"/>
          <w:szCs w:val="26"/>
        </w:rPr>
        <w:t xml:space="preserve">: </w:t>
      </w:r>
    </w:p>
    <w:p w14:paraId="5F0B7A0B" w14:textId="49098443" w:rsidR="000E441E" w:rsidRPr="008B77A1" w:rsidRDefault="008B77A1" w:rsidP="00662304">
      <w:pPr>
        <w:spacing w:line="276" w:lineRule="auto"/>
        <w:jc w:val="both"/>
        <w:rPr>
          <w:rFonts w:asciiTheme="majorHAnsi" w:hAnsiTheme="majorHAnsi" w:cstheme="majorHAnsi"/>
          <w:color w:val="2C2D5B"/>
        </w:rPr>
      </w:pPr>
      <w:r w:rsidRPr="008B77A1">
        <w:rPr>
          <w:rStyle w:val="y2iqfc"/>
          <w:rFonts w:asciiTheme="majorHAnsi" w:hAnsiTheme="majorHAnsi" w:cstheme="majorHAnsi"/>
          <w:noProof/>
          <w:color w:val="2C2D5B"/>
        </w:rPr>
        <mc:AlternateContent>
          <mc:Choice Requires="wps">
            <w:drawing>
              <wp:anchor distT="45720" distB="45720" distL="114300" distR="114300" simplePos="0" relativeHeight="251750400" behindDoc="0" locked="0" layoutInCell="1" allowOverlap="1" wp14:anchorId="2B4C6F37" wp14:editId="36006DAA">
                <wp:simplePos x="0" y="0"/>
                <wp:positionH relativeFrom="margin">
                  <wp:posOffset>3740150</wp:posOffset>
                </wp:positionH>
                <wp:positionV relativeFrom="paragraph">
                  <wp:posOffset>50800</wp:posOffset>
                </wp:positionV>
                <wp:extent cx="1857375" cy="2122170"/>
                <wp:effectExtent l="0" t="0" r="28575" b="11430"/>
                <wp:wrapSquare wrapText="bothSides"/>
                <wp:docPr id="26764308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7375" cy="2122170"/>
                        </a:xfrm>
                        <a:prstGeom prst="roundRect">
                          <a:avLst/>
                        </a:prstGeom>
                        <a:solidFill>
                          <a:schemeClr val="accent4">
                            <a:lumMod val="20000"/>
                            <a:lumOff val="80000"/>
                          </a:schemeClr>
                        </a:solidFill>
                        <a:ln w="9525">
                          <a:solidFill>
                            <a:schemeClr val="accent4">
                              <a:lumMod val="20000"/>
                              <a:lumOff val="80000"/>
                            </a:schemeClr>
                          </a:solidFill>
                          <a:miter lim="800000"/>
                          <a:headEnd/>
                          <a:tailEnd/>
                        </a:ln>
                      </wps:spPr>
                      <wps:txbx>
                        <w:txbxContent>
                          <w:p w14:paraId="65DEB691" w14:textId="77777777" w:rsidR="00E5517F" w:rsidRDefault="007C6A2D" w:rsidP="008B77A1">
                            <w:pPr>
                              <w:jc w:val="center"/>
                              <w:rPr>
                                <w:rFonts w:asciiTheme="minorHAnsi" w:hAnsiTheme="minorHAnsi" w:cstheme="minorHAnsi"/>
                                <w:b/>
                                <w:bCs/>
                                <w:color w:val="2C2D5B"/>
                                <w:sz w:val="20"/>
                                <w:szCs w:val="20"/>
                              </w:rPr>
                            </w:pPr>
                            <w:r w:rsidRPr="008B77A1">
                              <w:rPr>
                                <w:rFonts w:asciiTheme="minorHAnsi" w:hAnsiTheme="minorHAnsi" w:cstheme="minorHAnsi"/>
                                <w:b/>
                                <w:bCs/>
                                <w:color w:val="2C2D5B"/>
                                <w:sz w:val="20"/>
                                <w:szCs w:val="20"/>
                              </w:rPr>
                              <w:t xml:space="preserve">Preliminary rulings </w:t>
                            </w:r>
                          </w:p>
                          <w:p w14:paraId="48705BC8" w14:textId="4BA3CC3A" w:rsidR="007C6A2D" w:rsidRPr="008B77A1" w:rsidRDefault="007C6A2D" w:rsidP="008B77A1">
                            <w:pPr>
                              <w:jc w:val="center"/>
                              <w:rPr>
                                <w:rFonts w:asciiTheme="minorHAnsi" w:hAnsiTheme="minorHAnsi" w:cstheme="minorHAnsi"/>
                                <w:b/>
                                <w:bCs/>
                                <w:color w:val="2C2D5B"/>
                                <w:sz w:val="20"/>
                                <w:szCs w:val="20"/>
                              </w:rPr>
                            </w:pPr>
                            <w:r w:rsidRPr="008B77A1">
                              <w:rPr>
                                <w:rFonts w:asciiTheme="minorHAnsi" w:hAnsiTheme="minorHAnsi" w:cstheme="minorHAnsi"/>
                                <w:b/>
                                <w:bCs/>
                                <w:color w:val="2C2D5B"/>
                                <w:sz w:val="20"/>
                                <w:szCs w:val="20"/>
                              </w:rPr>
                              <w:t>(Art. 267 TFEU)</w:t>
                            </w:r>
                          </w:p>
                          <w:p w14:paraId="2542F9FF" w14:textId="44D868F8" w:rsidR="007C6A2D" w:rsidRPr="008B77A1" w:rsidRDefault="007C6A2D">
                            <w:pPr>
                              <w:rPr>
                                <w:rFonts w:asciiTheme="minorHAnsi" w:hAnsiTheme="minorHAnsi" w:cstheme="minorHAnsi"/>
                                <w:color w:val="2C2D5B"/>
                                <w:sz w:val="20"/>
                                <w:szCs w:val="20"/>
                              </w:rPr>
                            </w:pPr>
                            <w:r w:rsidRPr="008B77A1">
                              <w:rPr>
                                <w:rFonts w:asciiTheme="minorHAnsi" w:hAnsiTheme="minorHAnsi" w:cstheme="minorHAnsi"/>
                                <w:color w:val="2C2D5B"/>
                                <w:sz w:val="20"/>
                                <w:szCs w:val="20"/>
                              </w:rPr>
                              <w:t>Facilitate judicial cooperation between national courts and the CJEU, ensuring uniform EU law a</w:t>
                            </w:r>
                            <w:r w:rsidR="003E7115" w:rsidRPr="008B77A1">
                              <w:rPr>
                                <w:rFonts w:asciiTheme="minorHAnsi" w:hAnsiTheme="minorHAnsi" w:cstheme="minorHAnsi"/>
                                <w:color w:val="2C2D5B"/>
                                <w:sz w:val="20"/>
                                <w:szCs w:val="20"/>
                              </w:rPr>
                              <w:t>pplication</w:t>
                            </w:r>
                            <w:r w:rsidRPr="008B77A1">
                              <w:rPr>
                                <w:rFonts w:asciiTheme="minorHAnsi" w:hAnsiTheme="minorHAnsi" w:cstheme="minorHAnsi"/>
                                <w:color w:val="2C2D5B"/>
                                <w:sz w:val="20"/>
                                <w:szCs w:val="20"/>
                              </w:rPr>
                              <w:t xml:space="preserve"> and interpretation. </w:t>
                            </w:r>
                          </w:p>
                          <w:p w14:paraId="79631427" w14:textId="14EED4D0" w:rsidR="007C6A2D" w:rsidRPr="008B77A1" w:rsidRDefault="007C6A2D">
                            <w:pPr>
                              <w:rPr>
                                <w:rFonts w:asciiTheme="minorHAnsi" w:hAnsiTheme="minorHAnsi" w:cstheme="minorHAnsi"/>
                                <w:color w:val="2C2D5B"/>
                                <w:sz w:val="20"/>
                                <w:szCs w:val="20"/>
                              </w:rPr>
                            </w:pPr>
                            <w:r w:rsidRPr="008B77A1">
                              <w:rPr>
                                <w:rFonts w:asciiTheme="minorHAnsi" w:hAnsiTheme="minorHAnsi" w:cstheme="minorHAnsi"/>
                                <w:color w:val="2C2D5B"/>
                                <w:sz w:val="20"/>
                                <w:szCs w:val="20"/>
                              </w:rPr>
                              <w:t xml:space="preserve">They are given when a Member State needs guidance on a case involving EU law. </w:t>
                            </w:r>
                          </w:p>
                          <w:p w14:paraId="62F6AEC6" w14:textId="77777777" w:rsidR="007C6A2D" w:rsidRPr="00327D5A" w:rsidRDefault="007C6A2D">
                            <w:pPr>
                              <w:rPr>
                                <w:b/>
                                <w:bC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2B4C6F37" id="_x0000_s1056" style="position:absolute;left:0;text-align:left;margin-left:294.5pt;margin-top:4pt;width:146.25pt;height:167.1pt;z-index:2517504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R8wNQIAAKkEAAAOAAAAZHJzL2Uyb0RvYy54bWy0VNuO0zAQfUfiHyy/0zTZlnajpqulyyKk&#10;5SIWPsC1ncbC9gTbbVK+nrGTdrvwhuDFmkvmzOXMZHXTG00O0nkFtqL5ZEqJtByEsruKfvt6/2pJ&#10;iQ/MCqbByooepac365cvVl1bygIa0EI6giDWl11b0SaEtswyzxtpmJ9AKy06a3CGBVTdLhOOdYhu&#10;dFZMp6+zDpxoHXDpPVrvBiddJ/y6ljx8qmsvA9EVxdpCel16t/HN1itW7hxrG8XHMthfVGGYspj0&#10;DHXHAiN7p/6AMoo78FCHCQeTQV0rLlMP2E0+/a2bx4a1MvWCw/HteUz+38Hyj4fH9rMjoX8DPRKY&#10;mvDtA/DvnljYNMzu5K1z0DWSCUycx5FlXevLMTSO2pc+gmy7DyCQZLYPkID62pk4FeyTIDoScDwP&#10;XfaB8JhyOV9cLeaUcPQVeVHki0RLxspTeOt8eCfBkChU1MHeii9IbcrBDg8+xJpYefoupvSglbhX&#10;WiclrpPcaEcODBeBcS5tmKVwvTdY9GDHhZqOK4FmXJzBvDyZMUVazIiUEj5Loi3pKno9L+YJ+Jnv&#10;HPY/CzAq4C1pZSqaSh5bicS9tSJtemBKDzL2ou3IZCRvoDH0254oUdGrFByZ3YI4IrcOhtvBW0eh&#10;AfeTkg7vpqL+x545SYl+b3E/rvPZLB5aUmbzRYGKu/RsLz3McoSqaKBkEDchHWckzcIt7lGtErlP&#10;lYw14z0kCsbbjQd3qaevnv4w618AAAD//wMAUEsDBBQABgAIAAAAIQCGA3534gAAAAkBAAAPAAAA&#10;ZHJzL2Rvd25yZXYueG1sTI/NTsMwEITvSLyDtUjcqNNAkQnZVAWUA6gH+iOVoxubOCJeh9htQp++&#10;5gSn0WpWM9/k89G27Kh73zhCmE4SYJoqpxqqEbab8kYA80GSkq0jjfCjPcyLy4tcZsoNtNLHdahZ&#10;DCGfSQQTQpdx7iujrfQT12mK3qfrrQzx7GuuejnEcNvyNEnuuZUNxQYjO/1sdPW1PliED/+9NYvh&#10;6fSy253KN798Xb6XHeL11bh4BBb0GP6e4Rc/okMRmfbuQMqzFmEmHuKWgCCiRF+I6QzYHuH2Lk2B&#10;Fzn/v6A4AwAA//8DAFBLAQItABQABgAIAAAAIQC2gziS/gAAAOEBAAATAAAAAAAAAAAAAAAAAAAA&#10;AABbQ29udGVudF9UeXBlc10ueG1sUEsBAi0AFAAGAAgAAAAhADj9If/WAAAAlAEAAAsAAAAAAAAA&#10;AAAAAAAALwEAAF9yZWxzLy5yZWxzUEsBAi0AFAAGAAgAAAAhAJXJHzA1AgAAqQQAAA4AAAAAAAAA&#10;AAAAAAAALgIAAGRycy9lMm9Eb2MueG1sUEsBAi0AFAAGAAgAAAAhAIYDfnfiAAAACQEAAA8AAAAA&#10;AAAAAAAAAAAAjwQAAGRycy9kb3ducmV2LnhtbFBLBQYAAAAABAAEAPMAAACeBQAAAAA=&#10;" fillcolor="#fff2cc [663]" strokecolor="#fff2cc [663]">
                <v:stroke joinstyle="miter"/>
                <v:textbox>
                  <w:txbxContent>
                    <w:p w14:paraId="65DEB691" w14:textId="77777777" w:rsidR="00E5517F" w:rsidRDefault="007C6A2D" w:rsidP="008B77A1">
                      <w:pPr>
                        <w:jc w:val="center"/>
                        <w:rPr>
                          <w:rFonts w:asciiTheme="minorHAnsi" w:hAnsiTheme="minorHAnsi" w:cstheme="minorHAnsi"/>
                          <w:b/>
                          <w:bCs/>
                          <w:color w:val="2C2D5B"/>
                          <w:sz w:val="20"/>
                          <w:szCs w:val="20"/>
                        </w:rPr>
                      </w:pPr>
                      <w:r w:rsidRPr="008B77A1">
                        <w:rPr>
                          <w:rFonts w:asciiTheme="minorHAnsi" w:hAnsiTheme="minorHAnsi" w:cstheme="minorHAnsi"/>
                          <w:b/>
                          <w:bCs/>
                          <w:color w:val="2C2D5B"/>
                          <w:sz w:val="20"/>
                          <w:szCs w:val="20"/>
                        </w:rPr>
                        <w:t xml:space="preserve">Preliminary rulings </w:t>
                      </w:r>
                    </w:p>
                    <w:p w14:paraId="48705BC8" w14:textId="4BA3CC3A" w:rsidR="007C6A2D" w:rsidRPr="008B77A1" w:rsidRDefault="007C6A2D" w:rsidP="008B77A1">
                      <w:pPr>
                        <w:jc w:val="center"/>
                        <w:rPr>
                          <w:rFonts w:asciiTheme="minorHAnsi" w:hAnsiTheme="minorHAnsi" w:cstheme="minorHAnsi"/>
                          <w:b/>
                          <w:bCs/>
                          <w:color w:val="2C2D5B"/>
                          <w:sz w:val="20"/>
                          <w:szCs w:val="20"/>
                        </w:rPr>
                      </w:pPr>
                      <w:r w:rsidRPr="008B77A1">
                        <w:rPr>
                          <w:rFonts w:asciiTheme="minorHAnsi" w:hAnsiTheme="minorHAnsi" w:cstheme="minorHAnsi"/>
                          <w:b/>
                          <w:bCs/>
                          <w:color w:val="2C2D5B"/>
                          <w:sz w:val="20"/>
                          <w:szCs w:val="20"/>
                        </w:rPr>
                        <w:t>(Art. 267 TFEU)</w:t>
                      </w:r>
                    </w:p>
                    <w:p w14:paraId="2542F9FF" w14:textId="44D868F8" w:rsidR="007C6A2D" w:rsidRPr="008B77A1" w:rsidRDefault="007C6A2D">
                      <w:pPr>
                        <w:rPr>
                          <w:rFonts w:asciiTheme="minorHAnsi" w:hAnsiTheme="minorHAnsi" w:cstheme="minorHAnsi"/>
                          <w:color w:val="2C2D5B"/>
                          <w:sz w:val="20"/>
                          <w:szCs w:val="20"/>
                        </w:rPr>
                      </w:pPr>
                      <w:r w:rsidRPr="008B77A1">
                        <w:rPr>
                          <w:rFonts w:asciiTheme="minorHAnsi" w:hAnsiTheme="minorHAnsi" w:cstheme="minorHAnsi"/>
                          <w:color w:val="2C2D5B"/>
                          <w:sz w:val="20"/>
                          <w:szCs w:val="20"/>
                        </w:rPr>
                        <w:t>Facilitate judicial cooperation between national courts and the CJEU, ensuring uniform EU law a</w:t>
                      </w:r>
                      <w:r w:rsidR="003E7115" w:rsidRPr="008B77A1">
                        <w:rPr>
                          <w:rFonts w:asciiTheme="minorHAnsi" w:hAnsiTheme="minorHAnsi" w:cstheme="minorHAnsi"/>
                          <w:color w:val="2C2D5B"/>
                          <w:sz w:val="20"/>
                          <w:szCs w:val="20"/>
                        </w:rPr>
                        <w:t>pplication</w:t>
                      </w:r>
                      <w:r w:rsidRPr="008B77A1">
                        <w:rPr>
                          <w:rFonts w:asciiTheme="minorHAnsi" w:hAnsiTheme="minorHAnsi" w:cstheme="minorHAnsi"/>
                          <w:color w:val="2C2D5B"/>
                          <w:sz w:val="20"/>
                          <w:szCs w:val="20"/>
                        </w:rPr>
                        <w:t xml:space="preserve"> and interpretation. </w:t>
                      </w:r>
                    </w:p>
                    <w:p w14:paraId="79631427" w14:textId="14EED4D0" w:rsidR="007C6A2D" w:rsidRPr="008B77A1" w:rsidRDefault="007C6A2D">
                      <w:pPr>
                        <w:rPr>
                          <w:rFonts w:asciiTheme="minorHAnsi" w:hAnsiTheme="minorHAnsi" w:cstheme="minorHAnsi"/>
                          <w:color w:val="2C2D5B"/>
                          <w:sz w:val="20"/>
                          <w:szCs w:val="20"/>
                        </w:rPr>
                      </w:pPr>
                      <w:r w:rsidRPr="008B77A1">
                        <w:rPr>
                          <w:rFonts w:asciiTheme="minorHAnsi" w:hAnsiTheme="minorHAnsi" w:cstheme="minorHAnsi"/>
                          <w:color w:val="2C2D5B"/>
                          <w:sz w:val="20"/>
                          <w:szCs w:val="20"/>
                        </w:rPr>
                        <w:t xml:space="preserve">They are given when a Member State needs guidance on a case involving EU law. </w:t>
                      </w:r>
                    </w:p>
                    <w:p w14:paraId="62F6AEC6" w14:textId="77777777" w:rsidR="007C6A2D" w:rsidRPr="00327D5A" w:rsidRDefault="007C6A2D">
                      <w:pPr>
                        <w:rPr>
                          <w:b/>
                          <w:bCs/>
                        </w:rPr>
                      </w:pPr>
                    </w:p>
                  </w:txbxContent>
                </v:textbox>
                <w10:wrap type="square" anchorx="margin"/>
              </v:roundrect>
            </w:pict>
          </mc:Fallback>
        </mc:AlternateContent>
      </w:r>
      <w:r w:rsidR="000E441E" w:rsidRPr="008B77A1">
        <w:rPr>
          <w:rStyle w:val="y2iqfc"/>
          <w:rFonts w:asciiTheme="majorHAnsi" w:hAnsiTheme="majorHAnsi" w:cstheme="majorHAnsi"/>
          <w:color w:val="2C2D5B"/>
        </w:rPr>
        <w:t>In any case, national court</w:t>
      </w:r>
      <w:r w:rsidR="007C6A2D" w:rsidRPr="008B77A1">
        <w:rPr>
          <w:rStyle w:val="y2iqfc"/>
          <w:rFonts w:asciiTheme="majorHAnsi" w:hAnsiTheme="majorHAnsi" w:cstheme="majorHAnsi"/>
          <w:color w:val="2C2D5B"/>
        </w:rPr>
        <w:t>s</w:t>
      </w:r>
      <w:r w:rsidR="000E441E" w:rsidRPr="008B77A1">
        <w:rPr>
          <w:rStyle w:val="y2iqfc"/>
          <w:rFonts w:asciiTheme="majorHAnsi" w:hAnsiTheme="majorHAnsi" w:cstheme="majorHAnsi"/>
          <w:color w:val="2C2D5B"/>
        </w:rPr>
        <w:t xml:space="preserve"> may opt for a preliminary reference to the CJEU if there are doubts about the consistent interpretation.</w:t>
      </w:r>
    </w:p>
    <w:p w14:paraId="5A545EB1" w14:textId="0B830F4B" w:rsidR="008F1F7C" w:rsidRPr="008B77A1" w:rsidRDefault="008F1F7C" w:rsidP="00F37B27">
      <w:pPr>
        <w:pStyle w:val="FormtovanvHTML"/>
        <w:spacing w:after="120" w:line="276" w:lineRule="auto"/>
        <w:jc w:val="both"/>
        <w:rPr>
          <w:rStyle w:val="y2iqfc"/>
          <w:rFonts w:asciiTheme="majorHAnsi" w:hAnsiTheme="majorHAnsi" w:cstheme="majorHAnsi"/>
          <w:color w:val="2C2D5B"/>
          <w:sz w:val="24"/>
          <w:szCs w:val="24"/>
        </w:rPr>
      </w:pPr>
      <w:r w:rsidRPr="008B77A1">
        <w:rPr>
          <w:rStyle w:val="y2iqfc"/>
          <w:rFonts w:asciiTheme="majorHAnsi" w:hAnsiTheme="majorHAnsi" w:cstheme="majorHAnsi"/>
          <w:color w:val="2C2D5B"/>
          <w:sz w:val="24"/>
          <w:szCs w:val="24"/>
        </w:rPr>
        <w:t>Preliminary rulings</w:t>
      </w:r>
      <w:r w:rsidR="00601876" w:rsidRPr="008B77A1">
        <w:rPr>
          <w:rStyle w:val="y2iqfc"/>
          <w:rFonts w:asciiTheme="majorHAnsi" w:hAnsiTheme="majorHAnsi" w:cstheme="majorHAnsi"/>
          <w:color w:val="2C2D5B"/>
          <w:sz w:val="24"/>
          <w:szCs w:val="24"/>
        </w:rPr>
        <w:t xml:space="preserve">, as outlined </w:t>
      </w:r>
      <w:r w:rsidRPr="008B77A1">
        <w:rPr>
          <w:rStyle w:val="y2iqfc"/>
          <w:rFonts w:asciiTheme="majorHAnsi" w:hAnsiTheme="majorHAnsi" w:cstheme="majorHAnsi"/>
          <w:color w:val="2C2D5B"/>
          <w:sz w:val="24"/>
          <w:szCs w:val="24"/>
        </w:rPr>
        <w:t>in Art. 267 TFEU</w:t>
      </w:r>
      <w:r w:rsidR="00601876" w:rsidRPr="008B77A1">
        <w:rPr>
          <w:rStyle w:val="y2iqfc"/>
          <w:rFonts w:asciiTheme="majorHAnsi" w:hAnsiTheme="majorHAnsi" w:cstheme="majorHAnsi"/>
          <w:color w:val="2C2D5B"/>
          <w:sz w:val="24"/>
          <w:szCs w:val="24"/>
        </w:rPr>
        <w:t>,</w:t>
      </w:r>
      <w:r w:rsidRPr="008B77A1">
        <w:rPr>
          <w:rStyle w:val="y2iqfc"/>
          <w:rFonts w:asciiTheme="majorHAnsi" w:hAnsiTheme="majorHAnsi" w:cstheme="majorHAnsi"/>
          <w:color w:val="2C2D5B"/>
          <w:sz w:val="24"/>
          <w:szCs w:val="24"/>
        </w:rPr>
        <w:t xml:space="preserve"> </w:t>
      </w:r>
      <w:r w:rsidR="002F07B8" w:rsidRPr="008B77A1">
        <w:rPr>
          <w:rStyle w:val="y2iqfc"/>
          <w:rFonts w:asciiTheme="majorHAnsi" w:hAnsiTheme="majorHAnsi" w:cstheme="majorHAnsi"/>
          <w:color w:val="2C2D5B"/>
          <w:sz w:val="24"/>
          <w:szCs w:val="24"/>
        </w:rPr>
        <w:t xml:space="preserve"> </w:t>
      </w:r>
      <w:r w:rsidRPr="008B77A1">
        <w:rPr>
          <w:rStyle w:val="y2iqfc"/>
          <w:rFonts w:asciiTheme="majorHAnsi" w:hAnsiTheme="majorHAnsi" w:cstheme="majorHAnsi"/>
          <w:color w:val="2C2D5B"/>
          <w:sz w:val="24"/>
          <w:szCs w:val="24"/>
        </w:rPr>
        <w:t>aim  to</w:t>
      </w:r>
      <w:r w:rsidR="002F07B8" w:rsidRPr="008B77A1">
        <w:rPr>
          <w:rStyle w:val="y2iqfc"/>
          <w:rFonts w:asciiTheme="majorHAnsi" w:hAnsiTheme="majorHAnsi" w:cstheme="majorHAnsi"/>
          <w:color w:val="2C2D5B"/>
          <w:sz w:val="24"/>
          <w:szCs w:val="24"/>
        </w:rPr>
        <w:t xml:space="preserve"> </w:t>
      </w:r>
      <w:r w:rsidR="005F4BDB" w:rsidRPr="008B77A1">
        <w:rPr>
          <w:rStyle w:val="y2iqfc"/>
          <w:rFonts w:asciiTheme="majorHAnsi" w:hAnsiTheme="majorHAnsi" w:cstheme="majorHAnsi"/>
          <w:color w:val="2C2D5B"/>
          <w:sz w:val="24"/>
          <w:szCs w:val="24"/>
        </w:rPr>
        <w:t>promote</w:t>
      </w:r>
      <w:r w:rsidR="002F07B8" w:rsidRPr="008B77A1">
        <w:rPr>
          <w:rStyle w:val="y2iqfc"/>
          <w:rFonts w:asciiTheme="majorHAnsi" w:hAnsiTheme="majorHAnsi" w:cstheme="majorHAnsi"/>
          <w:color w:val="2C2D5B"/>
          <w:sz w:val="24"/>
          <w:szCs w:val="24"/>
        </w:rPr>
        <w:t xml:space="preserve"> </w:t>
      </w:r>
      <w:r w:rsidR="005F4BDB" w:rsidRPr="008B77A1">
        <w:rPr>
          <w:rStyle w:val="y2iqfc"/>
          <w:rFonts w:asciiTheme="majorHAnsi" w:hAnsiTheme="majorHAnsi" w:cstheme="majorHAnsi"/>
          <w:color w:val="2C2D5B"/>
          <w:sz w:val="24"/>
          <w:szCs w:val="24"/>
        </w:rPr>
        <w:t>judicial cooperation between the CJEU and national courts</w:t>
      </w:r>
      <w:r w:rsidR="00601876" w:rsidRPr="008B77A1">
        <w:rPr>
          <w:rStyle w:val="y2iqfc"/>
          <w:rFonts w:asciiTheme="majorHAnsi" w:hAnsiTheme="majorHAnsi" w:cstheme="majorHAnsi"/>
          <w:color w:val="2C2D5B"/>
          <w:sz w:val="24"/>
          <w:szCs w:val="24"/>
        </w:rPr>
        <w:t>,</w:t>
      </w:r>
      <w:r w:rsidR="005F4BDB" w:rsidRPr="008B77A1">
        <w:rPr>
          <w:rStyle w:val="y2iqfc"/>
          <w:rFonts w:asciiTheme="majorHAnsi" w:hAnsiTheme="majorHAnsi" w:cstheme="majorHAnsi"/>
          <w:color w:val="2C2D5B"/>
          <w:sz w:val="24"/>
          <w:szCs w:val="24"/>
        </w:rPr>
        <w:t xml:space="preserve"> </w:t>
      </w:r>
      <w:r w:rsidRPr="008B77A1">
        <w:rPr>
          <w:rStyle w:val="y2iqfc"/>
          <w:rFonts w:asciiTheme="majorHAnsi" w:hAnsiTheme="majorHAnsi" w:cstheme="majorHAnsi"/>
          <w:color w:val="2C2D5B"/>
          <w:sz w:val="24"/>
          <w:szCs w:val="24"/>
        </w:rPr>
        <w:t>ensur</w:t>
      </w:r>
      <w:r w:rsidR="00601876" w:rsidRPr="008B77A1">
        <w:rPr>
          <w:rStyle w:val="y2iqfc"/>
          <w:rFonts w:asciiTheme="majorHAnsi" w:hAnsiTheme="majorHAnsi" w:cstheme="majorHAnsi"/>
          <w:color w:val="2C2D5B"/>
          <w:sz w:val="24"/>
          <w:szCs w:val="24"/>
        </w:rPr>
        <w:t>ing</w:t>
      </w:r>
      <w:r w:rsidRPr="008B77A1">
        <w:rPr>
          <w:rStyle w:val="y2iqfc"/>
          <w:rFonts w:asciiTheme="majorHAnsi" w:hAnsiTheme="majorHAnsi" w:cstheme="majorHAnsi"/>
          <w:color w:val="2C2D5B"/>
          <w:sz w:val="24"/>
          <w:szCs w:val="24"/>
        </w:rPr>
        <w:t xml:space="preserve"> the uniform application and interpretation of EU law. Th</w:t>
      </w:r>
      <w:r w:rsidR="00DA0D8C" w:rsidRPr="008B77A1">
        <w:rPr>
          <w:rStyle w:val="y2iqfc"/>
          <w:rFonts w:asciiTheme="majorHAnsi" w:hAnsiTheme="majorHAnsi" w:cstheme="majorHAnsi"/>
          <w:color w:val="2C2D5B"/>
          <w:sz w:val="24"/>
          <w:szCs w:val="24"/>
        </w:rPr>
        <w:t>e</w:t>
      </w:r>
      <w:r w:rsidRPr="008B77A1">
        <w:rPr>
          <w:rStyle w:val="y2iqfc"/>
          <w:rFonts w:asciiTheme="majorHAnsi" w:hAnsiTheme="majorHAnsi" w:cstheme="majorHAnsi"/>
          <w:color w:val="2C2D5B"/>
          <w:sz w:val="24"/>
          <w:szCs w:val="24"/>
        </w:rPr>
        <w:t xml:space="preserve"> purpose is </w:t>
      </w:r>
      <w:r w:rsidR="007F1555" w:rsidRPr="008B77A1">
        <w:rPr>
          <w:rStyle w:val="y2iqfc"/>
          <w:rFonts w:asciiTheme="majorHAnsi" w:hAnsiTheme="majorHAnsi" w:cstheme="majorHAnsi"/>
          <w:color w:val="2C2D5B"/>
          <w:sz w:val="24"/>
          <w:szCs w:val="24"/>
        </w:rPr>
        <w:t xml:space="preserve">for </w:t>
      </w:r>
      <w:r w:rsidRPr="008B77A1">
        <w:rPr>
          <w:rStyle w:val="y2iqfc"/>
          <w:rFonts w:asciiTheme="majorHAnsi" w:hAnsiTheme="majorHAnsi" w:cstheme="majorHAnsi"/>
          <w:color w:val="2C2D5B"/>
          <w:sz w:val="24"/>
          <w:szCs w:val="24"/>
        </w:rPr>
        <w:t xml:space="preserve">the CJEU </w:t>
      </w:r>
      <w:r w:rsidR="007F1555" w:rsidRPr="008B77A1">
        <w:rPr>
          <w:rStyle w:val="y2iqfc"/>
          <w:rFonts w:asciiTheme="majorHAnsi" w:hAnsiTheme="majorHAnsi" w:cstheme="majorHAnsi"/>
          <w:color w:val="2C2D5B"/>
          <w:sz w:val="24"/>
          <w:szCs w:val="24"/>
        </w:rPr>
        <w:t>to guide</w:t>
      </w:r>
      <w:r w:rsidRPr="008B77A1">
        <w:rPr>
          <w:rStyle w:val="y2iqfc"/>
          <w:rFonts w:asciiTheme="majorHAnsi" w:hAnsiTheme="majorHAnsi" w:cstheme="majorHAnsi"/>
          <w:color w:val="2C2D5B"/>
          <w:sz w:val="24"/>
          <w:szCs w:val="24"/>
        </w:rPr>
        <w:t xml:space="preserve"> </w:t>
      </w:r>
      <w:r w:rsidR="007F1555" w:rsidRPr="008B77A1">
        <w:rPr>
          <w:rStyle w:val="y2iqfc"/>
          <w:rFonts w:asciiTheme="majorHAnsi" w:hAnsiTheme="majorHAnsi" w:cstheme="majorHAnsi"/>
          <w:color w:val="2C2D5B"/>
          <w:sz w:val="24"/>
          <w:szCs w:val="24"/>
        </w:rPr>
        <w:t>national court</w:t>
      </w:r>
      <w:r w:rsidR="007C6A2D" w:rsidRPr="008B77A1">
        <w:rPr>
          <w:rStyle w:val="y2iqfc"/>
          <w:rFonts w:asciiTheme="majorHAnsi" w:hAnsiTheme="majorHAnsi" w:cstheme="majorHAnsi"/>
          <w:color w:val="2C2D5B"/>
          <w:sz w:val="24"/>
          <w:szCs w:val="24"/>
        </w:rPr>
        <w:t>s</w:t>
      </w:r>
      <w:r w:rsidR="007F1555" w:rsidRPr="008B77A1">
        <w:rPr>
          <w:rStyle w:val="y2iqfc"/>
          <w:rFonts w:asciiTheme="majorHAnsi" w:hAnsiTheme="majorHAnsi" w:cstheme="majorHAnsi"/>
          <w:color w:val="2C2D5B"/>
          <w:sz w:val="24"/>
          <w:szCs w:val="24"/>
        </w:rPr>
        <w:t xml:space="preserve"> i</w:t>
      </w:r>
      <w:r w:rsidRPr="008B77A1">
        <w:rPr>
          <w:rStyle w:val="y2iqfc"/>
          <w:rFonts w:asciiTheme="majorHAnsi" w:hAnsiTheme="majorHAnsi" w:cstheme="majorHAnsi"/>
          <w:color w:val="2C2D5B"/>
          <w:sz w:val="24"/>
          <w:szCs w:val="24"/>
        </w:rPr>
        <w:t>n the resolution of</w:t>
      </w:r>
      <w:r w:rsidR="002F07B8" w:rsidRPr="008B77A1">
        <w:rPr>
          <w:rStyle w:val="y2iqfc"/>
          <w:rFonts w:asciiTheme="majorHAnsi" w:hAnsiTheme="majorHAnsi" w:cstheme="majorHAnsi"/>
          <w:color w:val="2C2D5B"/>
          <w:sz w:val="24"/>
          <w:szCs w:val="24"/>
        </w:rPr>
        <w:t xml:space="preserve"> </w:t>
      </w:r>
      <w:r w:rsidRPr="008B77A1">
        <w:rPr>
          <w:rStyle w:val="y2iqfc"/>
          <w:rFonts w:asciiTheme="majorHAnsi" w:hAnsiTheme="majorHAnsi" w:cstheme="majorHAnsi"/>
          <w:color w:val="2C2D5B"/>
          <w:sz w:val="24"/>
          <w:szCs w:val="24"/>
        </w:rPr>
        <w:t>legal case</w:t>
      </w:r>
      <w:r w:rsidR="00601876" w:rsidRPr="008B77A1">
        <w:rPr>
          <w:rStyle w:val="y2iqfc"/>
          <w:rFonts w:asciiTheme="majorHAnsi" w:hAnsiTheme="majorHAnsi" w:cstheme="majorHAnsi"/>
          <w:color w:val="2C2D5B"/>
          <w:sz w:val="24"/>
          <w:szCs w:val="24"/>
        </w:rPr>
        <w:t>s</w:t>
      </w:r>
      <w:r w:rsidR="007F1555" w:rsidRPr="008B77A1">
        <w:rPr>
          <w:rStyle w:val="y2iqfc"/>
          <w:rFonts w:asciiTheme="majorHAnsi" w:hAnsiTheme="majorHAnsi" w:cstheme="majorHAnsi"/>
          <w:color w:val="2C2D5B"/>
          <w:sz w:val="24"/>
          <w:szCs w:val="24"/>
        </w:rPr>
        <w:t xml:space="preserve">. </w:t>
      </w:r>
      <w:r w:rsidR="001B4D42" w:rsidRPr="008B77A1">
        <w:rPr>
          <w:rStyle w:val="y2iqfc"/>
          <w:rFonts w:asciiTheme="majorHAnsi" w:hAnsiTheme="majorHAnsi" w:cstheme="majorHAnsi"/>
          <w:color w:val="2C2D5B"/>
          <w:sz w:val="24"/>
          <w:szCs w:val="24"/>
        </w:rPr>
        <w:t>References</w:t>
      </w:r>
      <w:r w:rsidR="00DA0D8C" w:rsidRPr="008B77A1">
        <w:rPr>
          <w:rStyle w:val="y2iqfc"/>
          <w:rFonts w:asciiTheme="majorHAnsi" w:hAnsiTheme="majorHAnsi" w:cstheme="majorHAnsi"/>
          <w:color w:val="2C2D5B"/>
          <w:sz w:val="24"/>
          <w:szCs w:val="24"/>
        </w:rPr>
        <w:t xml:space="preserve"> </w:t>
      </w:r>
      <w:r w:rsidRPr="008B77A1">
        <w:rPr>
          <w:rStyle w:val="y2iqfc"/>
          <w:rFonts w:asciiTheme="majorHAnsi" w:hAnsiTheme="majorHAnsi" w:cstheme="majorHAnsi"/>
          <w:color w:val="2C2D5B"/>
          <w:sz w:val="24"/>
          <w:szCs w:val="24"/>
        </w:rPr>
        <w:t xml:space="preserve">are </w:t>
      </w:r>
      <w:r w:rsidR="00513BB9" w:rsidRPr="008B77A1">
        <w:rPr>
          <w:rStyle w:val="y2iqfc"/>
          <w:rFonts w:asciiTheme="majorHAnsi" w:hAnsiTheme="majorHAnsi" w:cstheme="majorHAnsi"/>
          <w:color w:val="2C2D5B"/>
          <w:sz w:val="24"/>
          <w:szCs w:val="24"/>
        </w:rPr>
        <w:t>made</w:t>
      </w:r>
      <w:r w:rsidRPr="008B77A1">
        <w:rPr>
          <w:rStyle w:val="y2iqfc"/>
          <w:rFonts w:asciiTheme="majorHAnsi" w:hAnsiTheme="majorHAnsi" w:cstheme="majorHAnsi"/>
          <w:color w:val="2C2D5B"/>
          <w:sz w:val="24"/>
          <w:szCs w:val="24"/>
        </w:rPr>
        <w:t xml:space="preserve"> when a provision of the EU’s legal system is applicable to </w:t>
      </w:r>
      <w:r w:rsidR="00513BB9" w:rsidRPr="008B77A1">
        <w:rPr>
          <w:rStyle w:val="y2iqfc"/>
          <w:rFonts w:asciiTheme="majorHAnsi" w:hAnsiTheme="majorHAnsi" w:cstheme="majorHAnsi"/>
          <w:color w:val="2C2D5B"/>
          <w:sz w:val="24"/>
          <w:szCs w:val="24"/>
        </w:rPr>
        <w:t xml:space="preserve">a </w:t>
      </w:r>
      <w:r w:rsidRPr="008B77A1">
        <w:rPr>
          <w:rStyle w:val="y2iqfc"/>
          <w:rFonts w:asciiTheme="majorHAnsi" w:hAnsiTheme="majorHAnsi" w:cstheme="majorHAnsi"/>
          <w:color w:val="2C2D5B"/>
          <w:sz w:val="24"/>
          <w:szCs w:val="24"/>
        </w:rPr>
        <w:t xml:space="preserve">case brought before a court </w:t>
      </w:r>
      <w:r w:rsidR="00513BB9" w:rsidRPr="008B77A1">
        <w:rPr>
          <w:rStyle w:val="y2iqfc"/>
          <w:rFonts w:asciiTheme="majorHAnsi" w:hAnsiTheme="majorHAnsi" w:cstheme="majorHAnsi"/>
          <w:color w:val="2C2D5B"/>
          <w:sz w:val="24"/>
          <w:szCs w:val="24"/>
        </w:rPr>
        <w:t xml:space="preserve">in </w:t>
      </w:r>
      <w:r w:rsidR="002F07B8" w:rsidRPr="008B77A1">
        <w:rPr>
          <w:rStyle w:val="y2iqfc"/>
          <w:rFonts w:asciiTheme="majorHAnsi" w:hAnsiTheme="majorHAnsi" w:cstheme="majorHAnsi"/>
          <w:color w:val="2C2D5B"/>
          <w:sz w:val="24"/>
          <w:szCs w:val="24"/>
        </w:rPr>
        <w:t xml:space="preserve"> </w:t>
      </w:r>
      <w:r w:rsidRPr="008B77A1">
        <w:rPr>
          <w:rStyle w:val="y2iqfc"/>
          <w:rFonts w:asciiTheme="majorHAnsi" w:hAnsiTheme="majorHAnsi" w:cstheme="majorHAnsi"/>
          <w:color w:val="2C2D5B"/>
          <w:sz w:val="24"/>
          <w:szCs w:val="24"/>
        </w:rPr>
        <w:t xml:space="preserve">a Member State. </w:t>
      </w:r>
      <w:r w:rsidR="00513BB9" w:rsidRPr="008B77A1">
        <w:rPr>
          <w:rStyle w:val="y2iqfc"/>
          <w:rFonts w:asciiTheme="majorHAnsi" w:hAnsiTheme="majorHAnsi" w:cstheme="majorHAnsi"/>
          <w:color w:val="2C2D5B"/>
          <w:sz w:val="24"/>
          <w:szCs w:val="24"/>
        </w:rPr>
        <w:t>Ultimately</w:t>
      </w:r>
      <w:r w:rsidR="00CE7D8A" w:rsidRPr="008B77A1">
        <w:rPr>
          <w:rStyle w:val="y2iqfc"/>
          <w:rFonts w:asciiTheme="majorHAnsi" w:hAnsiTheme="majorHAnsi" w:cstheme="majorHAnsi"/>
          <w:color w:val="2C2D5B"/>
          <w:sz w:val="24"/>
          <w:szCs w:val="24"/>
        </w:rPr>
        <w:t xml:space="preserve">, </w:t>
      </w:r>
      <w:r w:rsidRPr="008B77A1">
        <w:rPr>
          <w:rStyle w:val="y2iqfc"/>
          <w:rFonts w:asciiTheme="majorHAnsi" w:hAnsiTheme="majorHAnsi" w:cstheme="majorHAnsi"/>
          <w:color w:val="2C2D5B"/>
          <w:sz w:val="24"/>
          <w:szCs w:val="24"/>
        </w:rPr>
        <w:t>preliminary ruling</w:t>
      </w:r>
      <w:r w:rsidR="005474C1" w:rsidRPr="008B77A1">
        <w:rPr>
          <w:rStyle w:val="y2iqfc"/>
          <w:rFonts w:asciiTheme="majorHAnsi" w:hAnsiTheme="majorHAnsi" w:cstheme="majorHAnsi"/>
          <w:color w:val="2C2D5B"/>
          <w:sz w:val="24"/>
          <w:szCs w:val="24"/>
        </w:rPr>
        <w:t>s</w:t>
      </w:r>
      <w:r w:rsidRPr="008B77A1">
        <w:rPr>
          <w:rStyle w:val="y2iqfc"/>
          <w:rFonts w:asciiTheme="majorHAnsi" w:hAnsiTheme="majorHAnsi" w:cstheme="majorHAnsi"/>
          <w:color w:val="2C2D5B"/>
          <w:sz w:val="24"/>
          <w:szCs w:val="24"/>
        </w:rPr>
        <w:t xml:space="preserve"> </w:t>
      </w:r>
      <w:r w:rsidR="00513BB9" w:rsidRPr="008B77A1">
        <w:rPr>
          <w:rStyle w:val="y2iqfc"/>
          <w:rFonts w:asciiTheme="majorHAnsi" w:hAnsiTheme="majorHAnsi" w:cstheme="majorHAnsi"/>
          <w:color w:val="2C2D5B"/>
          <w:sz w:val="24"/>
          <w:szCs w:val="24"/>
        </w:rPr>
        <w:t xml:space="preserve">serve as </w:t>
      </w:r>
      <w:r w:rsidRPr="008B77A1">
        <w:rPr>
          <w:rStyle w:val="y2iqfc"/>
          <w:rFonts w:asciiTheme="majorHAnsi" w:hAnsiTheme="majorHAnsi" w:cstheme="majorHAnsi"/>
          <w:color w:val="2C2D5B"/>
          <w:sz w:val="24"/>
          <w:szCs w:val="24"/>
        </w:rPr>
        <w:t xml:space="preserve">a procedural incident within the main proceeding carried out in the Member State. </w:t>
      </w:r>
    </w:p>
    <w:p w14:paraId="4D666424" w14:textId="6E7A593C" w:rsidR="00513BB9" w:rsidRPr="008B77A1" w:rsidRDefault="008F1F7C" w:rsidP="00F37B27">
      <w:pPr>
        <w:spacing w:after="120" w:line="276" w:lineRule="auto"/>
        <w:jc w:val="both"/>
        <w:rPr>
          <w:rFonts w:asciiTheme="majorHAnsi" w:hAnsiTheme="majorHAnsi" w:cstheme="majorHAnsi"/>
          <w:color w:val="2C2D5B"/>
        </w:rPr>
      </w:pPr>
      <w:r w:rsidRPr="008B77A1">
        <w:rPr>
          <w:rFonts w:asciiTheme="majorHAnsi" w:hAnsiTheme="majorHAnsi" w:cstheme="majorHAnsi"/>
          <w:color w:val="2C2D5B"/>
        </w:rPr>
        <w:t xml:space="preserve">The </w:t>
      </w:r>
      <w:r w:rsidR="00513BB9" w:rsidRPr="008B77A1">
        <w:rPr>
          <w:rFonts w:asciiTheme="majorHAnsi" w:hAnsiTheme="majorHAnsi" w:cstheme="majorHAnsi"/>
          <w:color w:val="2C2D5B"/>
        </w:rPr>
        <w:t>CJEU</w:t>
      </w:r>
      <w:r w:rsidRPr="008B77A1">
        <w:rPr>
          <w:rFonts w:asciiTheme="majorHAnsi" w:hAnsiTheme="majorHAnsi" w:cstheme="majorHAnsi"/>
          <w:color w:val="2C2D5B"/>
        </w:rPr>
        <w:t xml:space="preserve"> can </w:t>
      </w:r>
      <w:r w:rsidR="00513BB9" w:rsidRPr="008B77A1">
        <w:rPr>
          <w:rFonts w:asciiTheme="majorHAnsi" w:hAnsiTheme="majorHAnsi" w:cstheme="majorHAnsi"/>
          <w:color w:val="2C2D5B"/>
        </w:rPr>
        <w:t xml:space="preserve">provide </w:t>
      </w:r>
      <w:r w:rsidRPr="008B77A1">
        <w:rPr>
          <w:rFonts w:asciiTheme="majorHAnsi" w:hAnsiTheme="majorHAnsi" w:cstheme="majorHAnsi"/>
          <w:b/>
          <w:bCs/>
          <w:color w:val="2C2D5B"/>
        </w:rPr>
        <w:t>two types of preliminary rulings</w:t>
      </w:r>
      <w:r w:rsidR="00513BB9" w:rsidRPr="008B77A1">
        <w:rPr>
          <w:rFonts w:asciiTheme="majorHAnsi" w:hAnsiTheme="majorHAnsi" w:cstheme="majorHAnsi"/>
          <w:color w:val="2C2D5B"/>
        </w:rPr>
        <w:t xml:space="preserve">: </w:t>
      </w:r>
    </w:p>
    <w:p w14:paraId="434ED62B" w14:textId="1E271EAB" w:rsidR="00513BB9" w:rsidRPr="008B77A1" w:rsidRDefault="00DA0D8C" w:rsidP="008B4B98">
      <w:pPr>
        <w:pStyle w:val="Odstavecseseznamem"/>
        <w:numPr>
          <w:ilvl w:val="0"/>
          <w:numId w:val="15"/>
        </w:numPr>
        <w:spacing w:after="120" w:line="276" w:lineRule="auto"/>
        <w:jc w:val="both"/>
        <w:rPr>
          <w:rFonts w:asciiTheme="majorHAnsi" w:hAnsiTheme="majorHAnsi" w:cstheme="majorHAnsi"/>
          <w:color w:val="2C2D5B"/>
        </w:rPr>
      </w:pPr>
      <w:r w:rsidRPr="008B77A1">
        <w:rPr>
          <w:rFonts w:asciiTheme="majorHAnsi" w:hAnsiTheme="majorHAnsi" w:cstheme="majorHAnsi"/>
          <w:color w:val="2C2D5B"/>
        </w:rPr>
        <w:t xml:space="preserve">First, </w:t>
      </w:r>
      <w:r w:rsidR="00513BB9" w:rsidRPr="008B77A1">
        <w:rPr>
          <w:rFonts w:asciiTheme="majorHAnsi" w:hAnsiTheme="majorHAnsi" w:cstheme="majorHAnsi"/>
          <w:b/>
          <w:bCs/>
          <w:color w:val="2C2D5B"/>
        </w:rPr>
        <w:t xml:space="preserve">a ruling </w:t>
      </w:r>
      <w:r w:rsidRPr="008B77A1">
        <w:rPr>
          <w:rFonts w:asciiTheme="majorHAnsi" w:hAnsiTheme="majorHAnsi" w:cstheme="majorHAnsi"/>
          <w:b/>
          <w:bCs/>
          <w:color w:val="2C2D5B"/>
        </w:rPr>
        <w:t>regarding</w:t>
      </w:r>
      <w:r w:rsidR="008F1F7C" w:rsidRPr="008B77A1">
        <w:rPr>
          <w:rFonts w:asciiTheme="majorHAnsi" w:hAnsiTheme="majorHAnsi" w:cstheme="majorHAnsi"/>
          <w:b/>
          <w:bCs/>
          <w:color w:val="2C2D5B"/>
        </w:rPr>
        <w:t xml:space="preserve"> </w:t>
      </w:r>
      <w:r w:rsidRPr="008B77A1">
        <w:rPr>
          <w:rFonts w:asciiTheme="majorHAnsi" w:hAnsiTheme="majorHAnsi" w:cstheme="majorHAnsi"/>
          <w:b/>
          <w:bCs/>
          <w:color w:val="2C2D5B"/>
        </w:rPr>
        <w:t>the</w:t>
      </w:r>
      <w:r w:rsidR="008F1F7C" w:rsidRPr="008B77A1">
        <w:rPr>
          <w:rFonts w:asciiTheme="majorHAnsi" w:hAnsiTheme="majorHAnsi" w:cstheme="majorHAnsi"/>
          <w:b/>
          <w:bCs/>
          <w:color w:val="2C2D5B"/>
        </w:rPr>
        <w:t xml:space="preserve"> interpretation</w:t>
      </w:r>
      <w:r w:rsidRPr="008B77A1">
        <w:rPr>
          <w:rFonts w:asciiTheme="majorHAnsi" w:hAnsiTheme="majorHAnsi" w:cstheme="majorHAnsi"/>
          <w:color w:val="2C2D5B"/>
        </w:rPr>
        <w:t xml:space="preserve"> </w:t>
      </w:r>
      <w:r w:rsidR="008F1F7C" w:rsidRPr="008B77A1">
        <w:rPr>
          <w:rFonts w:asciiTheme="majorHAnsi" w:hAnsiTheme="majorHAnsi" w:cstheme="majorHAnsi"/>
          <w:color w:val="2C2D5B"/>
        </w:rPr>
        <w:t xml:space="preserve">of the meaning or scope of application of a </w:t>
      </w:r>
      <w:r w:rsidR="00513BB9" w:rsidRPr="008B77A1">
        <w:rPr>
          <w:rFonts w:asciiTheme="majorHAnsi" w:hAnsiTheme="majorHAnsi" w:cstheme="majorHAnsi"/>
          <w:color w:val="2C2D5B"/>
        </w:rPr>
        <w:t xml:space="preserve">EU law </w:t>
      </w:r>
      <w:r w:rsidR="008F1F7C" w:rsidRPr="008B77A1">
        <w:rPr>
          <w:rFonts w:asciiTheme="majorHAnsi" w:hAnsiTheme="majorHAnsi" w:cstheme="majorHAnsi"/>
          <w:color w:val="2C2D5B"/>
        </w:rPr>
        <w:t>provision.</w:t>
      </w:r>
      <w:r w:rsidRPr="008B77A1">
        <w:rPr>
          <w:rFonts w:asciiTheme="majorHAnsi" w:hAnsiTheme="majorHAnsi" w:cstheme="majorHAnsi"/>
          <w:color w:val="2C2D5B"/>
        </w:rPr>
        <w:t xml:space="preserve"> </w:t>
      </w:r>
    </w:p>
    <w:p w14:paraId="282CE5C9" w14:textId="0DB36EA3" w:rsidR="00171117" w:rsidRPr="008B77A1" w:rsidRDefault="00DA0D8C" w:rsidP="008B4B98">
      <w:pPr>
        <w:pStyle w:val="Odstavecseseznamem"/>
        <w:numPr>
          <w:ilvl w:val="0"/>
          <w:numId w:val="15"/>
        </w:numPr>
        <w:spacing w:after="120" w:line="276" w:lineRule="auto"/>
        <w:jc w:val="both"/>
        <w:rPr>
          <w:rFonts w:asciiTheme="majorHAnsi" w:hAnsiTheme="majorHAnsi" w:cstheme="majorHAnsi"/>
          <w:color w:val="2C2D5B"/>
        </w:rPr>
      </w:pPr>
      <w:r w:rsidRPr="008B77A1">
        <w:rPr>
          <w:rFonts w:asciiTheme="majorHAnsi" w:hAnsiTheme="majorHAnsi" w:cstheme="majorHAnsi"/>
          <w:color w:val="2C2D5B"/>
        </w:rPr>
        <w:t>And second</w:t>
      </w:r>
      <w:r w:rsidRPr="008B77A1">
        <w:rPr>
          <w:rFonts w:asciiTheme="majorHAnsi" w:hAnsiTheme="majorHAnsi" w:cstheme="majorHAnsi"/>
          <w:b/>
          <w:bCs/>
          <w:color w:val="2C2D5B"/>
        </w:rPr>
        <w:t xml:space="preserve">, </w:t>
      </w:r>
      <w:r w:rsidR="00513BB9" w:rsidRPr="008B77A1">
        <w:rPr>
          <w:rFonts w:asciiTheme="majorHAnsi" w:hAnsiTheme="majorHAnsi" w:cstheme="majorHAnsi"/>
          <w:b/>
          <w:bCs/>
          <w:color w:val="2C2D5B"/>
        </w:rPr>
        <w:t xml:space="preserve">a ruling </w:t>
      </w:r>
      <w:r w:rsidR="008F1F7C" w:rsidRPr="008B77A1">
        <w:rPr>
          <w:rFonts w:asciiTheme="majorHAnsi" w:hAnsiTheme="majorHAnsi" w:cstheme="majorHAnsi"/>
          <w:b/>
          <w:bCs/>
          <w:color w:val="2C2D5B"/>
        </w:rPr>
        <w:t>on the validity</w:t>
      </w:r>
      <w:r w:rsidR="008F1F7C" w:rsidRPr="008B77A1">
        <w:rPr>
          <w:rFonts w:asciiTheme="majorHAnsi" w:hAnsiTheme="majorHAnsi" w:cstheme="majorHAnsi"/>
          <w:color w:val="2C2D5B"/>
        </w:rPr>
        <w:t xml:space="preserve"> of a </w:t>
      </w:r>
      <w:r w:rsidRPr="008B77A1">
        <w:rPr>
          <w:rFonts w:asciiTheme="majorHAnsi" w:hAnsiTheme="majorHAnsi" w:cstheme="majorHAnsi"/>
          <w:color w:val="2C2D5B"/>
        </w:rPr>
        <w:t xml:space="preserve">EU </w:t>
      </w:r>
      <w:r w:rsidR="008F1F7C" w:rsidRPr="008B77A1">
        <w:rPr>
          <w:rFonts w:asciiTheme="majorHAnsi" w:hAnsiTheme="majorHAnsi" w:cstheme="majorHAnsi"/>
          <w:color w:val="2C2D5B"/>
        </w:rPr>
        <w:t xml:space="preserve">regulatory act </w:t>
      </w:r>
      <w:r w:rsidRPr="008B77A1">
        <w:rPr>
          <w:rFonts w:asciiTheme="majorHAnsi" w:hAnsiTheme="majorHAnsi" w:cstheme="majorHAnsi"/>
          <w:color w:val="2C2D5B"/>
        </w:rPr>
        <w:t xml:space="preserve">to be </w:t>
      </w:r>
      <w:r w:rsidR="008F1F7C" w:rsidRPr="008B77A1">
        <w:rPr>
          <w:rFonts w:asciiTheme="majorHAnsi" w:hAnsiTheme="majorHAnsi" w:cstheme="majorHAnsi"/>
          <w:color w:val="2C2D5B"/>
        </w:rPr>
        <w:t>appl</w:t>
      </w:r>
      <w:r w:rsidRPr="008B77A1">
        <w:rPr>
          <w:rFonts w:asciiTheme="majorHAnsi" w:hAnsiTheme="majorHAnsi" w:cstheme="majorHAnsi"/>
          <w:color w:val="2C2D5B"/>
        </w:rPr>
        <w:t>ied by</w:t>
      </w:r>
      <w:r w:rsidR="008F1F7C" w:rsidRPr="008B77A1">
        <w:rPr>
          <w:rFonts w:asciiTheme="majorHAnsi" w:hAnsiTheme="majorHAnsi" w:cstheme="majorHAnsi"/>
          <w:color w:val="2C2D5B"/>
        </w:rPr>
        <w:t xml:space="preserve"> a national court. </w:t>
      </w:r>
    </w:p>
    <w:p w14:paraId="37A81F75" w14:textId="77777777" w:rsidR="00171117" w:rsidRDefault="00171117">
      <w:pPr>
        <w:rPr>
          <w:rFonts w:asciiTheme="majorHAnsi" w:hAnsiTheme="majorHAnsi" w:cstheme="majorHAnsi"/>
        </w:rPr>
      </w:pPr>
      <w:r>
        <w:rPr>
          <w:rFonts w:asciiTheme="majorHAnsi" w:hAnsiTheme="majorHAnsi" w:cstheme="majorHAnsi"/>
        </w:rPr>
        <w:br w:type="page"/>
      </w:r>
    </w:p>
    <w:p w14:paraId="799EB50E" w14:textId="77777777" w:rsidR="007F72A5" w:rsidRDefault="007F72A5" w:rsidP="00171117">
      <w:pPr>
        <w:spacing w:line="276" w:lineRule="auto"/>
        <w:jc w:val="both"/>
        <w:rPr>
          <w:rFonts w:asciiTheme="majorHAnsi" w:hAnsiTheme="majorHAnsi" w:cstheme="majorHAnsi"/>
        </w:rPr>
      </w:pPr>
    </w:p>
    <w:p w14:paraId="0B5CE54F" w14:textId="77777777" w:rsidR="008B77A1" w:rsidRDefault="008B77A1" w:rsidP="00171117">
      <w:pPr>
        <w:spacing w:line="276" w:lineRule="auto"/>
        <w:jc w:val="both"/>
        <w:rPr>
          <w:rFonts w:asciiTheme="majorHAnsi" w:hAnsiTheme="majorHAnsi" w:cstheme="majorHAnsi"/>
        </w:rPr>
      </w:pPr>
    </w:p>
    <w:p w14:paraId="75466A53" w14:textId="77777777" w:rsidR="008B77A1" w:rsidRDefault="008B77A1" w:rsidP="00171117">
      <w:pPr>
        <w:spacing w:line="276" w:lineRule="auto"/>
        <w:jc w:val="both"/>
        <w:rPr>
          <w:rFonts w:asciiTheme="majorHAnsi" w:hAnsiTheme="majorHAnsi" w:cstheme="majorHAnsi"/>
        </w:rPr>
      </w:pPr>
    </w:p>
    <w:p w14:paraId="5F5E2BFF" w14:textId="77777777" w:rsidR="008B77A1" w:rsidRDefault="008B77A1" w:rsidP="00171117">
      <w:pPr>
        <w:spacing w:line="276" w:lineRule="auto"/>
        <w:jc w:val="both"/>
        <w:rPr>
          <w:rFonts w:asciiTheme="majorHAnsi" w:hAnsiTheme="majorHAnsi" w:cstheme="majorHAnsi"/>
        </w:rPr>
      </w:pPr>
    </w:p>
    <w:p w14:paraId="0D758497" w14:textId="77777777" w:rsidR="008B77A1" w:rsidRDefault="008B77A1" w:rsidP="00171117">
      <w:pPr>
        <w:spacing w:line="276" w:lineRule="auto"/>
        <w:jc w:val="both"/>
        <w:rPr>
          <w:rFonts w:asciiTheme="majorHAnsi" w:hAnsiTheme="majorHAnsi" w:cstheme="majorHAnsi"/>
        </w:rPr>
      </w:pPr>
    </w:p>
    <w:p w14:paraId="0528562B" w14:textId="77777777" w:rsidR="008B77A1" w:rsidRDefault="008B77A1" w:rsidP="00171117">
      <w:pPr>
        <w:spacing w:line="276" w:lineRule="auto"/>
        <w:jc w:val="both"/>
        <w:rPr>
          <w:rFonts w:asciiTheme="majorHAnsi" w:hAnsiTheme="majorHAnsi" w:cstheme="majorHAnsi"/>
        </w:rPr>
      </w:pPr>
    </w:p>
    <w:p w14:paraId="72475DDC" w14:textId="706C488E" w:rsidR="00171117" w:rsidRPr="008B77A1" w:rsidRDefault="00171117" w:rsidP="00171117">
      <w:pPr>
        <w:spacing w:line="276" w:lineRule="auto"/>
        <w:jc w:val="both"/>
        <w:rPr>
          <w:rFonts w:ascii="Calibri" w:hAnsi="Calibri" w:cs="Calibri"/>
          <w:color w:val="2C2D5B"/>
        </w:rPr>
      </w:pPr>
      <w:r w:rsidRPr="008B77A1">
        <w:rPr>
          <w:rFonts w:asciiTheme="majorHAnsi" w:hAnsiTheme="majorHAnsi" w:cstheme="majorHAnsi"/>
          <w:color w:val="2C2D5B"/>
        </w:rPr>
        <w:t xml:space="preserve">As a mechanism for cooperation between the national courts and the CJEU, </w:t>
      </w:r>
      <w:r w:rsidRPr="008B77A1">
        <w:rPr>
          <w:rFonts w:asciiTheme="majorHAnsi" w:hAnsiTheme="majorHAnsi" w:cstheme="majorHAnsi"/>
          <w:b/>
          <w:bCs/>
          <w:color w:val="2C2D5B"/>
        </w:rPr>
        <w:t>the only bodies empowered to submit a request for preliminary ruling are the national courts</w:t>
      </w:r>
      <w:r w:rsidRPr="008B77A1">
        <w:rPr>
          <w:rFonts w:asciiTheme="majorHAnsi" w:hAnsiTheme="majorHAnsi" w:cstheme="majorHAnsi"/>
          <w:color w:val="2C2D5B"/>
        </w:rPr>
        <w:t xml:space="preserve">. Differences between </w:t>
      </w:r>
      <w:r w:rsidR="002F07B8" w:rsidRPr="008B77A1">
        <w:rPr>
          <w:rFonts w:asciiTheme="majorHAnsi" w:hAnsiTheme="majorHAnsi" w:cstheme="majorHAnsi"/>
          <w:color w:val="2C2D5B"/>
        </w:rPr>
        <w:t>j</w:t>
      </w:r>
      <w:r w:rsidRPr="008B77A1">
        <w:rPr>
          <w:rFonts w:asciiTheme="majorHAnsi" w:hAnsiTheme="majorHAnsi" w:cstheme="majorHAnsi"/>
          <w:color w:val="2C2D5B"/>
        </w:rPr>
        <w:t xml:space="preserve">urisdictional systems of the Member States have led the CJEU to establish the characteristics to be met by a court to be able to refer a question. From this perspective, the CJEU has adopted a broad legal concept for determining eligibility. Accordingly, any organ that meets the following characteristics may be considered capable of submitting a preliminary question: legal origin; permanence; compulsory jurisdiction; </w:t>
      </w:r>
      <w:r w:rsidRPr="008B77A1">
        <w:rPr>
          <w:rFonts w:asciiTheme="majorHAnsi" w:hAnsiTheme="majorHAnsi" w:cstheme="majorHAnsi"/>
          <w:i/>
          <w:iCs/>
          <w:color w:val="2C2D5B"/>
        </w:rPr>
        <w:t xml:space="preserve">inter partes </w:t>
      </w:r>
      <w:r w:rsidRPr="008B77A1">
        <w:rPr>
          <w:rFonts w:asciiTheme="majorHAnsi" w:hAnsiTheme="majorHAnsi" w:cstheme="majorHAnsi"/>
          <w:color w:val="2C2D5B"/>
        </w:rPr>
        <w:t>proceedings</w:t>
      </w:r>
      <w:r w:rsidRPr="008B77A1">
        <w:rPr>
          <w:rFonts w:asciiTheme="majorHAnsi" w:hAnsiTheme="majorHAnsi" w:cstheme="majorHAnsi"/>
          <w:i/>
          <w:iCs/>
          <w:color w:val="2C2D5B"/>
        </w:rPr>
        <w:t xml:space="preserve">; </w:t>
      </w:r>
      <w:r w:rsidRPr="008B77A1">
        <w:rPr>
          <w:rFonts w:asciiTheme="majorHAnsi" w:hAnsiTheme="majorHAnsi" w:cstheme="majorHAnsi"/>
          <w:color w:val="2C2D5B"/>
        </w:rPr>
        <w:t>rulings based law; and independence.</w:t>
      </w:r>
      <w:r w:rsidRPr="008B77A1">
        <w:rPr>
          <w:rFonts w:ascii="Calibri" w:hAnsi="Calibri" w:cs="Calibri"/>
          <w:color w:val="2C2D5B"/>
        </w:rPr>
        <w:t xml:space="preserve"> </w:t>
      </w:r>
    </w:p>
    <w:p w14:paraId="22851CF8" w14:textId="77777777" w:rsidR="00171117" w:rsidRDefault="00171117" w:rsidP="00171117">
      <w:pPr>
        <w:spacing w:line="276" w:lineRule="auto"/>
        <w:jc w:val="both"/>
        <w:rPr>
          <w:rFonts w:ascii="Calibri" w:hAnsi="Calibri" w:cs="Calibri"/>
        </w:rPr>
      </w:pPr>
    </w:p>
    <w:p w14:paraId="17B4B9AD" w14:textId="1C591E8C" w:rsidR="005924C0" w:rsidRPr="00BE2184" w:rsidRDefault="00171117" w:rsidP="00BE2184">
      <w:pPr>
        <w:spacing w:line="276" w:lineRule="auto"/>
        <w:jc w:val="both"/>
        <w:rPr>
          <w:rFonts w:ascii="Calibri" w:hAnsi="Calibri" w:cs="Calibri"/>
        </w:rPr>
      </w:pPr>
      <w:r>
        <w:rPr>
          <w:rFonts w:ascii="Calibri" w:hAnsi="Calibri" w:cs="Calibri"/>
        </w:rPr>
        <w:t xml:space="preserve"> </w:t>
      </w:r>
    </w:p>
    <w:p w14:paraId="4641BB71" w14:textId="79E25F0C" w:rsidR="00171117" w:rsidRPr="00BE2184" w:rsidRDefault="00171117" w:rsidP="00F37B27">
      <w:pPr>
        <w:spacing w:after="120" w:line="276" w:lineRule="auto"/>
        <w:jc w:val="both"/>
        <w:rPr>
          <w:rFonts w:ascii="Calibri Light" w:hAnsi="Calibri Light" w:cs="Calibri Light"/>
          <w:sz w:val="22"/>
          <w:szCs w:val="22"/>
        </w:rPr>
      </w:pPr>
    </w:p>
    <w:p w14:paraId="14DA48D5" w14:textId="15404D69" w:rsidR="00171117" w:rsidRDefault="00171117" w:rsidP="00F37B27">
      <w:pPr>
        <w:spacing w:after="120" w:line="276" w:lineRule="auto"/>
        <w:jc w:val="both"/>
        <w:rPr>
          <w:rFonts w:ascii="Calibri" w:hAnsi="Calibri" w:cs="Calibri"/>
        </w:rPr>
      </w:pPr>
    </w:p>
    <w:p w14:paraId="44C3DDBD" w14:textId="77777777" w:rsidR="008B77A1" w:rsidRDefault="008B77A1" w:rsidP="00F37B27">
      <w:pPr>
        <w:spacing w:after="120" w:line="276" w:lineRule="auto"/>
        <w:jc w:val="both"/>
        <w:rPr>
          <w:rFonts w:ascii="Calibri" w:hAnsi="Calibri" w:cs="Calibri"/>
        </w:rPr>
      </w:pPr>
    </w:p>
    <w:p w14:paraId="6E39A10D" w14:textId="77777777" w:rsidR="008B77A1" w:rsidRDefault="008B77A1" w:rsidP="00F37B27">
      <w:pPr>
        <w:spacing w:after="120" w:line="276" w:lineRule="auto"/>
        <w:jc w:val="both"/>
        <w:rPr>
          <w:rFonts w:ascii="Calibri" w:hAnsi="Calibri" w:cs="Calibri"/>
        </w:rPr>
      </w:pPr>
    </w:p>
    <w:p w14:paraId="5CFA309A" w14:textId="77777777" w:rsidR="008B77A1" w:rsidRDefault="008B77A1" w:rsidP="00F37B27">
      <w:pPr>
        <w:spacing w:after="120" w:line="276" w:lineRule="auto"/>
        <w:jc w:val="both"/>
        <w:rPr>
          <w:rFonts w:ascii="Calibri" w:hAnsi="Calibri" w:cs="Calibri"/>
        </w:rPr>
      </w:pPr>
    </w:p>
    <w:p w14:paraId="55CF30F4" w14:textId="77777777" w:rsidR="008B77A1" w:rsidRDefault="008B77A1" w:rsidP="00F37B27">
      <w:pPr>
        <w:spacing w:after="120" w:line="276" w:lineRule="auto"/>
        <w:jc w:val="both"/>
        <w:rPr>
          <w:rFonts w:ascii="Calibri" w:hAnsi="Calibri" w:cs="Calibri"/>
        </w:rPr>
      </w:pPr>
    </w:p>
    <w:p w14:paraId="78C8C865" w14:textId="77777777" w:rsidR="008B77A1" w:rsidRDefault="008B77A1" w:rsidP="00F37B27">
      <w:pPr>
        <w:spacing w:after="120" w:line="276" w:lineRule="auto"/>
        <w:jc w:val="both"/>
        <w:rPr>
          <w:rFonts w:ascii="Calibri" w:hAnsi="Calibri" w:cs="Calibri"/>
        </w:rPr>
      </w:pPr>
    </w:p>
    <w:p w14:paraId="691FB7C3" w14:textId="77777777" w:rsidR="008B77A1" w:rsidRDefault="008B77A1" w:rsidP="00F37B27">
      <w:pPr>
        <w:spacing w:after="120" w:line="276" w:lineRule="auto"/>
        <w:jc w:val="both"/>
        <w:rPr>
          <w:rFonts w:ascii="Calibri" w:hAnsi="Calibri" w:cs="Calibri"/>
        </w:rPr>
      </w:pPr>
    </w:p>
    <w:p w14:paraId="3A728074" w14:textId="77777777" w:rsidR="008B77A1" w:rsidRDefault="008B77A1" w:rsidP="00F37B27">
      <w:pPr>
        <w:spacing w:after="120" w:line="276" w:lineRule="auto"/>
        <w:jc w:val="both"/>
        <w:rPr>
          <w:rFonts w:ascii="Calibri" w:hAnsi="Calibri" w:cs="Calibri"/>
        </w:rPr>
      </w:pPr>
    </w:p>
    <w:p w14:paraId="5E1FCBC6" w14:textId="77777777" w:rsidR="008B77A1" w:rsidRDefault="008B77A1" w:rsidP="00F37B27">
      <w:pPr>
        <w:spacing w:after="120" w:line="276" w:lineRule="auto"/>
        <w:jc w:val="both"/>
        <w:rPr>
          <w:rFonts w:ascii="Calibri" w:hAnsi="Calibri" w:cs="Calibri"/>
        </w:rPr>
      </w:pPr>
    </w:p>
    <w:p w14:paraId="22E754EC" w14:textId="77777777" w:rsidR="008B77A1" w:rsidRDefault="008B77A1" w:rsidP="00F37B27">
      <w:pPr>
        <w:spacing w:after="120" w:line="276" w:lineRule="auto"/>
        <w:jc w:val="both"/>
        <w:rPr>
          <w:rFonts w:ascii="Calibri" w:hAnsi="Calibri" w:cs="Calibri"/>
        </w:rPr>
      </w:pPr>
    </w:p>
    <w:p w14:paraId="7FB8109B" w14:textId="77777777" w:rsidR="008B77A1" w:rsidRDefault="008B77A1" w:rsidP="00F37B27">
      <w:pPr>
        <w:spacing w:after="120" w:line="276" w:lineRule="auto"/>
        <w:jc w:val="both"/>
        <w:rPr>
          <w:rFonts w:ascii="Calibri" w:hAnsi="Calibri" w:cs="Calibri"/>
        </w:rPr>
      </w:pPr>
    </w:p>
    <w:p w14:paraId="73AD1029" w14:textId="77777777" w:rsidR="008B77A1" w:rsidRDefault="008B77A1" w:rsidP="00F37B27">
      <w:pPr>
        <w:spacing w:after="120" w:line="276" w:lineRule="auto"/>
        <w:jc w:val="both"/>
        <w:rPr>
          <w:rFonts w:ascii="Calibri" w:hAnsi="Calibri" w:cs="Calibri"/>
        </w:rPr>
      </w:pPr>
    </w:p>
    <w:p w14:paraId="4F79BA4F" w14:textId="77777777" w:rsidR="008B77A1" w:rsidRDefault="008B77A1" w:rsidP="00F37B27">
      <w:pPr>
        <w:spacing w:after="120" w:line="276" w:lineRule="auto"/>
        <w:jc w:val="both"/>
        <w:rPr>
          <w:rFonts w:ascii="Calibri" w:hAnsi="Calibri" w:cs="Calibri"/>
        </w:rPr>
      </w:pPr>
    </w:p>
    <w:p w14:paraId="2A0A03B1" w14:textId="77777777" w:rsidR="008B77A1" w:rsidRDefault="008B77A1" w:rsidP="00F37B27">
      <w:pPr>
        <w:spacing w:after="120" w:line="276" w:lineRule="auto"/>
        <w:jc w:val="both"/>
        <w:rPr>
          <w:rFonts w:ascii="Calibri" w:hAnsi="Calibri" w:cs="Calibri"/>
        </w:rPr>
      </w:pPr>
    </w:p>
    <w:p w14:paraId="7182EAF7" w14:textId="77777777" w:rsidR="008B77A1" w:rsidRDefault="008B77A1" w:rsidP="00F37B27">
      <w:pPr>
        <w:spacing w:after="120" w:line="276" w:lineRule="auto"/>
        <w:jc w:val="both"/>
        <w:rPr>
          <w:rFonts w:ascii="Calibri" w:hAnsi="Calibri" w:cs="Calibri"/>
        </w:rPr>
      </w:pPr>
    </w:p>
    <w:p w14:paraId="44FA97EA" w14:textId="77777777" w:rsidR="008B77A1" w:rsidRDefault="008B77A1" w:rsidP="00F37B27">
      <w:pPr>
        <w:spacing w:after="120" w:line="276" w:lineRule="auto"/>
        <w:jc w:val="both"/>
        <w:rPr>
          <w:rFonts w:ascii="Calibri" w:hAnsi="Calibri" w:cs="Calibri"/>
        </w:rPr>
      </w:pPr>
    </w:p>
    <w:p w14:paraId="6AF48E5B" w14:textId="77777777" w:rsidR="008B77A1" w:rsidRDefault="008B77A1" w:rsidP="00F37B27">
      <w:pPr>
        <w:spacing w:after="120" w:line="276" w:lineRule="auto"/>
        <w:jc w:val="both"/>
        <w:rPr>
          <w:rFonts w:ascii="Calibri" w:hAnsi="Calibri" w:cs="Calibri"/>
        </w:rPr>
      </w:pPr>
    </w:p>
    <w:p w14:paraId="51999248" w14:textId="77777777" w:rsidR="008B77A1" w:rsidRDefault="008B77A1" w:rsidP="00F37B27">
      <w:pPr>
        <w:spacing w:after="120" w:line="276" w:lineRule="auto"/>
        <w:jc w:val="both"/>
        <w:rPr>
          <w:rFonts w:ascii="Calibri" w:hAnsi="Calibri" w:cs="Calibri"/>
        </w:rPr>
      </w:pPr>
    </w:p>
    <w:p w14:paraId="56A3726F" w14:textId="584D415A" w:rsidR="008B77A1" w:rsidRDefault="008B77A1" w:rsidP="00F37B27">
      <w:pPr>
        <w:spacing w:after="120" w:line="276" w:lineRule="auto"/>
        <w:jc w:val="both"/>
        <w:rPr>
          <w:rFonts w:ascii="Calibri" w:hAnsi="Calibri" w:cs="Calibri"/>
        </w:rPr>
      </w:pPr>
    </w:p>
    <w:p w14:paraId="11FE709F" w14:textId="538FE7C4" w:rsidR="008B77A1" w:rsidRDefault="008B77A1" w:rsidP="00F37B27">
      <w:pPr>
        <w:spacing w:after="120" w:line="276" w:lineRule="auto"/>
        <w:jc w:val="both"/>
        <w:rPr>
          <w:rFonts w:ascii="Calibri" w:hAnsi="Calibri" w:cs="Calibri"/>
        </w:rPr>
      </w:pPr>
    </w:p>
    <w:p w14:paraId="5A94F7E2" w14:textId="52BB3606" w:rsidR="00171117" w:rsidRDefault="007604CE" w:rsidP="00F37B27">
      <w:pPr>
        <w:spacing w:after="120" w:line="276" w:lineRule="auto"/>
        <w:jc w:val="both"/>
        <w:rPr>
          <w:rFonts w:ascii="Calibri" w:hAnsi="Calibri" w:cs="Calibri"/>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53152" behindDoc="0" locked="0" layoutInCell="1" allowOverlap="1" wp14:anchorId="2F55ED32" wp14:editId="1F401950">
            <wp:simplePos x="0" y="0"/>
            <wp:positionH relativeFrom="column">
              <wp:posOffset>5029835</wp:posOffset>
            </wp:positionH>
            <wp:positionV relativeFrom="paragraph">
              <wp:posOffset>351014</wp:posOffset>
            </wp:positionV>
            <wp:extent cx="713105" cy="575310"/>
            <wp:effectExtent l="0" t="0" r="0" b="0"/>
            <wp:wrapNone/>
            <wp:docPr id="256041730"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Pr="005A6959">
        <w:rPr>
          <w:rFonts w:ascii="Calibri" w:hAnsi="Calibri" w:cs="Calibri"/>
          <w:noProof/>
        </w:rPr>
        <mc:AlternateContent>
          <mc:Choice Requires="wps">
            <w:drawing>
              <wp:anchor distT="45720" distB="45720" distL="114300" distR="114300" simplePos="0" relativeHeight="251752448" behindDoc="0" locked="0" layoutInCell="1" allowOverlap="1" wp14:anchorId="5BE0B848" wp14:editId="4314B79A">
                <wp:simplePos x="0" y="0"/>
                <wp:positionH relativeFrom="margin">
                  <wp:posOffset>26106</wp:posOffset>
                </wp:positionH>
                <wp:positionV relativeFrom="paragraph">
                  <wp:posOffset>269946</wp:posOffset>
                </wp:positionV>
                <wp:extent cx="5561965" cy="7947025"/>
                <wp:effectExtent l="0" t="0" r="19685" b="15875"/>
                <wp:wrapSquare wrapText="bothSides"/>
                <wp:docPr id="136660412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61965" cy="7947025"/>
                        </a:xfrm>
                        <a:prstGeom prst="roundRect">
                          <a:avLst/>
                        </a:prstGeom>
                        <a:solidFill>
                          <a:schemeClr val="bg1"/>
                        </a:solidFill>
                        <a:ln w="19050">
                          <a:solidFill>
                            <a:srgbClr val="B6A04C"/>
                          </a:solidFill>
                          <a:miter lim="800000"/>
                          <a:headEnd/>
                          <a:tailEnd/>
                        </a:ln>
                      </wps:spPr>
                      <wps:txbx>
                        <w:txbxContent>
                          <w:p w14:paraId="54FC5D28" w14:textId="3C15E1D4" w:rsidR="00262A0B" w:rsidRPr="007604CE" w:rsidRDefault="00262A0B" w:rsidP="007604CE">
                            <w:pPr>
                              <w:ind w:right="361"/>
                              <w:jc w:val="center"/>
                              <w:rPr>
                                <w:rStyle w:val="y2iqfc"/>
                                <w:rFonts w:asciiTheme="minorHAnsi" w:hAnsiTheme="minorHAnsi" w:cstheme="minorHAnsi"/>
                                <w:b/>
                                <w:color w:val="B6A04C"/>
                                <w:sz w:val="20"/>
                                <w:szCs w:val="20"/>
                                <w:lang w:val="it-IT"/>
                              </w:rPr>
                            </w:pPr>
                            <w:hyperlink r:id="rId58" w:history="1">
                              <w:r w:rsidRPr="007604CE">
                                <w:rPr>
                                  <w:rStyle w:val="Hypertextovodkaz"/>
                                  <w:rFonts w:asciiTheme="minorHAnsi" w:hAnsiTheme="minorHAnsi" w:cstheme="minorHAnsi"/>
                                  <w:b/>
                                  <w:color w:val="B6A04C"/>
                                  <w:sz w:val="20"/>
                                  <w:szCs w:val="20"/>
                                  <w:lang w:val="it-IT"/>
                                </w:rPr>
                                <w:t>CJEU,</w:t>
                              </w:r>
                              <w:r w:rsidRPr="007604CE">
                                <w:rPr>
                                  <w:rStyle w:val="Hypertextovodkaz"/>
                                  <w:color w:val="B6A04C"/>
                                  <w:lang w:val="it-IT"/>
                                </w:rPr>
                                <w:t xml:space="preserve"> </w:t>
                              </w:r>
                              <w:r w:rsidRPr="007604CE">
                                <w:rPr>
                                  <w:rStyle w:val="Hypertextovodkaz"/>
                                  <w:rFonts w:asciiTheme="minorHAnsi" w:hAnsiTheme="minorHAnsi" w:cstheme="minorHAnsi"/>
                                  <w:b/>
                                  <w:color w:val="B6A04C"/>
                                  <w:sz w:val="20"/>
                                  <w:szCs w:val="20"/>
                                  <w:lang w:val="it-IT"/>
                                </w:rPr>
                                <w:t xml:space="preserve">6 october 2015, </w:t>
                              </w:r>
                              <w:r w:rsidRPr="007604CE">
                                <w:rPr>
                                  <w:rStyle w:val="Hypertextovodkaz"/>
                                  <w:rFonts w:asciiTheme="minorHAnsi" w:hAnsiTheme="minorHAnsi" w:cstheme="minorHAnsi"/>
                                  <w:b/>
                                  <w:i/>
                                  <w:iCs/>
                                  <w:color w:val="B6A04C"/>
                                  <w:sz w:val="20"/>
                                  <w:szCs w:val="20"/>
                                  <w:lang w:val="it-IT"/>
                                </w:rPr>
                                <w:t>Consorci Sanitari del Maresme v. Corporació de Salut del Maresme i la Selva</w:t>
                              </w:r>
                              <w:r w:rsidRPr="007604CE">
                                <w:rPr>
                                  <w:rStyle w:val="Hypertextovodkaz"/>
                                  <w:rFonts w:asciiTheme="minorHAnsi" w:hAnsiTheme="minorHAnsi" w:cstheme="minorHAnsi"/>
                                  <w:b/>
                                  <w:color w:val="B6A04C"/>
                                  <w:sz w:val="20"/>
                                  <w:szCs w:val="20"/>
                                  <w:lang w:val="it-IT"/>
                                </w:rPr>
                                <w:t>, C-203/14, ECLI:EU:C:2015:664</w:t>
                              </w:r>
                            </w:hyperlink>
                          </w:p>
                          <w:p w14:paraId="708E9F58" w14:textId="77777777" w:rsidR="00262A0B" w:rsidRPr="007604CE" w:rsidRDefault="00262A0B" w:rsidP="00262A0B">
                            <w:pPr>
                              <w:jc w:val="right"/>
                              <w:rPr>
                                <w:rFonts w:asciiTheme="minorHAnsi" w:hAnsiTheme="minorHAnsi" w:cstheme="minorHAnsi"/>
                                <w:b/>
                                <w:sz w:val="19"/>
                                <w:szCs w:val="19"/>
                                <w:lang w:val="it-IT"/>
                              </w:rPr>
                            </w:pPr>
                          </w:p>
                          <w:p w14:paraId="5728B748" w14:textId="5C36C33C" w:rsidR="00D95A5F" w:rsidRPr="007604CE" w:rsidRDefault="00D95A5F" w:rsidP="00262A0B">
                            <w:pPr>
                              <w:jc w:val="both"/>
                              <w:rPr>
                                <w:rFonts w:asciiTheme="minorHAnsi" w:hAnsiTheme="minorHAnsi" w:cstheme="minorHAnsi"/>
                                <w:b/>
                                <w:bCs/>
                                <w:color w:val="2C2D5B"/>
                                <w:sz w:val="19"/>
                                <w:szCs w:val="19"/>
                              </w:rPr>
                            </w:pPr>
                            <w:r w:rsidRPr="007604CE">
                              <w:rPr>
                                <w:rFonts w:asciiTheme="minorHAnsi" w:hAnsiTheme="minorHAnsi" w:cstheme="minorHAnsi"/>
                                <w:b/>
                                <w:bCs/>
                                <w:color w:val="2C2D5B"/>
                                <w:sz w:val="19"/>
                                <w:szCs w:val="19"/>
                              </w:rPr>
                              <w:t>Facts</w:t>
                            </w:r>
                            <w:r w:rsidR="008B77A1" w:rsidRPr="007604CE">
                              <w:rPr>
                                <w:rFonts w:asciiTheme="minorHAnsi" w:hAnsiTheme="minorHAnsi" w:cstheme="minorHAnsi"/>
                                <w:b/>
                                <w:bCs/>
                                <w:color w:val="2C2D5B"/>
                                <w:sz w:val="19"/>
                                <w:szCs w:val="19"/>
                              </w:rPr>
                              <w:t xml:space="preserve"> </w:t>
                            </w:r>
                            <w:r w:rsidRPr="007604CE">
                              <w:rPr>
                                <w:rFonts w:asciiTheme="minorHAnsi" w:hAnsiTheme="minorHAnsi" w:cstheme="minorHAnsi"/>
                                <w:b/>
                                <w:bCs/>
                                <w:color w:val="2C2D5B"/>
                                <w:sz w:val="19"/>
                                <w:szCs w:val="19"/>
                              </w:rPr>
                              <w:t>:</w:t>
                            </w:r>
                          </w:p>
                          <w:p w14:paraId="7FEACD38" w14:textId="402C5651" w:rsidR="0000454B" w:rsidRPr="007604CE" w:rsidRDefault="00D95A5F" w:rsidP="00262A0B">
                            <w:pPr>
                              <w:jc w:val="both"/>
                              <w:rPr>
                                <w:rFonts w:asciiTheme="minorHAnsi" w:hAnsiTheme="minorHAnsi" w:cstheme="minorHAnsi"/>
                                <w:color w:val="2C2D5B"/>
                                <w:sz w:val="19"/>
                                <w:szCs w:val="19"/>
                              </w:rPr>
                            </w:pPr>
                            <w:r w:rsidRPr="007604CE">
                              <w:rPr>
                                <w:rFonts w:asciiTheme="minorHAnsi" w:hAnsiTheme="minorHAnsi" w:cstheme="minorHAnsi"/>
                                <w:color w:val="2C2D5B"/>
                                <w:sz w:val="19"/>
                                <w:szCs w:val="19"/>
                              </w:rPr>
                              <w:t>This case arose from a request for a preliminary ruling made by the Catalan Public Sector Contracts Board (Spain), a speciali</w:t>
                            </w:r>
                            <w:r w:rsidR="00145404" w:rsidRPr="007604CE">
                              <w:rPr>
                                <w:rFonts w:asciiTheme="minorHAnsi" w:hAnsiTheme="minorHAnsi" w:cstheme="minorHAnsi"/>
                                <w:color w:val="2C2D5B"/>
                                <w:sz w:val="19"/>
                                <w:szCs w:val="19"/>
                              </w:rPr>
                              <w:t>s</w:t>
                            </w:r>
                            <w:r w:rsidRPr="007604CE">
                              <w:rPr>
                                <w:rFonts w:asciiTheme="minorHAnsi" w:hAnsiTheme="minorHAnsi" w:cstheme="minorHAnsi"/>
                                <w:color w:val="2C2D5B"/>
                                <w:sz w:val="19"/>
                                <w:szCs w:val="19"/>
                              </w:rPr>
                              <w:t xml:space="preserve">ed administrative body responsible for reviewing special appeals related to public procurement. </w:t>
                            </w:r>
                            <w:r w:rsidR="00262A0B" w:rsidRPr="007604CE">
                              <w:rPr>
                                <w:rFonts w:asciiTheme="minorHAnsi" w:hAnsiTheme="minorHAnsi" w:cstheme="minorHAnsi"/>
                                <w:color w:val="2C2D5B"/>
                                <w:sz w:val="19"/>
                                <w:szCs w:val="19"/>
                              </w:rPr>
                              <w:t xml:space="preserve">In the course of the proceedings, doubts arose concerning the </w:t>
                            </w:r>
                            <w:r w:rsidR="0000454B" w:rsidRPr="007604CE">
                              <w:rPr>
                                <w:rFonts w:asciiTheme="minorHAnsi" w:hAnsiTheme="minorHAnsi" w:cstheme="minorHAnsi"/>
                                <w:color w:val="2C2D5B"/>
                                <w:sz w:val="19"/>
                                <w:szCs w:val="19"/>
                              </w:rPr>
                              <w:t>CJEU</w:t>
                            </w:r>
                            <w:r w:rsidR="00262A0B" w:rsidRPr="007604CE">
                              <w:rPr>
                                <w:rFonts w:asciiTheme="minorHAnsi" w:hAnsiTheme="minorHAnsi" w:cstheme="minorHAnsi"/>
                                <w:color w:val="2C2D5B"/>
                                <w:sz w:val="19"/>
                                <w:szCs w:val="19"/>
                              </w:rPr>
                              <w:t xml:space="preserve">’s jurisdiction </w:t>
                            </w:r>
                            <w:r w:rsidR="0000454B" w:rsidRPr="007604CE">
                              <w:rPr>
                                <w:rFonts w:asciiTheme="minorHAnsi" w:hAnsiTheme="minorHAnsi" w:cstheme="minorHAnsi"/>
                                <w:color w:val="2C2D5B"/>
                                <w:sz w:val="19"/>
                                <w:szCs w:val="19"/>
                              </w:rPr>
                              <w:t>given the unique nature of this body, which is not considered a court stricto sensu under Spanish law even though its decisions are final in so far as administrative remedies are concerned</w:t>
                            </w:r>
                            <w:r w:rsidR="00262A0B" w:rsidRPr="007604CE">
                              <w:rPr>
                                <w:rFonts w:asciiTheme="minorHAnsi" w:hAnsiTheme="minorHAnsi" w:cstheme="minorHAnsi"/>
                                <w:color w:val="2C2D5B"/>
                                <w:sz w:val="19"/>
                                <w:szCs w:val="19"/>
                              </w:rPr>
                              <w:t>. Moreover, bringing an appeal before that body is optional, which raise</w:t>
                            </w:r>
                            <w:r w:rsidR="0000454B" w:rsidRPr="007604CE">
                              <w:rPr>
                                <w:rFonts w:asciiTheme="minorHAnsi" w:hAnsiTheme="minorHAnsi" w:cstheme="minorHAnsi"/>
                                <w:color w:val="2C2D5B"/>
                                <w:sz w:val="19"/>
                                <w:szCs w:val="19"/>
                              </w:rPr>
                              <w:t>d</w:t>
                            </w:r>
                            <w:r w:rsidR="00262A0B" w:rsidRPr="007604CE">
                              <w:rPr>
                                <w:rFonts w:asciiTheme="minorHAnsi" w:hAnsiTheme="minorHAnsi" w:cstheme="minorHAnsi"/>
                                <w:color w:val="2C2D5B"/>
                                <w:sz w:val="19"/>
                                <w:szCs w:val="19"/>
                              </w:rPr>
                              <w:t xml:space="preserve"> the question of whether it </w:t>
                            </w:r>
                            <w:r w:rsidR="0000454B" w:rsidRPr="007604CE">
                              <w:rPr>
                                <w:rFonts w:asciiTheme="minorHAnsi" w:hAnsiTheme="minorHAnsi" w:cstheme="minorHAnsi"/>
                                <w:color w:val="2C2D5B"/>
                                <w:sz w:val="19"/>
                                <w:szCs w:val="19"/>
                              </w:rPr>
                              <w:t xml:space="preserve">could </w:t>
                            </w:r>
                            <w:r w:rsidR="00262A0B" w:rsidRPr="007604CE">
                              <w:rPr>
                                <w:rFonts w:asciiTheme="minorHAnsi" w:hAnsiTheme="minorHAnsi" w:cstheme="minorHAnsi"/>
                                <w:color w:val="2C2D5B"/>
                                <w:sz w:val="19"/>
                                <w:szCs w:val="19"/>
                              </w:rPr>
                              <w:t xml:space="preserve">be regarded as a </w:t>
                            </w:r>
                            <w:r w:rsidR="0000454B" w:rsidRPr="007604CE">
                              <w:rPr>
                                <w:rFonts w:asciiTheme="minorHAnsi" w:hAnsiTheme="minorHAnsi" w:cstheme="minorHAnsi"/>
                                <w:color w:val="2C2D5B"/>
                                <w:sz w:val="19"/>
                                <w:szCs w:val="19"/>
                              </w:rPr>
                              <w:t>“</w:t>
                            </w:r>
                            <w:r w:rsidR="00262A0B" w:rsidRPr="007604CE">
                              <w:rPr>
                                <w:rFonts w:asciiTheme="minorHAnsi" w:hAnsiTheme="minorHAnsi" w:cstheme="minorHAnsi"/>
                                <w:color w:val="2C2D5B"/>
                                <w:sz w:val="19"/>
                                <w:szCs w:val="19"/>
                              </w:rPr>
                              <w:t>court or tribunal of a Member State</w:t>
                            </w:r>
                            <w:r w:rsidR="0000454B" w:rsidRPr="007604CE">
                              <w:rPr>
                                <w:rFonts w:asciiTheme="minorHAnsi" w:hAnsiTheme="minorHAnsi" w:cstheme="minorHAnsi"/>
                                <w:color w:val="2C2D5B"/>
                                <w:sz w:val="19"/>
                                <w:szCs w:val="19"/>
                              </w:rPr>
                              <w:t>”</w:t>
                            </w:r>
                            <w:r w:rsidR="00262A0B" w:rsidRPr="007604CE">
                              <w:rPr>
                                <w:rFonts w:asciiTheme="minorHAnsi" w:hAnsiTheme="minorHAnsi" w:cstheme="minorHAnsi"/>
                                <w:color w:val="2C2D5B"/>
                                <w:sz w:val="19"/>
                                <w:szCs w:val="19"/>
                              </w:rPr>
                              <w:t xml:space="preserve"> within the meaning of Article 267 TFEU</w:t>
                            </w:r>
                            <w:r w:rsidR="0000454B" w:rsidRPr="007604CE">
                              <w:rPr>
                                <w:rFonts w:asciiTheme="minorHAnsi" w:hAnsiTheme="minorHAnsi" w:cstheme="minorHAnsi"/>
                                <w:color w:val="2C2D5B"/>
                                <w:sz w:val="19"/>
                                <w:szCs w:val="19"/>
                              </w:rPr>
                              <w:t xml:space="preserve"> and whether it met the CJEU’s established criteria for compulsory jurisdiction, independence and other requirements necessary to make a request for a preliminary ruling. </w:t>
                            </w:r>
                          </w:p>
                          <w:p w14:paraId="25FFD0EF" w14:textId="77777777" w:rsidR="0000454B" w:rsidRPr="007604CE" w:rsidRDefault="0000454B" w:rsidP="00262A0B">
                            <w:pPr>
                              <w:jc w:val="both"/>
                              <w:rPr>
                                <w:rFonts w:asciiTheme="minorHAnsi" w:hAnsiTheme="minorHAnsi" w:cstheme="minorHAnsi"/>
                                <w:color w:val="2C2D5B"/>
                                <w:sz w:val="10"/>
                                <w:szCs w:val="10"/>
                              </w:rPr>
                            </w:pPr>
                          </w:p>
                          <w:p w14:paraId="2A262D98" w14:textId="3BECC6C3" w:rsidR="0000454B" w:rsidRPr="007604CE" w:rsidRDefault="0000454B" w:rsidP="00262A0B">
                            <w:pPr>
                              <w:jc w:val="both"/>
                              <w:rPr>
                                <w:rFonts w:asciiTheme="minorHAnsi" w:hAnsiTheme="minorHAnsi" w:cstheme="minorHAnsi"/>
                                <w:color w:val="2C2D5B"/>
                                <w:sz w:val="19"/>
                                <w:szCs w:val="19"/>
                              </w:rPr>
                            </w:pPr>
                            <w:r w:rsidRPr="007604CE">
                              <w:rPr>
                                <w:rFonts w:asciiTheme="minorHAnsi" w:hAnsiTheme="minorHAnsi" w:cstheme="minorHAnsi"/>
                                <w:b/>
                                <w:bCs/>
                                <w:color w:val="2C2D5B"/>
                                <w:sz w:val="19"/>
                                <w:szCs w:val="19"/>
                              </w:rPr>
                              <w:t>Ruling</w:t>
                            </w:r>
                            <w:r w:rsidR="008B77A1" w:rsidRPr="007604CE">
                              <w:rPr>
                                <w:rFonts w:asciiTheme="minorHAnsi" w:hAnsiTheme="minorHAnsi" w:cstheme="minorHAnsi"/>
                                <w:b/>
                                <w:bCs/>
                                <w:color w:val="2C2D5B"/>
                                <w:sz w:val="19"/>
                                <w:szCs w:val="19"/>
                              </w:rPr>
                              <w:t xml:space="preserve"> </w:t>
                            </w:r>
                            <w:r w:rsidRPr="007604CE">
                              <w:rPr>
                                <w:rFonts w:asciiTheme="minorHAnsi" w:hAnsiTheme="minorHAnsi" w:cstheme="minorHAnsi"/>
                                <w:b/>
                                <w:bCs/>
                                <w:color w:val="2C2D5B"/>
                                <w:sz w:val="19"/>
                                <w:szCs w:val="19"/>
                              </w:rPr>
                              <w:t xml:space="preserve">: </w:t>
                            </w:r>
                          </w:p>
                          <w:p w14:paraId="2D3B106E" w14:textId="5E080638" w:rsidR="0000454B" w:rsidRPr="007604CE" w:rsidRDefault="0000454B" w:rsidP="00262A0B">
                            <w:pPr>
                              <w:jc w:val="both"/>
                              <w:rPr>
                                <w:rFonts w:asciiTheme="minorHAnsi" w:hAnsiTheme="minorHAnsi" w:cstheme="minorHAnsi"/>
                                <w:color w:val="2C2D5B"/>
                                <w:sz w:val="19"/>
                                <w:szCs w:val="19"/>
                              </w:rPr>
                            </w:pPr>
                            <w:r w:rsidRPr="007604CE">
                              <w:rPr>
                                <w:rFonts w:asciiTheme="minorHAnsi" w:hAnsiTheme="minorHAnsi" w:cstheme="minorHAnsi"/>
                                <w:color w:val="2C2D5B"/>
                                <w:sz w:val="19"/>
                                <w:szCs w:val="19"/>
                              </w:rPr>
                              <w:t xml:space="preserve">The CJEU ruled that the Catalan Public Sector Contracts Board could indeed qualify as a “court or tribunal of a Member State” under Article 267 TFEU, provided that it meets the specific criteria </w:t>
                            </w:r>
                            <w:r w:rsidR="00BD4C0E" w:rsidRPr="007604CE">
                              <w:rPr>
                                <w:rFonts w:asciiTheme="minorHAnsi" w:hAnsiTheme="minorHAnsi" w:cstheme="minorHAnsi"/>
                                <w:color w:val="2C2D5B"/>
                                <w:sz w:val="19"/>
                                <w:szCs w:val="19"/>
                              </w:rPr>
                              <w:t xml:space="preserve">of legal origin, permanency, inter partes proceedings and rulings based on law. </w:t>
                            </w:r>
                          </w:p>
                          <w:p w14:paraId="134C04DB" w14:textId="3B650876" w:rsidR="00262A0B" w:rsidRPr="007604CE" w:rsidRDefault="00262A0B" w:rsidP="00262A0B">
                            <w:pPr>
                              <w:jc w:val="both"/>
                              <w:rPr>
                                <w:rFonts w:asciiTheme="minorHAnsi" w:hAnsiTheme="minorHAnsi" w:cstheme="minorHAnsi"/>
                                <w:i/>
                                <w:color w:val="2C2D5B"/>
                                <w:sz w:val="19"/>
                                <w:szCs w:val="19"/>
                              </w:rPr>
                            </w:pPr>
                            <w:r w:rsidRPr="007604CE">
                              <w:rPr>
                                <w:rFonts w:asciiTheme="minorHAnsi" w:hAnsiTheme="minorHAnsi" w:cstheme="minorHAnsi"/>
                                <w:i/>
                                <w:color w:val="2C2D5B"/>
                                <w:sz w:val="19"/>
                                <w:szCs w:val="19"/>
                              </w:rPr>
                              <w:t xml:space="preserve"> </w:t>
                            </w:r>
                          </w:p>
                          <w:p w14:paraId="6662F92F" w14:textId="31F2E4C8" w:rsidR="00262A0B" w:rsidRPr="007604CE" w:rsidRDefault="00BD4C0E" w:rsidP="00253E61">
                            <w:pPr>
                              <w:pStyle w:val="Odstavecseseznamem"/>
                              <w:numPr>
                                <w:ilvl w:val="0"/>
                                <w:numId w:val="22"/>
                              </w:numPr>
                              <w:jc w:val="both"/>
                              <w:rPr>
                                <w:rFonts w:asciiTheme="minorHAnsi" w:hAnsiTheme="minorHAnsi" w:cstheme="minorHAnsi"/>
                                <w:i/>
                                <w:color w:val="2C2D5B"/>
                                <w:sz w:val="19"/>
                                <w:szCs w:val="19"/>
                              </w:rPr>
                            </w:pPr>
                            <w:r w:rsidRPr="007604CE">
                              <w:rPr>
                                <w:rFonts w:asciiTheme="minorHAnsi" w:hAnsiTheme="minorHAnsi" w:cstheme="minorHAnsi"/>
                                <w:b/>
                                <w:bCs/>
                                <w:iCs/>
                                <w:color w:val="2C2D5B"/>
                                <w:sz w:val="19"/>
                                <w:szCs w:val="19"/>
                              </w:rPr>
                              <w:t>Independence: “</w:t>
                            </w:r>
                            <w:r w:rsidR="00262A0B" w:rsidRPr="007604CE">
                              <w:rPr>
                                <w:rFonts w:asciiTheme="minorHAnsi" w:hAnsiTheme="minorHAnsi" w:cstheme="minorHAnsi"/>
                                <w:i/>
                                <w:color w:val="2C2D5B"/>
                                <w:sz w:val="19"/>
                                <w:szCs w:val="19"/>
                              </w:rPr>
                              <w:t>19. So far as (ii) the criterion of independence is concerned, […] acts as a third party in relation to the authority which adopted the decision challenged in the main proceedings (see judgments in Corbiau,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24/92, EU:C:1993:118, paragraph 15, and Wilson,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506/04, EU:C:2006:587, paragraph 49</w:t>
                            </w:r>
                            <w:r w:rsidR="00262A0B" w:rsidRPr="007604CE">
                              <w:rPr>
                                <w:rFonts w:asciiTheme="minorHAnsi" w:hAnsiTheme="minorHAnsi" w:cstheme="minorHAnsi"/>
                                <w:b/>
                                <w:bCs/>
                                <w:i/>
                                <w:color w:val="2C2D5B"/>
                                <w:sz w:val="19"/>
                                <w:szCs w:val="19"/>
                              </w:rPr>
                              <w:t>). In that regard, it would appear that the Tribunal carries out its functions in a wholly independent manner, not occupying a hierarchical or subordinate position in relation to any other body and not taking orders or instructions from any source whatsoever</w:t>
                            </w:r>
                            <w:r w:rsidR="00262A0B" w:rsidRPr="007604CE">
                              <w:rPr>
                                <w:rFonts w:asciiTheme="minorHAnsi" w:hAnsiTheme="minorHAnsi" w:cstheme="minorHAnsi"/>
                                <w:i/>
                                <w:color w:val="2C2D5B"/>
                                <w:sz w:val="19"/>
                                <w:szCs w:val="19"/>
                              </w:rPr>
                              <w:t xml:space="preserve"> (see judgment in Torresi,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58/13 and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59/13, EU:C:2014:2088, paragraph 22); it is thus protected against external intervention or pressure liable to jeopardise the independent judgment of its members (judgments in Wilson,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506/04, EU:C:2006:587, paragraph 51, and TDC,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222/13, EU:2014:2265, paragraph 30).</w:t>
                            </w:r>
                            <w:r w:rsidRPr="007604CE">
                              <w:rPr>
                                <w:rFonts w:asciiTheme="minorHAnsi" w:hAnsiTheme="minorHAnsi" w:cstheme="minorHAnsi"/>
                                <w:i/>
                                <w:color w:val="2C2D5B"/>
                                <w:sz w:val="19"/>
                                <w:szCs w:val="19"/>
                              </w:rPr>
                              <w:t>”</w:t>
                            </w:r>
                          </w:p>
                          <w:p w14:paraId="2592C8A0" w14:textId="77777777" w:rsidR="00BD4C0E" w:rsidRPr="007604CE" w:rsidRDefault="00BD4C0E" w:rsidP="00262A0B">
                            <w:pPr>
                              <w:jc w:val="both"/>
                              <w:rPr>
                                <w:rFonts w:asciiTheme="minorHAnsi" w:hAnsiTheme="minorHAnsi" w:cstheme="minorHAnsi"/>
                                <w:i/>
                                <w:color w:val="2C2D5B"/>
                                <w:sz w:val="10"/>
                                <w:szCs w:val="10"/>
                              </w:rPr>
                            </w:pPr>
                          </w:p>
                          <w:p w14:paraId="7DFE5FAE" w14:textId="7DEAA214" w:rsidR="00262A0B" w:rsidRPr="007604CE" w:rsidRDefault="00BD4C0E" w:rsidP="00253E61">
                            <w:pPr>
                              <w:pStyle w:val="Odstavecseseznamem"/>
                              <w:numPr>
                                <w:ilvl w:val="0"/>
                                <w:numId w:val="22"/>
                              </w:numPr>
                              <w:jc w:val="both"/>
                              <w:rPr>
                                <w:rFonts w:asciiTheme="minorHAnsi" w:hAnsiTheme="minorHAnsi" w:cstheme="minorHAnsi"/>
                                <w:iCs/>
                                <w:color w:val="2C2D5B"/>
                                <w:sz w:val="19"/>
                                <w:szCs w:val="19"/>
                              </w:rPr>
                            </w:pPr>
                            <w:r w:rsidRPr="007604CE">
                              <w:rPr>
                                <w:rFonts w:asciiTheme="minorHAnsi" w:hAnsiTheme="minorHAnsi" w:cstheme="minorHAnsi"/>
                                <w:b/>
                                <w:bCs/>
                                <w:iCs/>
                                <w:color w:val="2C2D5B"/>
                                <w:sz w:val="19"/>
                                <w:szCs w:val="19"/>
                              </w:rPr>
                              <w:t>Permanency</w:t>
                            </w:r>
                            <w:r w:rsidRPr="007604CE">
                              <w:rPr>
                                <w:rFonts w:asciiTheme="minorHAnsi" w:hAnsiTheme="minorHAnsi" w:cstheme="minorHAnsi"/>
                                <w:iCs/>
                                <w:color w:val="2C2D5B"/>
                                <w:sz w:val="19"/>
                                <w:szCs w:val="19"/>
                              </w:rPr>
                              <w:t xml:space="preserve">: </w:t>
                            </w:r>
                            <w:r w:rsidRPr="007604CE">
                              <w:rPr>
                                <w:rFonts w:asciiTheme="minorHAnsi" w:hAnsiTheme="minorHAnsi" w:cstheme="minorHAnsi"/>
                                <w:i/>
                                <w:color w:val="2C2D5B"/>
                                <w:sz w:val="19"/>
                                <w:szCs w:val="19"/>
                              </w:rPr>
                              <w:t>“</w:t>
                            </w:r>
                            <w:r w:rsidR="00262A0B" w:rsidRPr="007604CE">
                              <w:rPr>
                                <w:rFonts w:asciiTheme="minorHAnsi" w:hAnsiTheme="minorHAnsi" w:cstheme="minorHAnsi"/>
                                <w:i/>
                                <w:color w:val="2C2D5B"/>
                                <w:sz w:val="19"/>
                                <w:szCs w:val="19"/>
                              </w:rPr>
                              <w:t xml:space="preserve">20. […] when performing its duties, with the requirement for objectivity and impartiality vis-à-vis the parties to the proceedings and their respective interests with regard to the subject-matter of those proceedings. Furthermore, […] </w:t>
                            </w:r>
                            <w:r w:rsidR="00262A0B" w:rsidRPr="007604CE">
                              <w:rPr>
                                <w:rFonts w:asciiTheme="minorHAnsi" w:hAnsiTheme="minorHAnsi" w:cstheme="minorHAnsi"/>
                                <w:b/>
                                <w:bCs/>
                                <w:i/>
                                <w:color w:val="2C2D5B"/>
                                <w:sz w:val="19"/>
                                <w:szCs w:val="19"/>
                              </w:rPr>
                              <w:t>the members of the Tribunal are appointed on a permanent basis and cease to hold office only in the circumstances expressly set out in Article</w:t>
                            </w:r>
                            <w:r w:rsidR="00262A0B" w:rsidRPr="007604CE">
                              <w:rPr>
                                <w:rFonts w:asciiTheme="minorHAnsi" w:hAnsiTheme="minorHAnsi" w:cstheme="minorHAnsi"/>
                                <w:i/>
                                <w:color w:val="2C2D5B"/>
                                <w:sz w:val="19"/>
                                <w:szCs w:val="19"/>
                              </w:rPr>
                              <w:t xml:space="preserve"> 8 (see judgments in Wilson,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506/04, EU:C:2006:587, paragraphs 52 and 53, and TDC,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222/13, EU:2014:2265, paragraphs 31 and 32).</w:t>
                            </w:r>
                          </w:p>
                          <w:p w14:paraId="683CDC8C" w14:textId="77777777" w:rsidR="00BD4C0E" w:rsidRPr="007604CE" w:rsidRDefault="00BD4C0E" w:rsidP="00262A0B">
                            <w:pPr>
                              <w:jc w:val="both"/>
                              <w:rPr>
                                <w:rFonts w:asciiTheme="minorHAnsi" w:hAnsiTheme="minorHAnsi" w:cstheme="minorHAnsi"/>
                                <w:i/>
                                <w:color w:val="2C2D5B"/>
                                <w:sz w:val="10"/>
                                <w:szCs w:val="10"/>
                              </w:rPr>
                            </w:pPr>
                          </w:p>
                          <w:p w14:paraId="22A98DB9" w14:textId="449643C2" w:rsidR="00262A0B" w:rsidRPr="007604CE" w:rsidRDefault="00BD4C0E" w:rsidP="00253E61">
                            <w:pPr>
                              <w:pStyle w:val="Odstavecseseznamem"/>
                              <w:numPr>
                                <w:ilvl w:val="0"/>
                                <w:numId w:val="22"/>
                              </w:numPr>
                              <w:jc w:val="both"/>
                              <w:rPr>
                                <w:rFonts w:asciiTheme="minorHAnsi" w:hAnsiTheme="minorHAnsi" w:cstheme="minorHAnsi"/>
                                <w:i/>
                                <w:color w:val="2C2D5B"/>
                                <w:sz w:val="19"/>
                                <w:szCs w:val="19"/>
                              </w:rPr>
                            </w:pPr>
                            <w:r w:rsidRPr="007604CE">
                              <w:rPr>
                                <w:rFonts w:asciiTheme="minorHAnsi" w:hAnsiTheme="minorHAnsi" w:cstheme="minorHAnsi"/>
                                <w:b/>
                                <w:bCs/>
                                <w:iCs/>
                                <w:color w:val="2C2D5B"/>
                                <w:sz w:val="19"/>
                                <w:szCs w:val="19"/>
                              </w:rPr>
                              <w:t xml:space="preserve">Inter partes proceedings: </w:t>
                            </w:r>
                            <w:r w:rsidRPr="007604CE">
                              <w:rPr>
                                <w:rFonts w:asciiTheme="minorHAnsi" w:hAnsiTheme="minorHAnsi" w:cstheme="minorHAnsi"/>
                                <w:i/>
                                <w:color w:val="2C2D5B"/>
                                <w:sz w:val="19"/>
                                <w:szCs w:val="19"/>
                              </w:rPr>
                              <w:t>“</w:t>
                            </w:r>
                            <w:r w:rsidR="00262A0B" w:rsidRPr="007604CE">
                              <w:rPr>
                                <w:rFonts w:asciiTheme="minorHAnsi" w:hAnsiTheme="minorHAnsi" w:cstheme="minorHAnsi"/>
                                <w:i/>
                                <w:color w:val="2C2D5B"/>
                                <w:sz w:val="19"/>
                                <w:szCs w:val="19"/>
                              </w:rPr>
                              <w:t>23. In this regard, it must nevertheless be observed that the decisions of the referring body, whose jurisdiction does not depend on the parties’ agreement, are binding on the parties (see order in Merck Canada,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555/13, EU:C:2014:92, paragraph 18 and the case-law cited; and judgment in Ascendi Beiras Litoral e Alta, Auto Estradas das Beiras Litoral e Alta,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377/13, EU:C:2014:1754, paragraph 28).</w:t>
                            </w:r>
                          </w:p>
                          <w:p w14:paraId="3369491D" w14:textId="77777777" w:rsidR="002F6031" w:rsidRPr="007604CE" w:rsidRDefault="002F6031" w:rsidP="00262A0B">
                            <w:pPr>
                              <w:jc w:val="both"/>
                              <w:rPr>
                                <w:rFonts w:asciiTheme="minorHAnsi" w:hAnsiTheme="minorHAnsi" w:cstheme="minorHAnsi"/>
                                <w:b/>
                                <w:bCs/>
                                <w:iCs/>
                                <w:color w:val="2C2D5B"/>
                                <w:sz w:val="10"/>
                                <w:szCs w:val="10"/>
                              </w:rPr>
                            </w:pPr>
                          </w:p>
                          <w:p w14:paraId="0268CB4A" w14:textId="75F7D368" w:rsidR="00262A0B" w:rsidRPr="007604CE" w:rsidRDefault="002F6031" w:rsidP="00253E61">
                            <w:pPr>
                              <w:pStyle w:val="Odstavecseseznamem"/>
                              <w:numPr>
                                <w:ilvl w:val="0"/>
                                <w:numId w:val="22"/>
                              </w:numPr>
                              <w:rPr>
                                <w:sz w:val="19"/>
                                <w:szCs w:val="19"/>
                              </w:rPr>
                            </w:pPr>
                            <w:r w:rsidRPr="007604CE">
                              <w:rPr>
                                <w:rFonts w:asciiTheme="minorHAnsi" w:hAnsiTheme="minorHAnsi" w:cstheme="minorHAnsi"/>
                                <w:b/>
                                <w:bCs/>
                                <w:iCs/>
                                <w:color w:val="2C2D5B"/>
                                <w:sz w:val="19"/>
                                <w:szCs w:val="19"/>
                              </w:rPr>
                              <w:t>Rulings based on law: “</w:t>
                            </w:r>
                            <w:r w:rsidR="00262A0B" w:rsidRPr="007604CE">
                              <w:rPr>
                                <w:rFonts w:asciiTheme="minorHAnsi" w:hAnsiTheme="minorHAnsi" w:cstheme="minorHAnsi"/>
                                <w:i/>
                                <w:color w:val="2C2D5B"/>
                                <w:sz w:val="19"/>
                                <w:szCs w:val="19"/>
                              </w:rPr>
                              <w:t>24. […] in practice, tenderers in public procurement procedures do not generally avail themselves of the possibility of directly initiating an administrative-law action, without having first brought a special appeal of the kind in the main proceedings before the Tribunal Català de Contractes del Sector Públic. […] primary responsibility for ensuring that EU public procurement law is observed lies with the referring body.”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5BE0B848" id="_x0000_s1057" style="position:absolute;left:0;text-align:left;margin-left:2.05pt;margin-top:21.25pt;width:437.95pt;height:625.75pt;z-index:2517524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6mCJAIAAC0EAAAOAAAAZHJzL2Uyb0RvYy54bWysU8tu2zAQvBfoPxC815JdP2LBcuA4TVEg&#10;faBpP4AiKYkoxVVJ2pLz9V1SiuOkt6I6EFwtOTs7O9xc940mR2mdApPT6SSlRBoOQpkqpz9/3L27&#10;osR5ZgTTYGROT9LR6+3bN5uuzeQMatBCWoIgxmVdm9Pa+zZLEsdr2TA3gVYaTJZgG+YxtFUiLOsQ&#10;vdHJLE2XSQdWtBa4dA7/3g5Juo34ZSm5/1qWTnqic4rcfFxtXIuwJtsNyyrL2lrxkQb7BxYNUwaL&#10;nqFumWfkYNVfUI3iFhyUfsKhSaAsFZexB+xmmr7q5qFmrYy9oDiuPcvk/h8s/3J8aL9Z4vsb6HGA&#10;sQnX3gP/5YiBfc1MJXfWQldLJrDwNEiWdK3LxqtBape5AFJ0n0HgkNnBQwTqS9sEVbBPgug4gNNZ&#10;dNl7wvHnYrGcrpcLSjjmVuv5Kp0tYg2WPV1vrfMfJTQkbHJq4WDEdxxtrMGO984HTix7OhdKOtBK&#10;3CmtYxDsJPfakiNDIxTV0MWrU9qQDhtcp4t0kOEFhK2KM8DNcpfO9yPLF5Ua5dHPWjU5vUrDNzgs&#10;iPfBiOg2z5Qe9khZm1HNIOAgpe+LniiR0/eRZVC3AHFCfS0M/sX3hpsa7CMlHXo3p+73gVlJif5k&#10;cEbr6XwezB6D+WI1w8BeZorLDDMcoXLqKRm2ex8fSBDOwA5nWaoo8DOTkTN6Muo+vp9g+ss4nnp+&#10;5ds/AAAA//8DAFBLAwQUAAYACAAAACEAPwwer90AAAAJAQAADwAAAGRycy9kb3ducmV2LnhtbEyP&#10;wU7DMBBE70j8g7VI3KjdKEVuiFNFlbhwaygHbk68xIHYjmI3DX/PcoLTajRPszPlYXUjW3COQ/AK&#10;thsBDH0XzOB7BefX5wcJLCbtjR6DRwXfGOFQ3d6UujDh6k+4NKlnFOJjoRXYlKaC89hZdDpuwoSe&#10;vI8wO51Izj03s75SuBt5JsQjd3rw9MHqCY8Wu6/m4hQs59Oulsf3vLFv/HP/UstWOqnU/d1aPwFL&#10;uKY/GH7rU3WoqFMbLt5ENirItwTSyXbAyJZS0LSWuGyfC+BVyf8vqH4AAAD//wMAUEsBAi0AFAAG&#10;AAgAAAAhALaDOJL+AAAA4QEAABMAAAAAAAAAAAAAAAAAAAAAAFtDb250ZW50X1R5cGVzXS54bWxQ&#10;SwECLQAUAAYACAAAACEAOP0h/9YAAACUAQAACwAAAAAAAAAAAAAAAAAvAQAAX3JlbHMvLnJlbHNQ&#10;SwECLQAUAAYACAAAACEAH7OpgiQCAAAtBAAADgAAAAAAAAAAAAAAAAAuAgAAZHJzL2Uyb0RvYy54&#10;bWxQSwECLQAUAAYACAAAACEAPwwer90AAAAJAQAADwAAAAAAAAAAAAAAAAB+BAAAZHJzL2Rvd25y&#10;ZXYueG1sUEsFBgAAAAAEAAQA8wAAAIgFAAAAAA==&#10;" fillcolor="white [3212]" strokecolor="#b6a04c" strokeweight="1.5pt">
                <v:stroke joinstyle="miter"/>
                <v:textbox>
                  <w:txbxContent>
                    <w:p w14:paraId="54FC5D28" w14:textId="3C15E1D4" w:rsidR="00262A0B" w:rsidRPr="007604CE" w:rsidRDefault="00262A0B" w:rsidP="007604CE">
                      <w:pPr>
                        <w:ind w:right="361"/>
                        <w:jc w:val="center"/>
                        <w:rPr>
                          <w:rStyle w:val="y2iqfc"/>
                          <w:rFonts w:asciiTheme="minorHAnsi" w:hAnsiTheme="minorHAnsi" w:cstheme="minorHAnsi"/>
                          <w:b/>
                          <w:color w:val="B6A04C"/>
                          <w:sz w:val="20"/>
                          <w:szCs w:val="20"/>
                          <w:lang w:val="it-IT"/>
                        </w:rPr>
                      </w:pPr>
                      <w:hyperlink r:id="rId59" w:history="1">
                        <w:r w:rsidRPr="007604CE">
                          <w:rPr>
                            <w:rStyle w:val="Hypertextovodkaz"/>
                            <w:rFonts w:asciiTheme="minorHAnsi" w:hAnsiTheme="minorHAnsi" w:cstheme="minorHAnsi"/>
                            <w:b/>
                            <w:color w:val="B6A04C"/>
                            <w:sz w:val="20"/>
                            <w:szCs w:val="20"/>
                            <w:lang w:val="it-IT"/>
                          </w:rPr>
                          <w:t>CJEU,</w:t>
                        </w:r>
                        <w:r w:rsidRPr="007604CE">
                          <w:rPr>
                            <w:rStyle w:val="Hypertextovodkaz"/>
                            <w:color w:val="B6A04C"/>
                            <w:lang w:val="it-IT"/>
                          </w:rPr>
                          <w:t xml:space="preserve"> </w:t>
                        </w:r>
                        <w:r w:rsidRPr="007604CE">
                          <w:rPr>
                            <w:rStyle w:val="Hypertextovodkaz"/>
                            <w:rFonts w:asciiTheme="minorHAnsi" w:hAnsiTheme="minorHAnsi" w:cstheme="minorHAnsi"/>
                            <w:b/>
                            <w:color w:val="B6A04C"/>
                            <w:sz w:val="20"/>
                            <w:szCs w:val="20"/>
                            <w:lang w:val="it-IT"/>
                          </w:rPr>
                          <w:t xml:space="preserve">6 october 2015, </w:t>
                        </w:r>
                        <w:r w:rsidRPr="007604CE">
                          <w:rPr>
                            <w:rStyle w:val="Hypertextovodkaz"/>
                            <w:rFonts w:asciiTheme="minorHAnsi" w:hAnsiTheme="minorHAnsi" w:cstheme="minorHAnsi"/>
                            <w:b/>
                            <w:i/>
                            <w:iCs/>
                            <w:color w:val="B6A04C"/>
                            <w:sz w:val="20"/>
                            <w:szCs w:val="20"/>
                            <w:lang w:val="it-IT"/>
                          </w:rPr>
                          <w:t>Consorci Sanitari del Maresme v. Corporació de Salut del Maresme i la Selva</w:t>
                        </w:r>
                        <w:r w:rsidRPr="007604CE">
                          <w:rPr>
                            <w:rStyle w:val="Hypertextovodkaz"/>
                            <w:rFonts w:asciiTheme="minorHAnsi" w:hAnsiTheme="minorHAnsi" w:cstheme="minorHAnsi"/>
                            <w:b/>
                            <w:color w:val="B6A04C"/>
                            <w:sz w:val="20"/>
                            <w:szCs w:val="20"/>
                            <w:lang w:val="it-IT"/>
                          </w:rPr>
                          <w:t>, C-203/14, ECLI:EU:C:2015:664</w:t>
                        </w:r>
                      </w:hyperlink>
                    </w:p>
                    <w:p w14:paraId="708E9F58" w14:textId="77777777" w:rsidR="00262A0B" w:rsidRPr="007604CE" w:rsidRDefault="00262A0B" w:rsidP="00262A0B">
                      <w:pPr>
                        <w:jc w:val="right"/>
                        <w:rPr>
                          <w:rFonts w:asciiTheme="minorHAnsi" w:hAnsiTheme="minorHAnsi" w:cstheme="minorHAnsi"/>
                          <w:b/>
                          <w:sz w:val="19"/>
                          <w:szCs w:val="19"/>
                          <w:lang w:val="it-IT"/>
                        </w:rPr>
                      </w:pPr>
                    </w:p>
                    <w:p w14:paraId="5728B748" w14:textId="5C36C33C" w:rsidR="00D95A5F" w:rsidRPr="007604CE" w:rsidRDefault="00D95A5F" w:rsidP="00262A0B">
                      <w:pPr>
                        <w:jc w:val="both"/>
                        <w:rPr>
                          <w:rFonts w:asciiTheme="minorHAnsi" w:hAnsiTheme="minorHAnsi" w:cstheme="minorHAnsi"/>
                          <w:b/>
                          <w:bCs/>
                          <w:color w:val="2C2D5B"/>
                          <w:sz w:val="19"/>
                          <w:szCs w:val="19"/>
                        </w:rPr>
                      </w:pPr>
                      <w:r w:rsidRPr="007604CE">
                        <w:rPr>
                          <w:rFonts w:asciiTheme="minorHAnsi" w:hAnsiTheme="minorHAnsi" w:cstheme="minorHAnsi"/>
                          <w:b/>
                          <w:bCs/>
                          <w:color w:val="2C2D5B"/>
                          <w:sz w:val="19"/>
                          <w:szCs w:val="19"/>
                        </w:rPr>
                        <w:t>Facts</w:t>
                      </w:r>
                      <w:r w:rsidR="008B77A1" w:rsidRPr="007604CE">
                        <w:rPr>
                          <w:rFonts w:asciiTheme="minorHAnsi" w:hAnsiTheme="minorHAnsi" w:cstheme="minorHAnsi"/>
                          <w:b/>
                          <w:bCs/>
                          <w:color w:val="2C2D5B"/>
                          <w:sz w:val="19"/>
                          <w:szCs w:val="19"/>
                        </w:rPr>
                        <w:t xml:space="preserve"> </w:t>
                      </w:r>
                      <w:r w:rsidRPr="007604CE">
                        <w:rPr>
                          <w:rFonts w:asciiTheme="minorHAnsi" w:hAnsiTheme="minorHAnsi" w:cstheme="minorHAnsi"/>
                          <w:b/>
                          <w:bCs/>
                          <w:color w:val="2C2D5B"/>
                          <w:sz w:val="19"/>
                          <w:szCs w:val="19"/>
                        </w:rPr>
                        <w:t>:</w:t>
                      </w:r>
                    </w:p>
                    <w:p w14:paraId="7FEACD38" w14:textId="402C5651" w:rsidR="0000454B" w:rsidRPr="007604CE" w:rsidRDefault="00D95A5F" w:rsidP="00262A0B">
                      <w:pPr>
                        <w:jc w:val="both"/>
                        <w:rPr>
                          <w:rFonts w:asciiTheme="minorHAnsi" w:hAnsiTheme="minorHAnsi" w:cstheme="minorHAnsi"/>
                          <w:color w:val="2C2D5B"/>
                          <w:sz w:val="19"/>
                          <w:szCs w:val="19"/>
                        </w:rPr>
                      </w:pPr>
                      <w:r w:rsidRPr="007604CE">
                        <w:rPr>
                          <w:rFonts w:asciiTheme="minorHAnsi" w:hAnsiTheme="minorHAnsi" w:cstheme="minorHAnsi"/>
                          <w:color w:val="2C2D5B"/>
                          <w:sz w:val="19"/>
                          <w:szCs w:val="19"/>
                        </w:rPr>
                        <w:t>This case arose from a request for a preliminary ruling made by the Catalan Public Sector Contracts Board (Spain), a speciali</w:t>
                      </w:r>
                      <w:r w:rsidR="00145404" w:rsidRPr="007604CE">
                        <w:rPr>
                          <w:rFonts w:asciiTheme="minorHAnsi" w:hAnsiTheme="minorHAnsi" w:cstheme="minorHAnsi"/>
                          <w:color w:val="2C2D5B"/>
                          <w:sz w:val="19"/>
                          <w:szCs w:val="19"/>
                        </w:rPr>
                        <w:t>s</w:t>
                      </w:r>
                      <w:r w:rsidRPr="007604CE">
                        <w:rPr>
                          <w:rFonts w:asciiTheme="minorHAnsi" w:hAnsiTheme="minorHAnsi" w:cstheme="minorHAnsi"/>
                          <w:color w:val="2C2D5B"/>
                          <w:sz w:val="19"/>
                          <w:szCs w:val="19"/>
                        </w:rPr>
                        <w:t xml:space="preserve">ed administrative body responsible for reviewing special appeals related to public procurement. </w:t>
                      </w:r>
                      <w:r w:rsidR="00262A0B" w:rsidRPr="007604CE">
                        <w:rPr>
                          <w:rFonts w:asciiTheme="minorHAnsi" w:hAnsiTheme="minorHAnsi" w:cstheme="minorHAnsi"/>
                          <w:color w:val="2C2D5B"/>
                          <w:sz w:val="19"/>
                          <w:szCs w:val="19"/>
                        </w:rPr>
                        <w:t xml:space="preserve">In the course of the proceedings, doubts arose concerning the </w:t>
                      </w:r>
                      <w:r w:rsidR="0000454B" w:rsidRPr="007604CE">
                        <w:rPr>
                          <w:rFonts w:asciiTheme="minorHAnsi" w:hAnsiTheme="minorHAnsi" w:cstheme="minorHAnsi"/>
                          <w:color w:val="2C2D5B"/>
                          <w:sz w:val="19"/>
                          <w:szCs w:val="19"/>
                        </w:rPr>
                        <w:t>CJEU</w:t>
                      </w:r>
                      <w:r w:rsidR="00262A0B" w:rsidRPr="007604CE">
                        <w:rPr>
                          <w:rFonts w:asciiTheme="minorHAnsi" w:hAnsiTheme="minorHAnsi" w:cstheme="minorHAnsi"/>
                          <w:color w:val="2C2D5B"/>
                          <w:sz w:val="19"/>
                          <w:szCs w:val="19"/>
                        </w:rPr>
                        <w:t xml:space="preserve">’s jurisdiction </w:t>
                      </w:r>
                      <w:r w:rsidR="0000454B" w:rsidRPr="007604CE">
                        <w:rPr>
                          <w:rFonts w:asciiTheme="minorHAnsi" w:hAnsiTheme="minorHAnsi" w:cstheme="minorHAnsi"/>
                          <w:color w:val="2C2D5B"/>
                          <w:sz w:val="19"/>
                          <w:szCs w:val="19"/>
                        </w:rPr>
                        <w:t>given the unique nature of this body, which is not considered a court stricto sensu under Spanish law even though its decisions are final in so far as administrative remedies are concerned</w:t>
                      </w:r>
                      <w:r w:rsidR="00262A0B" w:rsidRPr="007604CE">
                        <w:rPr>
                          <w:rFonts w:asciiTheme="minorHAnsi" w:hAnsiTheme="minorHAnsi" w:cstheme="minorHAnsi"/>
                          <w:color w:val="2C2D5B"/>
                          <w:sz w:val="19"/>
                          <w:szCs w:val="19"/>
                        </w:rPr>
                        <w:t>. Moreover, bringing an appeal before that body is optional, which raise</w:t>
                      </w:r>
                      <w:r w:rsidR="0000454B" w:rsidRPr="007604CE">
                        <w:rPr>
                          <w:rFonts w:asciiTheme="minorHAnsi" w:hAnsiTheme="minorHAnsi" w:cstheme="minorHAnsi"/>
                          <w:color w:val="2C2D5B"/>
                          <w:sz w:val="19"/>
                          <w:szCs w:val="19"/>
                        </w:rPr>
                        <w:t>d</w:t>
                      </w:r>
                      <w:r w:rsidR="00262A0B" w:rsidRPr="007604CE">
                        <w:rPr>
                          <w:rFonts w:asciiTheme="minorHAnsi" w:hAnsiTheme="minorHAnsi" w:cstheme="minorHAnsi"/>
                          <w:color w:val="2C2D5B"/>
                          <w:sz w:val="19"/>
                          <w:szCs w:val="19"/>
                        </w:rPr>
                        <w:t xml:space="preserve"> the question of whether it </w:t>
                      </w:r>
                      <w:r w:rsidR="0000454B" w:rsidRPr="007604CE">
                        <w:rPr>
                          <w:rFonts w:asciiTheme="minorHAnsi" w:hAnsiTheme="minorHAnsi" w:cstheme="minorHAnsi"/>
                          <w:color w:val="2C2D5B"/>
                          <w:sz w:val="19"/>
                          <w:szCs w:val="19"/>
                        </w:rPr>
                        <w:t xml:space="preserve">could </w:t>
                      </w:r>
                      <w:r w:rsidR="00262A0B" w:rsidRPr="007604CE">
                        <w:rPr>
                          <w:rFonts w:asciiTheme="minorHAnsi" w:hAnsiTheme="minorHAnsi" w:cstheme="minorHAnsi"/>
                          <w:color w:val="2C2D5B"/>
                          <w:sz w:val="19"/>
                          <w:szCs w:val="19"/>
                        </w:rPr>
                        <w:t xml:space="preserve">be regarded as a </w:t>
                      </w:r>
                      <w:r w:rsidR="0000454B" w:rsidRPr="007604CE">
                        <w:rPr>
                          <w:rFonts w:asciiTheme="minorHAnsi" w:hAnsiTheme="minorHAnsi" w:cstheme="minorHAnsi"/>
                          <w:color w:val="2C2D5B"/>
                          <w:sz w:val="19"/>
                          <w:szCs w:val="19"/>
                        </w:rPr>
                        <w:t>“</w:t>
                      </w:r>
                      <w:r w:rsidR="00262A0B" w:rsidRPr="007604CE">
                        <w:rPr>
                          <w:rFonts w:asciiTheme="minorHAnsi" w:hAnsiTheme="minorHAnsi" w:cstheme="minorHAnsi"/>
                          <w:color w:val="2C2D5B"/>
                          <w:sz w:val="19"/>
                          <w:szCs w:val="19"/>
                        </w:rPr>
                        <w:t>court or tribunal of a Member State</w:t>
                      </w:r>
                      <w:r w:rsidR="0000454B" w:rsidRPr="007604CE">
                        <w:rPr>
                          <w:rFonts w:asciiTheme="minorHAnsi" w:hAnsiTheme="minorHAnsi" w:cstheme="minorHAnsi"/>
                          <w:color w:val="2C2D5B"/>
                          <w:sz w:val="19"/>
                          <w:szCs w:val="19"/>
                        </w:rPr>
                        <w:t>”</w:t>
                      </w:r>
                      <w:r w:rsidR="00262A0B" w:rsidRPr="007604CE">
                        <w:rPr>
                          <w:rFonts w:asciiTheme="minorHAnsi" w:hAnsiTheme="minorHAnsi" w:cstheme="minorHAnsi"/>
                          <w:color w:val="2C2D5B"/>
                          <w:sz w:val="19"/>
                          <w:szCs w:val="19"/>
                        </w:rPr>
                        <w:t xml:space="preserve"> within the meaning of Article 267 TFEU</w:t>
                      </w:r>
                      <w:r w:rsidR="0000454B" w:rsidRPr="007604CE">
                        <w:rPr>
                          <w:rFonts w:asciiTheme="minorHAnsi" w:hAnsiTheme="minorHAnsi" w:cstheme="minorHAnsi"/>
                          <w:color w:val="2C2D5B"/>
                          <w:sz w:val="19"/>
                          <w:szCs w:val="19"/>
                        </w:rPr>
                        <w:t xml:space="preserve"> and whether it met the CJEU’s established criteria for compulsory jurisdiction, independence and other requirements necessary to make a request for a preliminary ruling. </w:t>
                      </w:r>
                    </w:p>
                    <w:p w14:paraId="25FFD0EF" w14:textId="77777777" w:rsidR="0000454B" w:rsidRPr="007604CE" w:rsidRDefault="0000454B" w:rsidP="00262A0B">
                      <w:pPr>
                        <w:jc w:val="both"/>
                        <w:rPr>
                          <w:rFonts w:asciiTheme="minorHAnsi" w:hAnsiTheme="minorHAnsi" w:cstheme="minorHAnsi"/>
                          <w:color w:val="2C2D5B"/>
                          <w:sz w:val="10"/>
                          <w:szCs w:val="10"/>
                        </w:rPr>
                      </w:pPr>
                    </w:p>
                    <w:p w14:paraId="2A262D98" w14:textId="3BECC6C3" w:rsidR="0000454B" w:rsidRPr="007604CE" w:rsidRDefault="0000454B" w:rsidP="00262A0B">
                      <w:pPr>
                        <w:jc w:val="both"/>
                        <w:rPr>
                          <w:rFonts w:asciiTheme="minorHAnsi" w:hAnsiTheme="minorHAnsi" w:cstheme="minorHAnsi"/>
                          <w:color w:val="2C2D5B"/>
                          <w:sz w:val="19"/>
                          <w:szCs w:val="19"/>
                        </w:rPr>
                      </w:pPr>
                      <w:r w:rsidRPr="007604CE">
                        <w:rPr>
                          <w:rFonts w:asciiTheme="minorHAnsi" w:hAnsiTheme="minorHAnsi" w:cstheme="minorHAnsi"/>
                          <w:b/>
                          <w:bCs/>
                          <w:color w:val="2C2D5B"/>
                          <w:sz w:val="19"/>
                          <w:szCs w:val="19"/>
                        </w:rPr>
                        <w:t>Ruling</w:t>
                      </w:r>
                      <w:r w:rsidR="008B77A1" w:rsidRPr="007604CE">
                        <w:rPr>
                          <w:rFonts w:asciiTheme="minorHAnsi" w:hAnsiTheme="minorHAnsi" w:cstheme="minorHAnsi"/>
                          <w:b/>
                          <w:bCs/>
                          <w:color w:val="2C2D5B"/>
                          <w:sz w:val="19"/>
                          <w:szCs w:val="19"/>
                        </w:rPr>
                        <w:t xml:space="preserve"> </w:t>
                      </w:r>
                      <w:r w:rsidRPr="007604CE">
                        <w:rPr>
                          <w:rFonts w:asciiTheme="minorHAnsi" w:hAnsiTheme="minorHAnsi" w:cstheme="minorHAnsi"/>
                          <w:b/>
                          <w:bCs/>
                          <w:color w:val="2C2D5B"/>
                          <w:sz w:val="19"/>
                          <w:szCs w:val="19"/>
                        </w:rPr>
                        <w:t xml:space="preserve">: </w:t>
                      </w:r>
                    </w:p>
                    <w:p w14:paraId="2D3B106E" w14:textId="5E080638" w:rsidR="0000454B" w:rsidRPr="007604CE" w:rsidRDefault="0000454B" w:rsidP="00262A0B">
                      <w:pPr>
                        <w:jc w:val="both"/>
                        <w:rPr>
                          <w:rFonts w:asciiTheme="minorHAnsi" w:hAnsiTheme="minorHAnsi" w:cstheme="minorHAnsi"/>
                          <w:color w:val="2C2D5B"/>
                          <w:sz w:val="19"/>
                          <w:szCs w:val="19"/>
                        </w:rPr>
                      </w:pPr>
                      <w:r w:rsidRPr="007604CE">
                        <w:rPr>
                          <w:rFonts w:asciiTheme="minorHAnsi" w:hAnsiTheme="minorHAnsi" w:cstheme="minorHAnsi"/>
                          <w:color w:val="2C2D5B"/>
                          <w:sz w:val="19"/>
                          <w:szCs w:val="19"/>
                        </w:rPr>
                        <w:t xml:space="preserve">The CJEU ruled that the Catalan Public Sector Contracts Board could indeed qualify as a “court or tribunal of a Member State” under Article 267 TFEU, provided that it meets the specific criteria </w:t>
                      </w:r>
                      <w:r w:rsidR="00BD4C0E" w:rsidRPr="007604CE">
                        <w:rPr>
                          <w:rFonts w:asciiTheme="minorHAnsi" w:hAnsiTheme="minorHAnsi" w:cstheme="minorHAnsi"/>
                          <w:color w:val="2C2D5B"/>
                          <w:sz w:val="19"/>
                          <w:szCs w:val="19"/>
                        </w:rPr>
                        <w:t xml:space="preserve">of legal origin, permanency, inter partes proceedings and rulings based on law. </w:t>
                      </w:r>
                    </w:p>
                    <w:p w14:paraId="134C04DB" w14:textId="3B650876" w:rsidR="00262A0B" w:rsidRPr="007604CE" w:rsidRDefault="00262A0B" w:rsidP="00262A0B">
                      <w:pPr>
                        <w:jc w:val="both"/>
                        <w:rPr>
                          <w:rFonts w:asciiTheme="minorHAnsi" w:hAnsiTheme="minorHAnsi" w:cstheme="minorHAnsi"/>
                          <w:i/>
                          <w:color w:val="2C2D5B"/>
                          <w:sz w:val="19"/>
                          <w:szCs w:val="19"/>
                        </w:rPr>
                      </w:pPr>
                      <w:r w:rsidRPr="007604CE">
                        <w:rPr>
                          <w:rFonts w:asciiTheme="minorHAnsi" w:hAnsiTheme="minorHAnsi" w:cstheme="minorHAnsi"/>
                          <w:i/>
                          <w:color w:val="2C2D5B"/>
                          <w:sz w:val="19"/>
                          <w:szCs w:val="19"/>
                        </w:rPr>
                        <w:t xml:space="preserve"> </w:t>
                      </w:r>
                    </w:p>
                    <w:p w14:paraId="6662F92F" w14:textId="31F2E4C8" w:rsidR="00262A0B" w:rsidRPr="007604CE" w:rsidRDefault="00BD4C0E" w:rsidP="00253E61">
                      <w:pPr>
                        <w:pStyle w:val="Odstavecseseznamem"/>
                        <w:numPr>
                          <w:ilvl w:val="0"/>
                          <w:numId w:val="22"/>
                        </w:numPr>
                        <w:jc w:val="both"/>
                        <w:rPr>
                          <w:rFonts w:asciiTheme="minorHAnsi" w:hAnsiTheme="minorHAnsi" w:cstheme="minorHAnsi"/>
                          <w:i/>
                          <w:color w:val="2C2D5B"/>
                          <w:sz w:val="19"/>
                          <w:szCs w:val="19"/>
                        </w:rPr>
                      </w:pPr>
                      <w:r w:rsidRPr="007604CE">
                        <w:rPr>
                          <w:rFonts w:asciiTheme="minorHAnsi" w:hAnsiTheme="minorHAnsi" w:cstheme="minorHAnsi"/>
                          <w:b/>
                          <w:bCs/>
                          <w:iCs/>
                          <w:color w:val="2C2D5B"/>
                          <w:sz w:val="19"/>
                          <w:szCs w:val="19"/>
                        </w:rPr>
                        <w:t>Independence: “</w:t>
                      </w:r>
                      <w:r w:rsidR="00262A0B" w:rsidRPr="007604CE">
                        <w:rPr>
                          <w:rFonts w:asciiTheme="minorHAnsi" w:hAnsiTheme="minorHAnsi" w:cstheme="minorHAnsi"/>
                          <w:i/>
                          <w:color w:val="2C2D5B"/>
                          <w:sz w:val="19"/>
                          <w:szCs w:val="19"/>
                        </w:rPr>
                        <w:t>19. So far as (ii) the criterion of independence is concerned, […] acts as a third party in relation to the authority which adopted the decision challenged in the main proceedings (see judgments in Corbiau,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24/92, EU:C:1993:118, paragraph 15, and Wilson,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506/04, EU:C:2006:587, paragraph 49</w:t>
                      </w:r>
                      <w:r w:rsidR="00262A0B" w:rsidRPr="007604CE">
                        <w:rPr>
                          <w:rFonts w:asciiTheme="minorHAnsi" w:hAnsiTheme="minorHAnsi" w:cstheme="minorHAnsi"/>
                          <w:b/>
                          <w:bCs/>
                          <w:i/>
                          <w:color w:val="2C2D5B"/>
                          <w:sz w:val="19"/>
                          <w:szCs w:val="19"/>
                        </w:rPr>
                        <w:t>). In that regard, it would appear that the Tribunal carries out its functions in a wholly independent manner, not occupying a hierarchical or subordinate position in relation to any other body and not taking orders or instructions from any source whatsoever</w:t>
                      </w:r>
                      <w:r w:rsidR="00262A0B" w:rsidRPr="007604CE">
                        <w:rPr>
                          <w:rFonts w:asciiTheme="minorHAnsi" w:hAnsiTheme="minorHAnsi" w:cstheme="minorHAnsi"/>
                          <w:i/>
                          <w:color w:val="2C2D5B"/>
                          <w:sz w:val="19"/>
                          <w:szCs w:val="19"/>
                        </w:rPr>
                        <w:t xml:space="preserve"> (see judgment in Torresi,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58/13 and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59/13, EU:C:2014:2088, paragraph 22); it is thus protected against external intervention or pressure liable to jeopardise the independent judgment of its members (judgments in Wilson,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506/04, EU:C:2006:587, paragraph 51, and TDC,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222/13, EU:2014:2265, paragraph 30).</w:t>
                      </w:r>
                      <w:r w:rsidRPr="007604CE">
                        <w:rPr>
                          <w:rFonts w:asciiTheme="minorHAnsi" w:hAnsiTheme="minorHAnsi" w:cstheme="minorHAnsi"/>
                          <w:i/>
                          <w:color w:val="2C2D5B"/>
                          <w:sz w:val="19"/>
                          <w:szCs w:val="19"/>
                        </w:rPr>
                        <w:t>”</w:t>
                      </w:r>
                    </w:p>
                    <w:p w14:paraId="2592C8A0" w14:textId="77777777" w:rsidR="00BD4C0E" w:rsidRPr="007604CE" w:rsidRDefault="00BD4C0E" w:rsidP="00262A0B">
                      <w:pPr>
                        <w:jc w:val="both"/>
                        <w:rPr>
                          <w:rFonts w:asciiTheme="minorHAnsi" w:hAnsiTheme="minorHAnsi" w:cstheme="minorHAnsi"/>
                          <w:i/>
                          <w:color w:val="2C2D5B"/>
                          <w:sz w:val="10"/>
                          <w:szCs w:val="10"/>
                        </w:rPr>
                      </w:pPr>
                    </w:p>
                    <w:p w14:paraId="7DFE5FAE" w14:textId="7DEAA214" w:rsidR="00262A0B" w:rsidRPr="007604CE" w:rsidRDefault="00BD4C0E" w:rsidP="00253E61">
                      <w:pPr>
                        <w:pStyle w:val="Odstavecseseznamem"/>
                        <w:numPr>
                          <w:ilvl w:val="0"/>
                          <w:numId w:val="22"/>
                        </w:numPr>
                        <w:jc w:val="both"/>
                        <w:rPr>
                          <w:rFonts w:asciiTheme="minorHAnsi" w:hAnsiTheme="minorHAnsi" w:cstheme="minorHAnsi"/>
                          <w:iCs/>
                          <w:color w:val="2C2D5B"/>
                          <w:sz w:val="19"/>
                          <w:szCs w:val="19"/>
                        </w:rPr>
                      </w:pPr>
                      <w:r w:rsidRPr="007604CE">
                        <w:rPr>
                          <w:rFonts w:asciiTheme="minorHAnsi" w:hAnsiTheme="minorHAnsi" w:cstheme="minorHAnsi"/>
                          <w:b/>
                          <w:bCs/>
                          <w:iCs/>
                          <w:color w:val="2C2D5B"/>
                          <w:sz w:val="19"/>
                          <w:szCs w:val="19"/>
                        </w:rPr>
                        <w:t>Permanency</w:t>
                      </w:r>
                      <w:r w:rsidRPr="007604CE">
                        <w:rPr>
                          <w:rFonts w:asciiTheme="minorHAnsi" w:hAnsiTheme="minorHAnsi" w:cstheme="minorHAnsi"/>
                          <w:iCs/>
                          <w:color w:val="2C2D5B"/>
                          <w:sz w:val="19"/>
                          <w:szCs w:val="19"/>
                        </w:rPr>
                        <w:t xml:space="preserve">: </w:t>
                      </w:r>
                      <w:r w:rsidRPr="007604CE">
                        <w:rPr>
                          <w:rFonts w:asciiTheme="minorHAnsi" w:hAnsiTheme="minorHAnsi" w:cstheme="minorHAnsi"/>
                          <w:i/>
                          <w:color w:val="2C2D5B"/>
                          <w:sz w:val="19"/>
                          <w:szCs w:val="19"/>
                        </w:rPr>
                        <w:t>“</w:t>
                      </w:r>
                      <w:r w:rsidR="00262A0B" w:rsidRPr="007604CE">
                        <w:rPr>
                          <w:rFonts w:asciiTheme="minorHAnsi" w:hAnsiTheme="minorHAnsi" w:cstheme="minorHAnsi"/>
                          <w:i/>
                          <w:color w:val="2C2D5B"/>
                          <w:sz w:val="19"/>
                          <w:szCs w:val="19"/>
                        </w:rPr>
                        <w:t xml:space="preserve">20. […] when performing its duties, with the requirement for objectivity and impartiality vis-à-vis the parties to the proceedings and their respective interests with regard to the subject-matter of those proceedings. Furthermore, […] </w:t>
                      </w:r>
                      <w:r w:rsidR="00262A0B" w:rsidRPr="007604CE">
                        <w:rPr>
                          <w:rFonts w:asciiTheme="minorHAnsi" w:hAnsiTheme="minorHAnsi" w:cstheme="minorHAnsi"/>
                          <w:b/>
                          <w:bCs/>
                          <w:i/>
                          <w:color w:val="2C2D5B"/>
                          <w:sz w:val="19"/>
                          <w:szCs w:val="19"/>
                        </w:rPr>
                        <w:t>the members of the Tribunal are appointed on a permanent basis and cease to hold office only in the circumstances expressly set out in Article</w:t>
                      </w:r>
                      <w:r w:rsidR="00262A0B" w:rsidRPr="007604CE">
                        <w:rPr>
                          <w:rFonts w:asciiTheme="minorHAnsi" w:hAnsiTheme="minorHAnsi" w:cstheme="minorHAnsi"/>
                          <w:i/>
                          <w:color w:val="2C2D5B"/>
                          <w:sz w:val="19"/>
                          <w:szCs w:val="19"/>
                        </w:rPr>
                        <w:t xml:space="preserve"> 8 (see judgments in Wilson,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506/04, EU:C:2006:587, paragraphs 52 and 53, and TDC,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222/13, EU:2014:2265, paragraphs 31 and 32).</w:t>
                      </w:r>
                    </w:p>
                    <w:p w14:paraId="683CDC8C" w14:textId="77777777" w:rsidR="00BD4C0E" w:rsidRPr="007604CE" w:rsidRDefault="00BD4C0E" w:rsidP="00262A0B">
                      <w:pPr>
                        <w:jc w:val="both"/>
                        <w:rPr>
                          <w:rFonts w:asciiTheme="minorHAnsi" w:hAnsiTheme="minorHAnsi" w:cstheme="minorHAnsi"/>
                          <w:i/>
                          <w:color w:val="2C2D5B"/>
                          <w:sz w:val="10"/>
                          <w:szCs w:val="10"/>
                        </w:rPr>
                      </w:pPr>
                    </w:p>
                    <w:p w14:paraId="22A98DB9" w14:textId="449643C2" w:rsidR="00262A0B" w:rsidRPr="007604CE" w:rsidRDefault="00BD4C0E" w:rsidP="00253E61">
                      <w:pPr>
                        <w:pStyle w:val="Odstavecseseznamem"/>
                        <w:numPr>
                          <w:ilvl w:val="0"/>
                          <w:numId w:val="22"/>
                        </w:numPr>
                        <w:jc w:val="both"/>
                        <w:rPr>
                          <w:rFonts w:asciiTheme="minorHAnsi" w:hAnsiTheme="minorHAnsi" w:cstheme="minorHAnsi"/>
                          <w:i/>
                          <w:color w:val="2C2D5B"/>
                          <w:sz w:val="19"/>
                          <w:szCs w:val="19"/>
                        </w:rPr>
                      </w:pPr>
                      <w:r w:rsidRPr="007604CE">
                        <w:rPr>
                          <w:rFonts w:asciiTheme="minorHAnsi" w:hAnsiTheme="minorHAnsi" w:cstheme="minorHAnsi"/>
                          <w:b/>
                          <w:bCs/>
                          <w:iCs/>
                          <w:color w:val="2C2D5B"/>
                          <w:sz w:val="19"/>
                          <w:szCs w:val="19"/>
                        </w:rPr>
                        <w:t xml:space="preserve">Inter partes proceedings: </w:t>
                      </w:r>
                      <w:r w:rsidRPr="007604CE">
                        <w:rPr>
                          <w:rFonts w:asciiTheme="minorHAnsi" w:hAnsiTheme="minorHAnsi" w:cstheme="minorHAnsi"/>
                          <w:i/>
                          <w:color w:val="2C2D5B"/>
                          <w:sz w:val="19"/>
                          <w:szCs w:val="19"/>
                        </w:rPr>
                        <w:t>“</w:t>
                      </w:r>
                      <w:r w:rsidR="00262A0B" w:rsidRPr="007604CE">
                        <w:rPr>
                          <w:rFonts w:asciiTheme="minorHAnsi" w:hAnsiTheme="minorHAnsi" w:cstheme="minorHAnsi"/>
                          <w:i/>
                          <w:color w:val="2C2D5B"/>
                          <w:sz w:val="19"/>
                          <w:szCs w:val="19"/>
                        </w:rPr>
                        <w:t>23. In this regard, it must nevertheless be observed that the decisions of the referring body, whose jurisdiction does not depend on the parties’ agreement, are binding on the parties (see order in Merck Canada,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555/13, EU:C:2014:92, paragraph 18 and the case-law cited; and judgment in Ascendi Beiras Litoral e Alta, Auto Estradas das Beiras Litoral e Alta, C</w:t>
                      </w:r>
                      <w:r w:rsidR="00262A0B" w:rsidRPr="007604CE">
                        <w:rPr>
                          <w:rFonts w:ascii="Cambria Math" w:hAnsi="Cambria Math" w:cs="Cambria Math"/>
                          <w:i/>
                          <w:color w:val="2C2D5B"/>
                          <w:sz w:val="19"/>
                          <w:szCs w:val="19"/>
                        </w:rPr>
                        <w:t>‑</w:t>
                      </w:r>
                      <w:r w:rsidR="00262A0B" w:rsidRPr="007604CE">
                        <w:rPr>
                          <w:rFonts w:asciiTheme="minorHAnsi" w:hAnsiTheme="minorHAnsi" w:cstheme="minorHAnsi"/>
                          <w:i/>
                          <w:color w:val="2C2D5B"/>
                          <w:sz w:val="19"/>
                          <w:szCs w:val="19"/>
                        </w:rPr>
                        <w:t>377/13, EU:C:2014:1754, paragraph 28).</w:t>
                      </w:r>
                    </w:p>
                    <w:p w14:paraId="3369491D" w14:textId="77777777" w:rsidR="002F6031" w:rsidRPr="007604CE" w:rsidRDefault="002F6031" w:rsidP="00262A0B">
                      <w:pPr>
                        <w:jc w:val="both"/>
                        <w:rPr>
                          <w:rFonts w:asciiTheme="minorHAnsi" w:hAnsiTheme="minorHAnsi" w:cstheme="minorHAnsi"/>
                          <w:b/>
                          <w:bCs/>
                          <w:iCs/>
                          <w:color w:val="2C2D5B"/>
                          <w:sz w:val="10"/>
                          <w:szCs w:val="10"/>
                        </w:rPr>
                      </w:pPr>
                    </w:p>
                    <w:p w14:paraId="0268CB4A" w14:textId="75F7D368" w:rsidR="00262A0B" w:rsidRPr="007604CE" w:rsidRDefault="002F6031" w:rsidP="00253E61">
                      <w:pPr>
                        <w:pStyle w:val="Odstavecseseznamem"/>
                        <w:numPr>
                          <w:ilvl w:val="0"/>
                          <w:numId w:val="22"/>
                        </w:numPr>
                        <w:rPr>
                          <w:sz w:val="19"/>
                          <w:szCs w:val="19"/>
                        </w:rPr>
                      </w:pPr>
                      <w:r w:rsidRPr="007604CE">
                        <w:rPr>
                          <w:rFonts w:asciiTheme="minorHAnsi" w:hAnsiTheme="minorHAnsi" w:cstheme="minorHAnsi"/>
                          <w:b/>
                          <w:bCs/>
                          <w:iCs/>
                          <w:color w:val="2C2D5B"/>
                          <w:sz w:val="19"/>
                          <w:szCs w:val="19"/>
                        </w:rPr>
                        <w:t>Rulings based on law: “</w:t>
                      </w:r>
                      <w:r w:rsidR="00262A0B" w:rsidRPr="007604CE">
                        <w:rPr>
                          <w:rFonts w:asciiTheme="minorHAnsi" w:hAnsiTheme="minorHAnsi" w:cstheme="minorHAnsi"/>
                          <w:i/>
                          <w:color w:val="2C2D5B"/>
                          <w:sz w:val="19"/>
                          <w:szCs w:val="19"/>
                        </w:rPr>
                        <w:t>24. […] in practice, tenderers in public procurement procedures do not generally avail themselves of the possibility of directly initiating an administrative-law action, without having first brought a special appeal of the kind in the main proceedings before the Tribunal Català de Contractes del Sector Públic. […] primary responsibility for ensuring that EU public procurement law is observed lies with the referring body.”</w:t>
                      </w:r>
                    </w:p>
                  </w:txbxContent>
                </v:textbox>
                <w10:wrap type="square" anchorx="margin"/>
              </v:roundrect>
            </w:pict>
          </mc:Fallback>
        </mc:AlternateContent>
      </w:r>
    </w:p>
    <w:p w14:paraId="4C429D9F" w14:textId="141D44B5" w:rsidR="00171117" w:rsidRPr="005E6E3A" w:rsidRDefault="00171117" w:rsidP="00F37B27">
      <w:pPr>
        <w:spacing w:after="120" w:line="276" w:lineRule="auto"/>
        <w:jc w:val="both"/>
        <w:rPr>
          <w:rFonts w:ascii="Calibri" w:hAnsi="Calibri" w:cs="Calibri"/>
          <w:sz w:val="16"/>
          <w:szCs w:val="16"/>
        </w:rPr>
      </w:pPr>
    </w:p>
    <w:p w14:paraId="184A1B6A" w14:textId="77777777" w:rsidR="00171117" w:rsidRDefault="00171117" w:rsidP="00F37B27">
      <w:pPr>
        <w:spacing w:after="120" w:line="276" w:lineRule="auto"/>
        <w:jc w:val="both"/>
        <w:rPr>
          <w:rFonts w:ascii="Calibri" w:hAnsi="Calibri" w:cs="Calibri"/>
        </w:rPr>
      </w:pPr>
    </w:p>
    <w:p w14:paraId="288783BD" w14:textId="77777777" w:rsidR="00171117" w:rsidRPr="005E6E3A" w:rsidRDefault="00171117" w:rsidP="00F37B27">
      <w:pPr>
        <w:spacing w:after="120" w:line="276" w:lineRule="auto"/>
        <w:jc w:val="both"/>
        <w:rPr>
          <w:rFonts w:ascii="Calibri" w:hAnsi="Calibri" w:cs="Calibri"/>
          <w:sz w:val="16"/>
          <w:szCs w:val="16"/>
        </w:rPr>
      </w:pPr>
    </w:p>
    <w:p w14:paraId="092AF337" w14:textId="77777777" w:rsidR="00BE2184" w:rsidRPr="005E6E3A" w:rsidRDefault="00BE2184" w:rsidP="00F37B27">
      <w:pPr>
        <w:spacing w:after="120" w:line="276" w:lineRule="auto"/>
        <w:jc w:val="both"/>
        <w:rPr>
          <w:rFonts w:asciiTheme="majorHAnsi" w:hAnsiTheme="majorHAnsi" w:cstheme="majorHAnsi"/>
          <w:color w:val="2C2D5B"/>
        </w:rPr>
      </w:pPr>
    </w:p>
    <w:p w14:paraId="76F03C40" w14:textId="713E96C5" w:rsidR="00F22F6B" w:rsidRPr="005E6E3A" w:rsidRDefault="00F22F6B" w:rsidP="00F37B27">
      <w:pPr>
        <w:spacing w:after="120" w:line="276" w:lineRule="auto"/>
        <w:jc w:val="both"/>
        <w:rPr>
          <w:rFonts w:asciiTheme="majorHAnsi" w:hAnsiTheme="majorHAnsi" w:cstheme="majorHAnsi"/>
          <w:color w:val="2C2D5B"/>
        </w:rPr>
      </w:pPr>
      <w:r w:rsidRPr="005E6E3A">
        <w:rPr>
          <w:rFonts w:asciiTheme="majorHAnsi" w:hAnsiTheme="majorHAnsi" w:cstheme="majorHAnsi"/>
          <w:color w:val="2C2D5B"/>
        </w:rPr>
        <w:t xml:space="preserve">As </w:t>
      </w:r>
      <w:r w:rsidR="008F1F7C" w:rsidRPr="005E6E3A">
        <w:rPr>
          <w:rFonts w:asciiTheme="majorHAnsi" w:hAnsiTheme="majorHAnsi" w:cstheme="majorHAnsi"/>
          <w:color w:val="2C2D5B"/>
        </w:rPr>
        <w:t>a mechanism of judicial cooperation</w:t>
      </w:r>
      <w:r w:rsidR="00C25CFD" w:rsidRPr="005E6E3A">
        <w:rPr>
          <w:rFonts w:asciiTheme="majorHAnsi" w:hAnsiTheme="majorHAnsi" w:cstheme="majorHAnsi"/>
          <w:color w:val="2C2D5B"/>
        </w:rPr>
        <w:t xml:space="preserve"> and aid on the part of the </w:t>
      </w:r>
      <w:r w:rsidR="008F1F7C" w:rsidRPr="005E6E3A">
        <w:rPr>
          <w:rFonts w:asciiTheme="majorHAnsi" w:hAnsiTheme="majorHAnsi" w:cstheme="majorHAnsi"/>
          <w:color w:val="2C2D5B"/>
        </w:rPr>
        <w:t>CJ</w:t>
      </w:r>
      <w:r w:rsidR="00C25CFD" w:rsidRPr="005E6E3A">
        <w:rPr>
          <w:rFonts w:asciiTheme="majorHAnsi" w:hAnsiTheme="majorHAnsi" w:cstheme="majorHAnsi"/>
          <w:color w:val="2C2D5B"/>
        </w:rPr>
        <w:t>EU</w:t>
      </w:r>
      <w:r w:rsidR="008F1F7C" w:rsidRPr="005E6E3A">
        <w:rPr>
          <w:rFonts w:asciiTheme="majorHAnsi" w:hAnsiTheme="majorHAnsi" w:cstheme="majorHAnsi"/>
          <w:color w:val="2C2D5B"/>
        </w:rPr>
        <w:t xml:space="preserve">, </w:t>
      </w:r>
      <w:r w:rsidRPr="005E6E3A">
        <w:rPr>
          <w:rFonts w:asciiTheme="majorHAnsi" w:hAnsiTheme="majorHAnsi" w:cstheme="majorHAnsi"/>
          <w:color w:val="2C2D5B"/>
        </w:rPr>
        <w:t xml:space="preserve">any national court </w:t>
      </w:r>
      <w:r w:rsidR="002F07B8" w:rsidRPr="005E6E3A">
        <w:rPr>
          <w:rFonts w:asciiTheme="majorHAnsi" w:hAnsiTheme="majorHAnsi" w:cstheme="majorHAnsi"/>
          <w:color w:val="2C2D5B"/>
        </w:rPr>
        <w:t xml:space="preserve"> </w:t>
      </w:r>
      <w:r w:rsidR="008F1F7C" w:rsidRPr="005E6E3A">
        <w:rPr>
          <w:rFonts w:asciiTheme="majorHAnsi" w:hAnsiTheme="majorHAnsi" w:cstheme="majorHAnsi"/>
          <w:color w:val="2C2D5B"/>
        </w:rPr>
        <w:t xml:space="preserve">can request a preliminary ruling. However, to guarantee the uniform application of EU law, a request </w:t>
      </w:r>
      <w:r w:rsidRPr="005E6E3A">
        <w:rPr>
          <w:rFonts w:asciiTheme="majorHAnsi" w:hAnsiTheme="majorHAnsi" w:cstheme="majorHAnsi"/>
          <w:color w:val="2C2D5B"/>
        </w:rPr>
        <w:t>becomes mandatory if</w:t>
      </w:r>
      <w:r w:rsidR="008F1F7C" w:rsidRPr="005E6E3A">
        <w:rPr>
          <w:rFonts w:asciiTheme="majorHAnsi" w:hAnsiTheme="majorHAnsi" w:cstheme="majorHAnsi"/>
          <w:color w:val="2C2D5B"/>
        </w:rPr>
        <w:t xml:space="preserve"> no judicial remedy </w:t>
      </w:r>
      <w:r w:rsidRPr="005E6E3A">
        <w:rPr>
          <w:rFonts w:asciiTheme="majorHAnsi" w:hAnsiTheme="majorHAnsi" w:cstheme="majorHAnsi"/>
          <w:color w:val="2C2D5B"/>
        </w:rPr>
        <w:t xml:space="preserve">exists </w:t>
      </w:r>
      <w:r w:rsidR="008F1F7C" w:rsidRPr="005E6E3A">
        <w:rPr>
          <w:rFonts w:asciiTheme="majorHAnsi" w:hAnsiTheme="majorHAnsi" w:cstheme="majorHAnsi"/>
          <w:color w:val="2C2D5B"/>
        </w:rPr>
        <w:t>under national law</w:t>
      </w:r>
      <w:r w:rsidR="00C25CFD" w:rsidRPr="005E6E3A">
        <w:rPr>
          <w:rFonts w:asciiTheme="majorHAnsi" w:hAnsiTheme="majorHAnsi" w:cstheme="majorHAnsi"/>
          <w:color w:val="2C2D5B"/>
        </w:rPr>
        <w:t xml:space="preserve"> </w:t>
      </w:r>
      <w:r w:rsidR="0078587B" w:rsidRPr="005E6E3A">
        <w:rPr>
          <w:rFonts w:asciiTheme="majorHAnsi" w:hAnsiTheme="majorHAnsi" w:cstheme="majorHAnsi"/>
          <w:color w:val="2C2D5B"/>
        </w:rPr>
        <w:t>(Art. 267(</w:t>
      </w:r>
      <w:r w:rsidR="008F1F7C" w:rsidRPr="005E6E3A">
        <w:rPr>
          <w:rFonts w:asciiTheme="majorHAnsi" w:hAnsiTheme="majorHAnsi" w:cstheme="majorHAnsi"/>
          <w:color w:val="2C2D5B"/>
        </w:rPr>
        <w:t>3</w:t>
      </w:r>
      <w:r w:rsidR="0078587B" w:rsidRPr="005E6E3A">
        <w:rPr>
          <w:rFonts w:asciiTheme="majorHAnsi" w:hAnsiTheme="majorHAnsi" w:cstheme="majorHAnsi"/>
          <w:color w:val="2C2D5B"/>
        </w:rPr>
        <w:t>)</w:t>
      </w:r>
      <w:r w:rsidR="008F1F7C" w:rsidRPr="005E6E3A">
        <w:rPr>
          <w:rFonts w:asciiTheme="majorHAnsi" w:hAnsiTheme="majorHAnsi" w:cstheme="majorHAnsi"/>
          <w:color w:val="2C2D5B"/>
        </w:rPr>
        <w:t xml:space="preserve"> TFEU). </w:t>
      </w:r>
      <w:r w:rsidRPr="005E6E3A">
        <w:rPr>
          <w:rFonts w:asciiTheme="majorHAnsi" w:hAnsiTheme="majorHAnsi" w:cstheme="majorHAnsi"/>
          <w:color w:val="2C2D5B"/>
        </w:rPr>
        <w:t xml:space="preserve">According to </w:t>
      </w:r>
      <w:r w:rsidR="008F1F7C" w:rsidRPr="005E6E3A">
        <w:rPr>
          <w:rFonts w:asciiTheme="majorHAnsi" w:hAnsiTheme="majorHAnsi" w:cstheme="majorHAnsi"/>
          <w:color w:val="2C2D5B"/>
        </w:rPr>
        <w:t>CJ</w:t>
      </w:r>
      <w:r w:rsidR="00C25CFD" w:rsidRPr="005E6E3A">
        <w:rPr>
          <w:rFonts w:asciiTheme="majorHAnsi" w:hAnsiTheme="majorHAnsi" w:cstheme="majorHAnsi"/>
          <w:color w:val="2C2D5B"/>
        </w:rPr>
        <w:t>EU</w:t>
      </w:r>
      <w:r w:rsidR="008F1F7C" w:rsidRPr="005E6E3A">
        <w:rPr>
          <w:rFonts w:asciiTheme="majorHAnsi" w:hAnsiTheme="majorHAnsi" w:cstheme="majorHAnsi"/>
          <w:color w:val="2C2D5B"/>
        </w:rPr>
        <w:t xml:space="preserve"> case law</w:t>
      </w:r>
      <w:r w:rsidRPr="005E6E3A">
        <w:rPr>
          <w:rFonts w:asciiTheme="majorHAnsi" w:hAnsiTheme="majorHAnsi" w:cstheme="majorHAnsi"/>
          <w:color w:val="2C2D5B"/>
        </w:rPr>
        <w:t>,</w:t>
      </w:r>
      <w:r w:rsidR="005474C1" w:rsidRPr="005E6E3A">
        <w:rPr>
          <w:rFonts w:asciiTheme="majorHAnsi" w:hAnsiTheme="majorHAnsi" w:cstheme="majorHAnsi"/>
          <w:color w:val="2C2D5B"/>
        </w:rPr>
        <w:t xml:space="preserve"> </w:t>
      </w:r>
      <w:r w:rsidR="008F1F7C" w:rsidRPr="005E6E3A">
        <w:rPr>
          <w:rFonts w:asciiTheme="majorHAnsi" w:hAnsiTheme="majorHAnsi" w:cstheme="majorHAnsi"/>
          <w:color w:val="2C2D5B"/>
        </w:rPr>
        <w:t xml:space="preserve">courts </w:t>
      </w:r>
      <w:r w:rsidRPr="005E6E3A">
        <w:rPr>
          <w:rFonts w:asciiTheme="majorHAnsi" w:hAnsiTheme="majorHAnsi" w:cstheme="majorHAnsi"/>
          <w:color w:val="2C2D5B"/>
        </w:rPr>
        <w:t xml:space="preserve">are exempt from this requirement </w:t>
      </w:r>
      <w:r w:rsidR="008F1F7C" w:rsidRPr="005E6E3A">
        <w:rPr>
          <w:rFonts w:asciiTheme="majorHAnsi" w:hAnsiTheme="majorHAnsi" w:cstheme="majorHAnsi"/>
          <w:color w:val="2C2D5B"/>
        </w:rPr>
        <w:t xml:space="preserve">in the following circumstances: </w:t>
      </w:r>
    </w:p>
    <w:p w14:paraId="147C13E4" w14:textId="126C29CF" w:rsidR="00F22F6B" w:rsidRPr="005E6E3A" w:rsidRDefault="00F22F6B" w:rsidP="00253E61">
      <w:pPr>
        <w:pStyle w:val="Odstavecseseznamem"/>
        <w:numPr>
          <w:ilvl w:val="0"/>
          <w:numId w:val="23"/>
        </w:numPr>
        <w:spacing w:after="120" w:line="276" w:lineRule="auto"/>
        <w:jc w:val="both"/>
        <w:rPr>
          <w:rFonts w:asciiTheme="majorHAnsi" w:hAnsiTheme="majorHAnsi" w:cstheme="majorHAnsi"/>
          <w:color w:val="2C2D5B"/>
        </w:rPr>
      </w:pPr>
      <w:r w:rsidRPr="005E6E3A">
        <w:rPr>
          <w:rFonts w:asciiTheme="majorHAnsi" w:hAnsiTheme="majorHAnsi" w:cstheme="majorHAnsi"/>
          <w:color w:val="2C2D5B"/>
        </w:rPr>
        <w:t>W</w:t>
      </w:r>
      <w:r w:rsidR="008F1F7C" w:rsidRPr="005E6E3A">
        <w:rPr>
          <w:rFonts w:asciiTheme="majorHAnsi" w:hAnsiTheme="majorHAnsi" w:cstheme="majorHAnsi"/>
          <w:color w:val="2C2D5B"/>
        </w:rPr>
        <w:t xml:space="preserve">hen the matter to be raised is not relevant to the solution of the Member State’s legal case; </w:t>
      </w:r>
    </w:p>
    <w:p w14:paraId="2B8D3E56" w14:textId="18CA95AD" w:rsidR="00F22F6B" w:rsidRPr="005E6E3A" w:rsidRDefault="00F22F6B" w:rsidP="00253E61">
      <w:pPr>
        <w:pStyle w:val="Odstavecseseznamem"/>
        <w:numPr>
          <w:ilvl w:val="0"/>
          <w:numId w:val="23"/>
        </w:numPr>
        <w:spacing w:after="120" w:line="276" w:lineRule="auto"/>
        <w:jc w:val="both"/>
        <w:rPr>
          <w:rFonts w:asciiTheme="majorHAnsi" w:hAnsiTheme="majorHAnsi" w:cstheme="majorHAnsi"/>
          <w:color w:val="2C2D5B"/>
        </w:rPr>
      </w:pPr>
      <w:r w:rsidRPr="005E6E3A">
        <w:rPr>
          <w:rFonts w:asciiTheme="majorHAnsi" w:hAnsiTheme="majorHAnsi" w:cstheme="majorHAnsi"/>
          <w:color w:val="2C2D5B"/>
        </w:rPr>
        <w:t>W</w:t>
      </w:r>
      <w:r w:rsidR="008F1F7C" w:rsidRPr="005E6E3A">
        <w:rPr>
          <w:rFonts w:asciiTheme="majorHAnsi" w:hAnsiTheme="majorHAnsi" w:cstheme="majorHAnsi"/>
          <w:color w:val="2C2D5B"/>
        </w:rPr>
        <w:t xml:space="preserve">hen the national judge has no reasonable doubts with regard to how to apply UE law </w:t>
      </w:r>
      <w:r w:rsidRPr="005E6E3A">
        <w:rPr>
          <w:rFonts w:asciiTheme="majorHAnsi" w:hAnsiTheme="majorHAnsi" w:cstheme="majorHAnsi"/>
          <w:color w:val="2C2D5B"/>
        </w:rPr>
        <w:t xml:space="preserve">(known as the </w:t>
      </w:r>
      <w:r w:rsidR="008F1F7C" w:rsidRPr="005E6E3A">
        <w:rPr>
          <w:rFonts w:asciiTheme="majorHAnsi" w:hAnsiTheme="majorHAnsi" w:cstheme="majorHAnsi"/>
          <w:i/>
          <w:iCs/>
          <w:color w:val="2C2D5B"/>
        </w:rPr>
        <w:t>acte clair</w:t>
      </w:r>
      <w:r w:rsidRPr="005E6E3A">
        <w:rPr>
          <w:rFonts w:asciiTheme="majorHAnsi" w:hAnsiTheme="majorHAnsi" w:cstheme="majorHAnsi"/>
          <w:i/>
          <w:iCs/>
          <w:color w:val="2C2D5B"/>
        </w:rPr>
        <w:t xml:space="preserve"> </w:t>
      </w:r>
      <w:r w:rsidR="00F87908" w:rsidRPr="005E6E3A">
        <w:rPr>
          <w:rFonts w:asciiTheme="majorHAnsi" w:hAnsiTheme="majorHAnsi" w:cstheme="majorHAnsi"/>
          <w:i/>
          <w:iCs/>
          <w:color w:val="2C2D5B"/>
        </w:rPr>
        <w:t>doctrine</w:t>
      </w:r>
      <w:r w:rsidR="002F07B8" w:rsidRPr="005E6E3A">
        <w:rPr>
          <w:rFonts w:asciiTheme="majorHAnsi" w:hAnsiTheme="majorHAnsi" w:cstheme="majorHAnsi"/>
          <w:i/>
          <w:iCs/>
          <w:color w:val="2C2D5B"/>
        </w:rPr>
        <w:t xml:space="preserve">, </w:t>
      </w:r>
      <w:r w:rsidR="002F07B8" w:rsidRPr="005E6E3A">
        <w:rPr>
          <w:rFonts w:asciiTheme="majorHAnsi" w:hAnsiTheme="majorHAnsi" w:cstheme="majorHAnsi"/>
          <w:color w:val="2C2D5B"/>
        </w:rPr>
        <w:t>as established in</w:t>
      </w:r>
      <w:r w:rsidR="002F07B8" w:rsidRPr="005E6E3A">
        <w:rPr>
          <w:rFonts w:asciiTheme="majorHAnsi" w:hAnsiTheme="majorHAnsi" w:cstheme="majorHAnsi"/>
          <w:b/>
          <w:bCs/>
          <w:color w:val="2C2D5B"/>
        </w:rPr>
        <w:t xml:space="preserve"> </w:t>
      </w:r>
      <w:hyperlink r:id="rId60" w:history="1">
        <w:r w:rsidR="002F07B8" w:rsidRPr="005E6E3A">
          <w:rPr>
            <w:rStyle w:val="Hypertextovodkaz"/>
            <w:rFonts w:asciiTheme="majorHAnsi" w:hAnsiTheme="majorHAnsi" w:cstheme="majorHAnsi"/>
            <w:b/>
            <w:bCs/>
            <w:color w:val="2C2D5B"/>
          </w:rPr>
          <w:t>Srl CILFIT v. Ministry of Health</w:t>
        </w:r>
      </w:hyperlink>
      <w:r w:rsidRPr="005E6E3A">
        <w:rPr>
          <w:rFonts w:asciiTheme="majorHAnsi" w:hAnsiTheme="majorHAnsi" w:cstheme="majorHAnsi"/>
          <w:i/>
          <w:iCs/>
          <w:color w:val="2C2D5B"/>
        </w:rPr>
        <w:t>)</w:t>
      </w:r>
      <w:r w:rsidR="008F1F7C" w:rsidRPr="005E6E3A">
        <w:rPr>
          <w:rFonts w:asciiTheme="majorHAnsi" w:hAnsiTheme="majorHAnsi" w:cstheme="majorHAnsi"/>
          <w:color w:val="2C2D5B"/>
        </w:rPr>
        <w:t xml:space="preserve">; </w:t>
      </w:r>
      <w:r w:rsidR="00C25CFD" w:rsidRPr="005E6E3A">
        <w:rPr>
          <w:rFonts w:asciiTheme="majorHAnsi" w:hAnsiTheme="majorHAnsi" w:cstheme="majorHAnsi"/>
          <w:color w:val="2C2D5B"/>
        </w:rPr>
        <w:t xml:space="preserve">or </w:t>
      </w:r>
    </w:p>
    <w:p w14:paraId="0CC46087" w14:textId="1818FDCB" w:rsidR="008F1F7C" w:rsidRDefault="00F22F6B" w:rsidP="00253E61">
      <w:pPr>
        <w:pStyle w:val="Odstavecseseznamem"/>
        <w:numPr>
          <w:ilvl w:val="0"/>
          <w:numId w:val="23"/>
        </w:numPr>
        <w:spacing w:after="120" w:line="276" w:lineRule="auto"/>
        <w:jc w:val="both"/>
        <w:rPr>
          <w:rFonts w:asciiTheme="majorHAnsi" w:hAnsiTheme="majorHAnsi" w:cstheme="majorHAnsi"/>
          <w:color w:val="2C2D5B"/>
        </w:rPr>
      </w:pPr>
      <w:r w:rsidRPr="005E6E3A">
        <w:rPr>
          <w:rFonts w:asciiTheme="majorHAnsi" w:hAnsiTheme="majorHAnsi" w:cstheme="majorHAnsi"/>
          <w:color w:val="2C2D5B"/>
        </w:rPr>
        <w:t>W</w:t>
      </w:r>
      <w:r w:rsidR="00C25CFD" w:rsidRPr="005E6E3A">
        <w:rPr>
          <w:rFonts w:asciiTheme="majorHAnsi" w:hAnsiTheme="majorHAnsi" w:cstheme="majorHAnsi"/>
          <w:color w:val="2C2D5B"/>
        </w:rPr>
        <w:t xml:space="preserve">hen the </w:t>
      </w:r>
      <w:r w:rsidR="008F1F7C" w:rsidRPr="005E6E3A">
        <w:rPr>
          <w:rFonts w:asciiTheme="majorHAnsi" w:hAnsiTheme="majorHAnsi" w:cstheme="majorHAnsi"/>
          <w:color w:val="2C2D5B"/>
        </w:rPr>
        <w:t>CJ</w:t>
      </w:r>
      <w:r w:rsidR="00C25CFD" w:rsidRPr="005E6E3A">
        <w:rPr>
          <w:rFonts w:asciiTheme="majorHAnsi" w:hAnsiTheme="majorHAnsi" w:cstheme="majorHAnsi"/>
          <w:color w:val="2C2D5B"/>
        </w:rPr>
        <w:t>EU</w:t>
      </w:r>
      <w:r w:rsidR="008F1F7C" w:rsidRPr="005E6E3A">
        <w:rPr>
          <w:rFonts w:asciiTheme="majorHAnsi" w:hAnsiTheme="majorHAnsi" w:cstheme="majorHAnsi"/>
          <w:color w:val="2C2D5B"/>
        </w:rPr>
        <w:t xml:space="preserve"> </w:t>
      </w:r>
      <w:r w:rsidR="00C25CFD" w:rsidRPr="005E6E3A">
        <w:rPr>
          <w:rFonts w:asciiTheme="majorHAnsi" w:hAnsiTheme="majorHAnsi" w:cstheme="majorHAnsi"/>
          <w:color w:val="2C2D5B"/>
        </w:rPr>
        <w:t>has clarified the matter in previous</w:t>
      </w:r>
      <w:r w:rsidR="008F1F7C" w:rsidRPr="005E6E3A">
        <w:rPr>
          <w:rFonts w:asciiTheme="majorHAnsi" w:hAnsiTheme="majorHAnsi" w:cstheme="majorHAnsi"/>
          <w:color w:val="2C2D5B"/>
        </w:rPr>
        <w:t xml:space="preserve"> rulings. </w:t>
      </w:r>
    </w:p>
    <w:p w14:paraId="0D13051C" w14:textId="77777777" w:rsidR="005E6E3A" w:rsidRPr="005E6E3A" w:rsidRDefault="005E6E3A" w:rsidP="005E6E3A">
      <w:pPr>
        <w:pStyle w:val="Odstavecseseznamem"/>
        <w:spacing w:after="120" w:line="276" w:lineRule="auto"/>
        <w:jc w:val="both"/>
        <w:rPr>
          <w:rFonts w:asciiTheme="majorHAnsi" w:hAnsiTheme="majorHAnsi" w:cstheme="majorHAnsi"/>
          <w:color w:val="2C2D5B"/>
        </w:rPr>
      </w:pPr>
    </w:p>
    <w:p w14:paraId="7532A8DC" w14:textId="33E2FBB9" w:rsidR="008220F8" w:rsidRPr="005E6E3A" w:rsidRDefault="00F22F6B" w:rsidP="00F37B27">
      <w:pPr>
        <w:spacing w:after="120" w:line="276" w:lineRule="auto"/>
        <w:jc w:val="both"/>
        <w:rPr>
          <w:rFonts w:asciiTheme="majorHAnsi" w:hAnsiTheme="majorHAnsi" w:cstheme="majorHAnsi"/>
          <w:color w:val="2C2D5B"/>
        </w:rPr>
      </w:pPr>
      <w:r w:rsidRPr="005E6E3A">
        <w:rPr>
          <w:rFonts w:asciiTheme="majorHAnsi" w:hAnsiTheme="majorHAnsi" w:cstheme="majorHAnsi"/>
          <w:color w:val="2C2D5B"/>
        </w:rPr>
        <w:t xml:space="preserve">When </w:t>
      </w:r>
      <w:r w:rsidRPr="005E6E3A">
        <w:rPr>
          <w:rFonts w:asciiTheme="majorHAnsi" w:hAnsiTheme="majorHAnsi" w:cstheme="majorHAnsi"/>
          <w:b/>
          <w:bCs/>
          <w:color w:val="2C2D5B"/>
        </w:rPr>
        <w:t>a national court chooses not to make a preliminary referral to the CJEU</w:t>
      </w:r>
      <w:r w:rsidRPr="005E6E3A">
        <w:rPr>
          <w:rFonts w:asciiTheme="majorHAnsi" w:hAnsiTheme="majorHAnsi" w:cstheme="majorHAnsi"/>
          <w:color w:val="2C2D5B"/>
        </w:rPr>
        <w:t xml:space="preserve"> despite being required to do so,</w:t>
      </w:r>
      <w:r w:rsidR="00040A23" w:rsidRPr="005E6E3A">
        <w:rPr>
          <w:rFonts w:asciiTheme="majorHAnsi" w:hAnsiTheme="majorHAnsi" w:cstheme="majorHAnsi"/>
          <w:color w:val="2C2D5B"/>
        </w:rPr>
        <w:t xml:space="preserve"> </w:t>
      </w:r>
      <w:r w:rsidRPr="005E6E3A">
        <w:rPr>
          <w:rFonts w:asciiTheme="majorHAnsi" w:hAnsiTheme="majorHAnsi" w:cstheme="majorHAnsi"/>
          <w:color w:val="2C2D5B"/>
        </w:rPr>
        <w:t>l</w:t>
      </w:r>
      <w:r w:rsidR="00815FCB" w:rsidRPr="005E6E3A">
        <w:rPr>
          <w:rFonts w:asciiTheme="majorHAnsi" w:hAnsiTheme="majorHAnsi" w:cstheme="majorHAnsi"/>
          <w:color w:val="2C2D5B"/>
        </w:rPr>
        <w:t xml:space="preserve">awyers </w:t>
      </w:r>
      <w:r w:rsidR="008220F8" w:rsidRPr="005E6E3A">
        <w:rPr>
          <w:rFonts w:asciiTheme="majorHAnsi" w:hAnsiTheme="majorHAnsi" w:cstheme="majorHAnsi"/>
          <w:color w:val="2C2D5B"/>
        </w:rPr>
        <w:t xml:space="preserve">have </w:t>
      </w:r>
      <w:r w:rsidR="00815FCB" w:rsidRPr="005E6E3A">
        <w:rPr>
          <w:rFonts w:asciiTheme="majorHAnsi" w:hAnsiTheme="majorHAnsi" w:cstheme="majorHAnsi"/>
          <w:color w:val="2C2D5B"/>
        </w:rPr>
        <w:t xml:space="preserve">different options </w:t>
      </w:r>
      <w:r w:rsidR="008220F8" w:rsidRPr="005E6E3A">
        <w:rPr>
          <w:rFonts w:asciiTheme="majorHAnsi" w:hAnsiTheme="majorHAnsi" w:cstheme="majorHAnsi"/>
          <w:color w:val="2C2D5B"/>
        </w:rPr>
        <w:t>and should assess them</w:t>
      </w:r>
      <w:r w:rsidR="002F07B8" w:rsidRPr="005E6E3A">
        <w:rPr>
          <w:rFonts w:asciiTheme="majorHAnsi" w:hAnsiTheme="majorHAnsi" w:cstheme="majorHAnsi"/>
          <w:color w:val="2C2D5B"/>
        </w:rPr>
        <w:t>:</w:t>
      </w:r>
      <w:r w:rsidR="008220F8" w:rsidRPr="005E6E3A">
        <w:rPr>
          <w:rFonts w:asciiTheme="majorHAnsi" w:hAnsiTheme="majorHAnsi" w:cstheme="majorHAnsi"/>
          <w:color w:val="2C2D5B"/>
        </w:rPr>
        <w:t xml:space="preserve"> </w:t>
      </w:r>
    </w:p>
    <w:p w14:paraId="32E9D5AD" w14:textId="75E6DA2E" w:rsidR="008220F8" w:rsidRPr="005E6E3A" w:rsidRDefault="002A0BDA" w:rsidP="005E6E3A">
      <w:pPr>
        <w:pStyle w:val="Odstavecseseznamem"/>
        <w:numPr>
          <w:ilvl w:val="0"/>
          <w:numId w:val="16"/>
        </w:numPr>
        <w:spacing w:after="120" w:line="276" w:lineRule="auto"/>
        <w:jc w:val="both"/>
        <w:rPr>
          <w:rFonts w:asciiTheme="majorHAnsi" w:hAnsiTheme="majorHAnsi" w:cstheme="majorHAnsi"/>
          <w:color w:val="2C2D5B"/>
        </w:rPr>
      </w:pPr>
      <w:r w:rsidRPr="005E6E3A">
        <w:rPr>
          <w:rFonts w:asciiTheme="majorHAnsi" w:hAnsiTheme="majorHAnsi" w:cstheme="majorHAnsi"/>
          <w:color w:val="2C2D5B"/>
        </w:rPr>
        <w:t xml:space="preserve">First, </w:t>
      </w:r>
      <w:r w:rsidR="0078587B" w:rsidRPr="005E6E3A">
        <w:rPr>
          <w:rFonts w:asciiTheme="majorHAnsi" w:hAnsiTheme="majorHAnsi" w:cstheme="majorHAnsi"/>
          <w:color w:val="2C2D5B"/>
        </w:rPr>
        <w:t xml:space="preserve">if the conditions are met, </w:t>
      </w:r>
      <w:r w:rsidR="008220F8" w:rsidRPr="005E6E3A">
        <w:rPr>
          <w:rFonts w:asciiTheme="majorHAnsi" w:hAnsiTheme="majorHAnsi" w:cstheme="majorHAnsi"/>
          <w:color w:val="2C2D5B"/>
        </w:rPr>
        <w:t xml:space="preserve">this refusal </w:t>
      </w:r>
      <w:r w:rsidR="0078587B" w:rsidRPr="005E6E3A">
        <w:rPr>
          <w:rFonts w:asciiTheme="majorHAnsi" w:hAnsiTheme="majorHAnsi" w:cstheme="majorHAnsi"/>
          <w:color w:val="2C2D5B"/>
        </w:rPr>
        <w:t>can be</w:t>
      </w:r>
      <w:r w:rsidR="008220F8" w:rsidRPr="005E6E3A">
        <w:rPr>
          <w:rFonts w:asciiTheme="majorHAnsi" w:hAnsiTheme="majorHAnsi" w:cstheme="majorHAnsi"/>
          <w:color w:val="2C2D5B"/>
        </w:rPr>
        <w:t xml:space="preserve"> seen as</w:t>
      </w:r>
      <w:r w:rsidR="0078587B" w:rsidRPr="005E6E3A">
        <w:rPr>
          <w:rFonts w:asciiTheme="majorHAnsi" w:hAnsiTheme="majorHAnsi" w:cstheme="majorHAnsi"/>
          <w:color w:val="2C2D5B"/>
        </w:rPr>
        <w:t xml:space="preserve"> a violation of </w:t>
      </w:r>
      <w:r w:rsidR="008220F8" w:rsidRPr="005E6E3A">
        <w:rPr>
          <w:rFonts w:asciiTheme="majorHAnsi" w:hAnsiTheme="majorHAnsi" w:cstheme="majorHAnsi"/>
          <w:color w:val="2C2D5B"/>
        </w:rPr>
        <w:t>A</w:t>
      </w:r>
      <w:r w:rsidR="0078587B" w:rsidRPr="005E6E3A">
        <w:rPr>
          <w:rFonts w:asciiTheme="majorHAnsi" w:hAnsiTheme="majorHAnsi" w:cstheme="majorHAnsi"/>
          <w:color w:val="2C2D5B"/>
        </w:rPr>
        <w:t>rt. 47 EChFR</w:t>
      </w:r>
      <w:r w:rsidR="008220F8" w:rsidRPr="005E6E3A">
        <w:rPr>
          <w:rFonts w:asciiTheme="majorHAnsi" w:hAnsiTheme="majorHAnsi" w:cstheme="majorHAnsi"/>
          <w:color w:val="2C2D5B"/>
        </w:rPr>
        <w:t xml:space="preserve">, concerning the </w:t>
      </w:r>
      <w:r w:rsidR="008220F8" w:rsidRPr="005E6E3A">
        <w:rPr>
          <w:rFonts w:asciiTheme="majorHAnsi" w:hAnsiTheme="majorHAnsi" w:cstheme="majorHAnsi"/>
          <w:b/>
          <w:bCs/>
          <w:color w:val="2C2D5B"/>
        </w:rPr>
        <w:t>right to a fair trial</w:t>
      </w:r>
      <w:r w:rsidR="0078587B" w:rsidRPr="005E6E3A">
        <w:rPr>
          <w:rFonts w:asciiTheme="majorHAnsi" w:hAnsiTheme="majorHAnsi" w:cstheme="majorHAnsi"/>
          <w:color w:val="2C2D5B"/>
        </w:rPr>
        <w:t xml:space="preserve">. At the same time, </w:t>
      </w:r>
      <w:r w:rsidRPr="005E6E3A">
        <w:rPr>
          <w:rFonts w:asciiTheme="majorHAnsi" w:hAnsiTheme="majorHAnsi" w:cstheme="majorHAnsi"/>
          <w:color w:val="2C2D5B"/>
        </w:rPr>
        <w:t>if there is a violation of the right to a fair trial</w:t>
      </w:r>
      <w:r w:rsidR="008220F8" w:rsidRPr="005E6E3A">
        <w:rPr>
          <w:rFonts w:asciiTheme="majorHAnsi" w:hAnsiTheme="majorHAnsi" w:cstheme="majorHAnsi"/>
          <w:color w:val="2C2D5B"/>
        </w:rPr>
        <w:t xml:space="preserve">, </w:t>
      </w:r>
      <w:r w:rsidR="00040A23" w:rsidRPr="005E6E3A">
        <w:rPr>
          <w:rFonts w:asciiTheme="majorHAnsi" w:hAnsiTheme="majorHAnsi" w:cstheme="majorHAnsi"/>
          <w:color w:val="2C2D5B"/>
        </w:rPr>
        <w:t>t</w:t>
      </w:r>
      <w:r w:rsidRPr="005E6E3A">
        <w:rPr>
          <w:rFonts w:asciiTheme="majorHAnsi" w:hAnsiTheme="majorHAnsi" w:cstheme="majorHAnsi"/>
          <w:color w:val="2C2D5B"/>
        </w:rPr>
        <w:t xml:space="preserve">he ECtHR has </w:t>
      </w:r>
      <w:r w:rsidR="008220F8" w:rsidRPr="005E6E3A">
        <w:rPr>
          <w:rFonts w:asciiTheme="majorHAnsi" w:hAnsiTheme="majorHAnsi" w:cstheme="majorHAnsi"/>
          <w:color w:val="2C2D5B"/>
        </w:rPr>
        <w:t>ruled</w:t>
      </w:r>
      <w:r w:rsidRPr="005E6E3A">
        <w:rPr>
          <w:rFonts w:asciiTheme="majorHAnsi" w:hAnsiTheme="majorHAnsi" w:cstheme="majorHAnsi"/>
          <w:color w:val="2C2D5B"/>
        </w:rPr>
        <w:t xml:space="preserve"> that an unjustified refusal to </w:t>
      </w:r>
      <w:r w:rsidR="0078587B" w:rsidRPr="005E6E3A">
        <w:rPr>
          <w:rFonts w:asciiTheme="majorHAnsi" w:hAnsiTheme="majorHAnsi" w:cstheme="majorHAnsi"/>
          <w:color w:val="2C2D5B"/>
        </w:rPr>
        <w:t>send</w:t>
      </w:r>
      <w:r w:rsidRPr="005E6E3A">
        <w:rPr>
          <w:rFonts w:asciiTheme="majorHAnsi" w:hAnsiTheme="majorHAnsi" w:cstheme="majorHAnsi"/>
          <w:color w:val="2C2D5B"/>
        </w:rPr>
        <w:t xml:space="preserve"> a preliminary </w:t>
      </w:r>
      <w:r w:rsidR="0078587B" w:rsidRPr="005E6E3A">
        <w:rPr>
          <w:rFonts w:asciiTheme="majorHAnsi" w:hAnsiTheme="majorHAnsi" w:cstheme="majorHAnsi"/>
          <w:color w:val="2C2D5B"/>
        </w:rPr>
        <w:t>question</w:t>
      </w:r>
      <w:r w:rsidRPr="005E6E3A">
        <w:rPr>
          <w:rFonts w:asciiTheme="majorHAnsi" w:hAnsiTheme="majorHAnsi" w:cstheme="majorHAnsi"/>
          <w:color w:val="2C2D5B"/>
        </w:rPr>
        <w:t xml:space="preserve"> amounts to a </w:t>
      </w:r>
      <w:r w:rsidRPr="005E6E3A">
        <w:rPr>
          <w:rFonts w:asciiTheme="majorHAnsi" w:hAnsiTheme="majorHAnsi" w:cstheme="majorHAnsi"/>
          <w:b/>
          <w:bCs/>
          <w:color w:val="2C2D5B"/>
        </w:rPr>
        <w:t>breach of Article 6 ECHR</w:t>
      </w:r>
      <w:r w:rsidRPr="005E6E3A">
        <w:rPr>
          <w:rFonts w:asciiTheme="majorHAnsi" w:hAnsiTheme="majorHAnsi" w:cstheme="majorHAnsi"/>
          <w:color w:val="2C2D5B"/>
        </w:rPr>
        <w:t>, as</w:t>
      </w:r>
      <w:r w:rsidR="008220F8" w:rsidRPr="005E6E3A">
        <w:rPr>
          <w:rFonts w:asciiTheme="majorHAnsi" w:hAnsiTheme="majorHAnsi" w:cstheme="majorHAnsi"/>
          <w:color w:val="2C2D5B"/>
        </w:rPr>
        <w:t xml:space="preserve"> established</w:t>
      </w:r>
      <w:r w:rsidRPr="005E6E3A">
        <w:rPr>
          <w:rFonts w:asciiTheme="majorHAnsi" w:hAnsiTheme="majorHAnsi" w:cstheme="majorHAnsi"/>
          <w:color w:val="2C2D5B"/>
        </w:rPr>
        <w:t xml:space="preserve"> in </w:t>
      </w:r>
      <w:r w:rsidR="002F07B8" w:rsidRPr="005E6E3A">
        <w:rPr>
          <w:rFonts w:asciiTheme="majorHAnsi" w:hAnsiTheme="majorHAnsi" w:cstheme="majorHAnsi"/>
          <w:color w:val="2C2D5B"/>
        </w:rPr>
        <w:t xml:space="preserve"> </w:t>
      </w:r>
      <w:r w:rsidRPr="005E6E3A">
        <w:rPr>
          <w:rFonts w:asciiTheme="majorHAnsi" w:hAnsiTheme="majorHAnsi" w:cstheme="majorHAnsi"/>
          <w:i/>
          <w:color w:val="2C2D5B"/>
        </w:rPr>
        <w:t>Dhabi v. Italy</w:t>
      </w:r>
      <w:r w:rsidR="00393251" w:rsidRPr="005E6E3A">
        <w:rPr>
          <w:rFonts w:asciiTheme="majorHAnsi" w:hAnsiTheme="majorHAnsi" w:cstheme="majorHAnsi"/>
          <w:i/>
          <w:color w:val="2C2D5B"/>
        </w:rPr>
        <w:t xml:space="preserve"> (</w:t>
      </w:r>
      <w:r w:rsidR="0060556B" w:rsidRPr="005E6E3A">
        <w:rPr>
          <w:rFonts w:asciiTheme="majorHAnsi" w:hAnsiTheme="majorHAnsi" w:cstheme="majorHAnsi"/>
          <w:iCs/>
          <w:color w:val="2C2D5B"/>
        </w:rPr>
        <w:t>ECHR, 8</w:t>
      </w:r>
      <w:r w:rsidR="008220F8" w:rsidRPr="005E6E3A">
        <w:rPr>
          <w:rFonts w:asciiTheme="majorHAnsi" w:hAnsiTheme="majorHAnsi" w:cstheme="majorHAnsi"/>
          <w:iCs/>
          <w:color w:val="2C2D5B"/>
        </w:rPr>
        <w:t xml:space="preserve"> April, 2014</w:t>
      </w:r>
      <w:r w:rsidR="00040A23" w:rsidRPr="005E6E3A">
        <w:rPr>
          <w:rFonts w:asciiTheme="majorHAnsi" w:hAnsiTheme="majorHAnsi" w:cstheme="majorHAnsi"/>
          <w:i/>
          <w:color w:val="2C2D5B"/>
        </w:rPr>
        <w:t xml:space="preserve">, </w:t>
      </w:r>
      <w:r w:rsidR="0039290B" w:rsidRPr="005E6E3A">
        <w:rPr>
          <w:rFonts w:asciiTheme="majorHAnsi" w:hAnsiTheme="majorHAnsi" w:cstheme="majorHAnsi"/>
          <w:i/>
          <w:color w:val="2C2D5B"/>
        </w:rPr>
        <w:t>Dhabi v. Italy)</w:t>
      </w:r>
      <w:r w:rsidRPr="005E6E3A">
        <w:rPr>
          <w:rFonts w:asciiTheme="majorHAnsi" w:hAnsiTheme="majorHAnsi" w:cstheme="majorHAnsi"/>
          <w:color w:val="2C2D5B"/>
        </w:rPr>
        <w:t>.</w:t>
      </w:r>
    </w:p>
    <w:p w14:paraId="2049F29F" w14:textId="0E8287DB" w:rsidR="008220F8" w:rsidRPr="005E6E3A" w:rsidRDefault="002A0BDA" w:rsidP="00A72B0B">
      <w:pPr>
        <w:pStyle w:val="Odstavecseseznamem"/>
        <w:numPr>
          <w:ilvl w:val="0"/>
          <w:numId w:val="16"/>
        </w:numPr>
        <w:spacing w:after="120" w:line="276" w:lineRule="auto"/>
        <w:jc w:val="both"/>
        <w:rPr>
          <w:rFonts w:asciiTheme="majorHAnsi" w:hAnsiTheme="majorHAnsi" w:cstheme="majorHAnsi"/>
          <w:color w:val="2C2D5B"/>
        </w:rPr>
      </w:pPr>
      <w:r w:rsidRPr="005E6E3A">
        <w:rPr>
          <w:rFonts w:asciiTheme="majorHAnsi" w:hAnsiTheme="majorHAnsi" w:cstheme="majorHAnsi"/>
          <w:color w:val="2C2D5B"/>
        </w:rPr>
        <w:t xml:space="preserve">In addition, the Member State may incur </w:t>
      </w:r>
      <w:r w:rsidRPr="005E6E3A">
        <w:rPr>
          <w:rFonts w:asciiTheme="majorHAnsi" w:hAnsiTheme="majorHAnsi" w:cstheme="majorHAnsi"/>
          <w:b/>
          <w:bCs/>
          <w:color w:val="2C2D5B"/>
        </w:rPr>
        <w:t xml:space="preserve">liability for damages to </w:t>
      </w:r>
      <w:r w:rsidR="008220F8" w:rsidRPr="005E6E3A">
        <w:rPr>
          <w:rFonts w:asciiTheme="majorHAnsi" w:hAnsiTheme="majorHAnsi" w:cstheme="majorHAnsi"/>
          <w:b/>
          <w:bCs/>
          <w:color w:val="2C2D5B"/>
        </w:rPr>
        <w:t>the</w:t>
      </w:r>
      <w:r w:rsidR="006235FE" w:rsidRPr="005E6E3A">
        <w:rPr>
          <w:rFonts w:asciiTheme="majorHAnsi" w:hAnsiTheme="majorHAnsi" w:cstheme="majorHAnsi"/>
          <w:b/>
          <w:bCs/>
          <w:color w:val="2C2D5B"/>
        </w:rPr>
        <w:t xml:space="preserve"> </w:t>
      </w:r>
      <w:r w:rsidR="008220F8" w:rsidRPr="005E6E3A">
        <w:rPr>
          <w:rFonts w:asciiTheme="majorHAnsi" w:hAnsiTheme="majorHAnsi" w:cstheme="majorHAnsi"/>
          <w:b/>
          <w:bCs/>
          <w:color w:val="2C2D5B"/>
        </w:rPr>
        <w:t xml:space="preserve">affected </w:t>
      </w:r>
      <w:r w:rsidRPr="005E6E3A">
        <w:rPr>
          <w:rFonts w:asciiTheme="majorHAnsi" w:hAnsiTheme="majorHAnsi" w:cstheme="majorHAnsi"/>
          <w:b/>
          <w:bCs/>
          <w:color w:val="2C2D5B"/>
        </w:rPr>
        <w:t xml:space="preserve"> party</w:t>
      </w:r>
      <w:r w:rsidR="008220F8" w:rsidRPr="005E6E3A">
        <w:rPr>
          <w:rFonts w:asciiTheme="majorHAnsi" w:hAnsiTheme="majorHAnsi" w:cstheme="majorHAnsi"/>
          <w:b/>
          <w:bCs/>
          <w:color w:val="2C2D5B"/>
        </w:rPr>
        <w:t>,</w:t>
      </w:r>
      <w:r w:rsidR="008220F8" w:rsidRPr="005E6E3A">
        <w:rPr>
          <w:rFonts w:asciiTheme="majorHAnsi" w:hAnsiTheme="majorHAnsi" w:cstheme="majorHAnsi"/>
          <w:color w:val="2C2D5B"/>
        </w:rPr>
        <w:t xml:space="preserve"> leading </w:t>
      </w:r>
      <w:r w:rsidRPr="005E6E3A">
        <w:rPr>
          <w:rFonts w:asciiTheme="majorHAnsi" w:hAnsiTheme="majorHAnsi" w:cstheme="majorHAnsi"/>
          <w:color w:val="2C2D5B"/>
        </w:rPr>
        <w:t>to the corresponding procedural actions.</w:t>
      </w:r>
      <w:r w:rsidR="0078587B" w:rsidRPr="005E6E3A">
        <w:rPr>
          <w:rFonts w:asciiTheme="majorHAnsi" w:hAnsiTheme="majorHAnsi" w:cstheme="majorHAnsi"/>
          <w:color w:val="2C2D5B"/>
        </w:rPr>
        <w:t xml:space="preserve"> </w:t>
      </w:r>
    </w:p>
    <w:p w14:paraId="1DE9C5F3" w14:textId="06B264DD" w:rsidR="008220F8" w:rsidRPr="005E6E3A" w:rsidRDefault="008220F8" w:rsidP="00A72B0B">
      <w:pPr>
        <w:pStyle w:val="Odstavecseseznamem"/>
        <w:numPr>
          <w:ilvl w:val="0"/>
          <w:numId w:val="16"/>
        </w:numPr>
        <w:spacing w:after="120" w:line="276" w:lineRule="auto"/>
        <w:jc w:val="both"/>
        <w:rPr>
          <w:rFonts w:asciiTheme="majorHAnsi" w:hAnsiTheme="majorHAnsi" w:cstheme="majorHAnsi"/>
          <w:color w:val="2C2D5B"/>
        </w:rPr>
      </w:pPr>
      <w:r w:rsidRPr="005E6E3A">
        <w:rPr>
          <w:rFonts w:asciiTheme="majorHAnsi" w:hAnsiTheme="majorHAnsi" w:cstheme="majorHAnsi"/>
          <w:color w:val="2C2D5B"/>
        </w:rPr>
        <w:t xml:space="preserve">Furthermore, it is possible that the omission </w:t>
      </w:r>
      <w:r w:rsidR="002A0BDA" w:rsidRPr="005E6E3A">
        <w:rPr>
          <w:rFonts w:asciiTheme="majorHAnsi" w:hAnsiTheme="majorHAnsi" w:cstheme="majorHAnsi"/>
          <w:color w:val="2C2D5B"/>
        </w:rPr>
        <w:t>of a preliminary referral c</w:t>
      </w:r>
      <w:r w:rsidRPr="005E6E3A">
        <w:rPr>
          <w:rFonts w:asciiTheme="majorHAnsi" w:hAnsiTheme="majorHAnsi" w:cstheme="majorHAnsi"/>
          <w:color w:val="2C2D5B"/>
        </w:rPr>
        <w:t xml:space="preserve">ould </w:t>
      </w:r>
      <w:r w:rsidR="002A0BDA" w:rsidRPr="005E6E3A">
        <w:rPr>
          <w:rFonts w:asciiTheme="majorHAnsi" w:hAnsiTheme="majorHAnsi" w:cstheme="majorHAnsi"/>
          <w:color w:val="2C2D5B"/>
        </w:rPr>
        <w:t xml:space="preserve">affect the validity of the </w:t>
      </w:r>
      <w:r w:rsidRPr="005E6E3A">
        <w:rPr>
          <w:rFonts w:asciiTheme="majorHAnsi" w:hAnsiTheme="majorHAnsi" w:cstheme="majorHAnsi"/>
          <w:color w:val="2C2D5B"/>
        </w:rPr>
        <w:t xml:space="preserve">national court’s </w:t>
      </w:r>
      <w:r w:rsidR="002A0BDA" w:rsidRPr="005E6E3A">
        <w:rPr>
          <w:rFonts w:asciiTheme="majorHAnsi" w:hAnsiTheme="majorHAnsi" w:cstheme="majorHAnsi"/>
          <w:color w:val="2C2D5B"/>
        </w:rPr>
        <w:t>judgment. Therefore, it is possible to try to reopen a case if, after the decision of</w:t>
      </w:r>
      <w:r w:rsidRPr="005E6E3A">
        <w:rPr>
          <w:rFonts w:asciiTheme="majorHAnsi" w:hAnsiTheme="majorHAnsi" w:cstheme="majorHAnsi"/>
          <w:color w:val="2C2D5B"/>
        </w:rPr>
        <w:t xml:space="preserve"> the national court</w:t>
      </w:r>
      <w:r w:rsidR="002A0BDA" w:rsidRPr="005E6E3A">
        <w:rPr>
          <w:rFonts w:asciiTheme="majorHAnsi" w:hAnsiTheme="majorHAnsi" w:cstheme="majorHAnsi"/>
          <w:color w:val="2C2D5B"/>
        </w:rPr>
        <w:t>, it is clear that this court made an error in terms of EU law.</w:t>
      </w:r>
      <w:r w:rsidR="0078587B" w:rsidRPr="005E6E3A">
        <w:rPr>
          <w:rFonts w:asciiTheme="majorHAnsi" w:hAnsiTheme="majorHAnsi" w:cstheme="majorHAnsi"/>
          <w:color w:val="2C2D5B"/>
        </w:rPr>
        <w:t xml:space="preserve"> </w:t>
      </w:r>
    </w:p>
    <w:p w14:paraId="6EEA2B23" w14:textId="6BB11217" w:rsidR="002A0BDA" w:rsidRPr="005E6E3A" w:rsidRDefault="008220F8" w:rsidP="008B4B98">
      <w:pPr>
        <w:pStyle w:val="Odstavecseseznamem"/>
        <w:numPr>
          <w:ilvl w:val="0"/>
          <w:numId w:val="16"/>
        </w:numPr>
        <w:spacing w:after="120" w:line="276" w:lineRule="auto"/>
        <w:jc w:val="both"/>
        <w:rPr>
          <w:rFonts w:asciiTheme="majorHAnsi" w:hAnsiTheme="majorHAnsi" w:cstheme="majorHAnsi"/>
          <w:color w:val="2C2D5B"/>
        </w:rPr>
      </w:pPr>
      <w:r w:rsidRPr="005E6E3A">
        <w:rPr>
          <w:rFonts w:asciiTheme="majorHAnsi" w:hAnsiTheme="majorHAnsi" w:cstheme="majorHAnsi"/>
          <w:color w:val="2C2D5B"/>
        </w:rPr>
        <w:t>Lastly</w:t>
      </w:r>
      <w:r w:rsidR="00EA44CF" w:rsidRPr="005E6E3A">
        <w:rPr>
          <w:rFonts w:asciiTheme="majorHAnsi" w:hAnsiTheme="majorHAnsi" w:cstheme="majorHAnsi"/>
          <w:color w:val="2C2D5B"/>
        </w:rPr>
        <w:t>, the information can be forwarded to the European Commission to evaluate the possibility of opening an infringement procedure of EU law.</w:t>
      </w:r>
    </w:p>
    <w:p w14:paraId="767AF18A" w14:textId="510BC962" w:rsidR="002F1AC8" w:rsidRPr="002F1AC8" w:rsidRDefault="00C32062" w:rsidP="002F1AC8">
      <w:pPr>
        <w:pStyle w:val="Odstavecseseznamem"/>
        <w:rPr>
          <w:rFonts w:ascii="Calibri" w:hAnsi="Calibri" w:cs="Calibri"/>
        </w:rPr>
      </w:pPr>
      <w:r w:rsidRPr="00832A7C">
        <w:rPr>
          <w:rFonts w:ascii="Calibri" w:hAnsi="Calibri" w:cs="Calibri"/>
          <w:noProof/>
          <w:color w:val="1F1F1F"/>
        </w:rPr>
        <w:drawing>
          <wp:anchor distT="0" distB="0" distL="114300" distR="114300" simplePos="0" relativeHeight="251955200" behindDoc="0" locked="0" layoutInCell="1" allowOverlap="1" wp14:anchorId="66B0BF8D" wp14:editId="392CD810">
            <wp:simplePos x="0" y="0"/>
            <wp:positionH relativeFrom="column">
              <wp:posOffset>5508625</wp:posOffset>
            </wp:positionH>
            <wp:positionV relativeFrom="paragraph">
              <wp:posOffset>26952</wp:posOffset>
            </wp:positionV>
            <wp:extent cx="530578" cy="476506"/>
            <wp:effectExtent l="0" t="0" r="3175" b="0"/>
            <wp:wrapNone/>
            <wp:docPr id="1473750305" name="Image 1" descr="Une image contenant clipart, dessin humoristique, jouet,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894797" name="Image 1" descr="Une image contenant clipart, dessin humoristique, jouet, illustration&#10;&#10;Description générée automatiquement"/>
                    <pic:cNvPicPr/>
                  </pic:nvPicPr>
                  <pic:blipFill>
                    <a:blip r:embed="rId52">
                      <a:extLst>
                        <a:ext uri="{28A0092B-C50C-407E-A947-70E740481C1C}">
                          <a14:useLocalDpi xmlns:a14="http://schemas.microsoft.com/office/drawing/2010/main" val="0"/>
                        </a:ext>
                      </a:extLst>
                    </a:blip>
                    <a:stretch>
                      <a:fillRect/>
                    </a:stretch>
                  </pic:blipFill>
                  <pic:spPr>
                    <a:xfrm>
                      <a:off x="0" y="0"/>
                      <a:ext cx="530578" cy="476506"/>
                    </a:xfrm>
                    <a:prstGeom prst="rect">
                      <a:avLst/>
                    </a:prstGeom>
                  </pic:spPr>
                </pic:pic>
              </a:graphicData>
            </a:graphic>
            <wp14:sizeRelH relativeFrom="page">
              <wp14:pctWidth>0</wp14:pctWidth>
            </wp14:sizeRelH>
            <wp14:sizeRelV relativeFrom="page">
              <wp14:pctHeight>0</wp14:pctHeight>
            </wp14:sizeRelV>
          </wp:anchor>
        </w:drawing>
      </w:r>
    </w:p>
    <w:p w14:paraId="4FFD70E4" w14:textId="16AADBA2" w:rsidR="002F1AC8" w:rsidRPr="005A6959" w:rsidRDefault="00C32062" w:rsidP="002F1AC8">
      <w:pPr>
        <w:pStyle w:val="Odstavecseseznamem"/>
        <w:spacing w:after="120" w:line="276" w:lineRule="auto"/>
        <w:jc w:val="both"/>
        <w:rPr>
          <w:rFonts w:ascii="Calibri" w:hAnsi="Calibri" w:cs="Calibri"/>
        </w:rPr>
      </w:pPr>
      <w:r>
        <w:rPr>
          <w:rFonts w:ascii="Calibri" w:hAnsi="Calibri" w:cs="Calibri"/>
          <w:noProof/>
          <w14:ligatures w14:val="standardContextual"/>
        </w:rPr>
        <mc:AlternateContent>
          <mc:Choice Requires="wps">
            <w:drawing>
              <wp:anchor distT="0" distB="0" distL="114300" distR="114300" simplePos="0" relativeHeight="251794432" behindDoc="0" locked="0" layoutInCell="1" allowOverlap="1" wp14:anchorId="7F0E73EC" wp14:editId="3FDEEC88">
                <wp:simplePos x="0" y="0"/>
                <wp:positionH relativeFrom="column">
                  <wp:posOffset>-120015</wp:posOffset>
                </wp:positionH>
                <wp:positionV relativeFrom="paragraph">
                  <wp:posOffset>75071</wp:posOffset>
                </wp:positionV>
                <wp:extent cx="5962320" cy="1309511"/>
                <wp:effectExtent l="0" t="0" r="19685" b="24130"/>
                <wp:wrapNone/>
                <wp:docPr id="4551329" name="Rectangle : coins arrondis 69"/>
                <wp:cNvGraphicFramePr/>
                <a:graphic xmlns:a="http://schemas.openxmlformats.org/drawingml/2006/main">
                  <a:graphicData uri="http://schemas.microsoft.com/office/word/2010/wordprocessingShape">
                    <wps:wsp>
                      <wps:cNvSpPr/>
                      <wps:spPr>
                        <a:xfrm>
                          <a:off x="0" y="0"/>
                          <a:ext cx="5962320" cy="1309511"/>
                        </a:xfrm>
                        <a:prstGeom prst="roundRect">
                          <a:avLst/>
                        </a:prstGeom>
                        <a:solidFill>
                          <a:schemeClr val="bg1"/>
                        </a:solidFill>
                        <a:ln w="19050">
                          <a:solidFill>
                            <a:srgbClr val="C9CAE5"/>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4578368" w14:textId="7681DBEE" w:rsidR="002F1AC8" w:rsidRPr="00C32062" w:rsidRDefault="002F1AC8" w:rsidP="002F1AC8">
                            <w:pPr>
                              <w:spacing w:after="120" w:line="276" w:lineRule="auto"/>
                              <w:jc w:val="both"/>
                              <w:rPr>
                                <w:rFonts w:ascii="Calibri" w:hAnsi="Calibri" w:cs="Calibri"/>
                                <w:i/>
                                <w:iCs/>
                                <w:color w:val="2C2D5B"/>
                                <w:sz w:val="22"/>
                                <w:szCs w:val="22"/>
                              </w:rPr>
                            </w:pPr>
                            <w:r w:rsidRPr="00C32062">
                              <w:rPr>
                                <w:rFonts w:ascii="Calibri" w:hAnsi="Calibri" w:cs="Calibri"/>
                                <w:b/>
                                <w:bCs/>
                                <w:i/>
                                <w:iCs/>
                                <w:color w:val="2C2D5B"/>
                                <w:sz w:val="22"/>
                                <w:szCs w:val="22"/>
                              </w:rPr>
                              <w:t>Strategy tip</w:t>
                            </w:r>
                            <w:r w:rsidR="005E6E3A" w:rsidRPr="00C32062">
                              <w:rPr>
                                <w:rFonts w:ascii="Calibri" w:hAnsi="Calibri" w:cs="Calibri"/>
                                <w:b/>
                                <w:bCs/>
                                <w:i/>
                                <w:iCs/>
                                <w:color w:val="2C2D5B"/>
                                <w:sz w:val="22"/>
                                <w:szCs w:val="22"/>
                              </w:rPr>
                              <w:t xml:space="preserve"> </w:t>
                            </w:r>
                            <w:r w:rsidRPr="00C32062">
                              <w:rPr>
                                <w:rFonts w:ascii="Calibri" w:hAnsi="Calibri" w:cs="Calibri"/>
                                <w:b/>
                                <w:bCs/>
                                <w:i/>
                                <w:iCs/>
                                <w:color w:val="2C2D5B"/>
                                <w:sz w:val="22"/>
                                <w:szCs w:val="22"/>
                              </w:rPr>
                              <w:t xml:space="preserve">: </w:t>
                            </w:r>
                            <w:r w:rsidRPr="00C32062">
                              <w:rPr>
                                <w:rFonts w:ascii="Calibri" w:hAnsi="Calibri" w:cs="Calibri"/>
                                <w:i/>
                                <w:iCs/>
                                <w:color w:val="2C2D5B"/>
                                <w:sz w:val="22"/>
                                <w:szCs w:val="22"/>
                              </w:rPr>
                              <w:t>If a national court unjustifiably refuses to refer a preliminary question to the CJEU,</w:t>
                            </w:r>
                          </w:p>
                          <w:p w14:paraId="5C591FF2" w14:textId="77777777" w:rsidR="002F1AC8" w:rsidRPr="00C32062" w:rsidRDefault="002F1AC8" w:rsidP="00253E61">
                            <w:pPr>
                              <w:pStyle w:val="Odstavecseseznamem"/>
                              <w:numPr>
                                <w:ilvl w:val="1"/>
                                <w:numId w:val="35"/>
                              </w:numPr>
                              <w:spacing w:after="120" w:line="276" w:lineRule="auto"/>
                              <w:jc w:val="both"/>
                              <w:rPr>
                                <w:rFonts w:ascii="Calibri" w:hAnsi="Calibri" w:cs="Calibri"/>
                                <w:i/>
                                <w:iCs/>
                                <w:color w:val="2C2D5B"/>
                                <w:sz w:val="22"/>
                                <w:szCs w:val="22"/>
                              </w:rPr>
                            </w:pPr>
                            <w:r w:rsidRPr="00C32062">
                              <w:rPr>
                                <w:rFonts w:ascii="Calibri" w:hAnsi="Calibri" w:cs="Calibri"/>
                                <w:i/>
                                <w:iCs/>
                                <w:color w:val="2C2D5B"/>
                                <w:sz w:val="22"/>
                                <w:szCs w:val="22"/>
                              </w:rPr>
                              <w:t xml:space="preserve">Consider arguing a violation of Art 47 of the Charter and Article 6 of the ECHR. </w:t>
                            </w:r>
                          </w:p>
                          <w:p w14:paraId="62389B61" w14:textId="77777777" w:rsidR="002F1AC8" w:rsidRPr="00C32062" w:rsidRDefault="002F1AC8" w:rsidP="00253E61">
                            <w:pPr>
                              <w:pStyle w:val="Odstavecseseznamem"/>
                              <w:numPr>
                                <w:ilvl w:val="1"/>
                                <w:numId w:val="35"/>
                              </w:numPr>
                              <w:spacing w:after="120" w:line="276" w:lineRule="auto"/>
                              <w:jc w:val="both"/>
                              <w:rPr>
                                <w:rFonts w:ascii="Calibri" w:hAnsi="Calibri" w:cs="Calibri"/>
                                <w:i/>
                                <w:iCs/>
                                <w:color w:val="2C2D5B"/>
                                <w:sz w:val="22"/>
                                <w:szCs w:val="22"/>
                              </w:rPr>
                            </w:pPr>
                            <w:r w:rsidRPr="00C32062">
                              <w:rPr>
                                <w:rFonts w:ascii="Calibri" w:hAnsi="Calibri" w:cs="Calibri"/>
                                <w:i/>
                                <w:iCs/>
                                <w:color w:val="2C2D5B"/>
                                <w:sz w:val="22"/>
                                <w:szCs w:val="22"/>
                              </w:rPr>
                              <w:t xml:space="preserve">Assess State liability for damages to the affected party, </w:t>
                            </w:r>
                          </w:p>
                          <w:p w14:paraId="60B352FA" w14:textId="121C4966" w:rsidR="002F1AC8" w:rsidRPr="00C32062" w:rsidRDefault="002F1AC8" w:rsidP="00253E61">
                            <w:pPr>
                              <w:pStyle w:val="Odstavecseseznamem"/>
                              <w:numPr>
                                <w:ilvl w:val="1"/>
                                <w:numId w:val="35"/>
                              </w:numPr>
                              <w:spacing w:after="120" w:line="276" w:lineRule="auto"/>
                              <w:jc w:val="both"/>
                              <w:rPr>
                                <w:rFonts w:ascii="Calibri" w:hAnsi="Calibri" w:cs="Calibri"/>
                                <w:i/>
                                <w:iCs/>
                                <w:color w:val="000000" w:themeColor="text1"/>
                                <w:sz w:val="22"/>
                                <w:szCs w:val="22"/>
                              </w:rPr>
                            </w:pPr>
                            <w:r w:rsidRPr="00C32062">
                              <w:rPr>
                                <w:rFonts w:ascii="Calibri" w:hAnsi="Calibri" w:cs="Calibri"/>
                                <w:i/>
                                <w:iCs/>
                                <w:color w:val="2C2D5B"/>
                                <w:sz w:val="22"/>
                                <w:szCs w:val="22"/>
                              </w:rPr>
                              <w:t xml:space="preserve">Explore reopening the case due to an EU law error and notify the European Commission for potential infringement </w:t>
                            </w:r>
                            <w:r w:rsidRPr="00C32062">
                              <w:rPr>
                                <w:rFonts w:ascii="Calibri" w:hAnsi="Calibri" w:cs="Calibri"/>
                                <w:i/>
                                <w:iCs/>
                                <w:sz w:val="22"/>
                                <w:szCs w:val="22"/>
                              </w:rPr>
                              <w:t>procedure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F0E73EC" id="Rectangle : coins arrondis 69" o:spid="_x0000_s1058" style="position:absolute;left:0;text-align:left;margin-left:-9.45pt;margin-top:5.9pt;width:469.45pt;height:103.1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k/HngIAAKoFAAAOAAAAZHJzL2Uyb0RvYy54bWysVMFu2zAMvQ/YPwi6r7aTpluCOEWQrsOA&#10;og3aDj0rshQbkEVNUmJnXz9Kdpy0K3YYdpEpkXwkn0nOr9takb2wrgKd0+wipURoDkWltzn98Xz7&#10;6QslzjNdMAVa5PQgHL1efPwwb8xMjKAEVQhLEES7WWNyWnpvZknieClq5i7ACI1KCbZmHq92mxSW&#10;NYheq2SUpldJA7YwFrhwDl9vOiVdRHwpBfcPUjrhicop5ubjaeO5CWeymLPZ1jJTVrxPg/1DFjWr&#10;NAYdoG6YZ2Rnqz+g6opbcCD9BYc6ASkrLmINWE2WvqnmqWRGxFqQHGcGmtz/g+X3+yeztkhDY9zM&#10;oRiqaKWtwxfzI20k6zCQJVpPOD5Oplej8Qg55ajLxul0kmWBzuTkbqzz3wTUJAg5tbDTxSP+ksgU&#10;298539kf7UJIB6oqbiul4iW0gVgpS/YMf+Bme4zwykpp0mAK03SSRuRXSme3mwFgNV0tv076LM/M&#10;MGelMfUTB1HyByVCGko/CkmqAqsedRFe58U4F9pnnapkhejSzSZpGjsM4WNDh0oiQREwIEssdMDu&#10;Ad7H7pjq7YOriN09OPel/8158IiRQfvBua402PcqU1hVH7mzP5LUURNY8u2mRW5yOh4F0/C0geKw&#10;tsRCN27O8NsKO+COOb9mFucLuwZ3hn/AQyrAnwe9REkJ9td778Ee2x61lDQ4rzl1P3fMCkrUd40D&#10;Mc0uL8OAx8vl5HPoTHuu2Zxr9K5eAXZUhtvJ8CgGe6+OorRQv+BqWYaoqGKaY+yccm+Pl5Xv9ggu&#10;Jy6Wy2iGQ22Yv9NPhgfwQHRo7uf2hVnTj4HHCbqH42yz2ZtB6GyDp4blzoOs4pSceO1/AS6E2Ev9&#10;8gob5/werU4rdvEbAAD//wMAUEsDBBQABgAIAAAAIQB9uNtb3gAAAAoBAAAPAAAAZHJzL2Rvd25y&#10;ZXYueG1sTI9BS8NAFITvgv9heYK3dpNaQhKzKSKI4EVse+hxk31mY7NvQ3bbxH/v86THYYaZb6rd&#10;4gZxxSn0nhSk6wQEUutNT52C4+FllYMIUZPRgydU8I0BdvXtTaVL42f6wOs+doJLKJRagY1xLKUM&#10;rUWnw9qPSOx9+snpyHLqpJn0zOVukJskyaTTPfGC1SM+W2zP+4tT8Prwdijs3Phjel7M13u/PWXZ&#10;Vqn7u+XpEUTEJf6F4Ref0aFmpsZfyAQxKFilecFRNlK+wIGC90A0CjZpnoCsK/n/Qv0DAAD//wMA&#10;UEsBAi0AFAAGAAgAAAAhALaDOJL+AAAA4QEAABMAAAAAAAAAAAAAAAAAAAAAAFtDb250ZW50X1R5&#10;cGVzXS54bWxQSwECLQAUAAYACAAAACEAOP0h/9YAAACUAQAACwAAAAAAAAAAAAAAAAAvAQAAX3Jl&#10;bHMvLnJlbHNQSwECLQAUAAYACAAAACEArhZPx54CAACqBQAADgAAAAAAAAAAAAAAAAAuAgAAZHJz&#10;L2Uyb0RvYy54bWxQSwECLQAUAAYACAAAACEAfbjbW94AAAAKAQAADwAAAAAAAAAAAAAAAAD4BAAA&#10;ZHJzL2Rvd25yZXYueG1sUEsFBgAAAAAEAAQA8wAAAAMGAAAAAA==&#10;" fillcolor="white [3212]" strokecolor="#c9cae5" strokeweight="1.5pt">
                <v:stroke joinstyle="miter"/>
                <v:textbox>
                  <w:txbxContent>
                    <w:p w14:paraId="74578368" w14:textId="7681DBEE" w:rsidR="002F1AC8" w:rsidRPr="00C32062" w:rsidRDefault="002F1AC8" w:rsidP="002F1AC8">
                      <w:pPr>
                        <w:spacing w:after="120" w:line="276" w:lineRule="auto"/>
                        <w:jc w:val="both"/>
                        <w:rPr>
                          <w:rFonts w:ascii="Calibri" w:hAnsi="Calibri" w:cs="Calibri"/>
                          <w:i/>
                          <w:iCs/>
                          <w:color w:val="2C2D5B"/>
                          <w:sz w:val="22"/>
                          <w:szCs w:val="22"/>
                        </w:rPr>
                      </w:pPr>
                      <w:r w:rsidRPr="00C32062">
                        <w:rPr>
                          <w:rFonts w:ascii="Calibri" w:hAnsi="Calibri" w:cs="Calibri"/>
                          <w:b/>
                          <w:bCs/>
                          <w:i/>
                          <w:iCs/>
                          <w:color w:val="2C2D5B"/>
                          <w:sz w:val="22"/>
                          <w:szCs w:val="22"/>
                        </w:rPr>
                        <w:t>Strategy tip</w:t>
                      </w:r>
                      <w:r w:rsidR="005E6E3A" w:rsidRPr="00C32062">
                        <w:rPr>
                          <w:rFonts w:ascii="Calibri" w:hAnsi="Calibri" w:cs="Calibri"/>
                          <w:b/>
                          <w:bCs/>
                          <w:i/>
                          <w:iCs/>
                          <w:color w:val="2C2D5B"/>
                          <w:sz w:val="22"/>
                          <w:szCs w:val="22"/>
                        </w:rPr>
                        <w:t xml:space="preserve"> </w:t>
                      </w:r>
                      <w:r w:rsidRPr="00C32062">
                        <w:rPr>
                          <w:rFonts w:ascii="Calibri" w:hAnsi="Calibri" w:cs="Calibri"/>
                          <w:b/>
                          <w:bCs/>
                          <w:i/>
                          <w:iCs/>
                          <w:color w:val="2C2D5B"/>
                          <w:sz w:val="22"/>
                          <w:szCs w:val="22"/>
                        </w:rPr>
                        <w:t xml:space="preserve">: </w:t>
                      </w:r>
                      <w:r w:rsidRPr="00C32062">
                        <w:rPr>
                          <w:rFonts w:ascii="Calibri" w:hAnsi="Calibri" w:cs="Calibri"/>
                          <w:i/>
                          <w:iCs/>
                          <w:color w:val="2C2D5B"/>
                          <w:sz w:val="22"/>
                          <w:szCs w:val="22"/>
                        </w:rPr>
                        <w:t>If a national court unjustifiably refuses to refer a preliminary question to the CJEU,</w:t>
                      </w:r>
                    </w:p>
                    <w:p w14:paraId="5C591FF2" w14:textId="77777777" w:rsidR="002F1AC8" w:rsidRPr="00C32062" w:rsidRDefault="002F1AC8" w:rsidP="00253E61">
                      <w:pPr>
                        <w:pStyle w:val="Paragraphedeliste"/>
                        <w:numPr>
                          <w:ilvl w:val="1"/>
                          <w:numId w:val="35"/>
                        </w:numPr>
                        <w:spacing w:after="120" w:line="276" w:lineRule="auto"/>
                        <w:jc w:val="both"/>
                        <w:rPr>
                          <w:rFonts w:ascii="Calibri" w:hAnsi="Calibri" w:cs="Calibri"/>
                          <w:i/>
                          <w:iCs/>
                          <w:color w:val="2C2D5B"/>
                          <w:sz w:val="22"/>
                          <w:szCs w:val="22"/>
                        </w:rPr>
                      </w:pPr>
                      <w:r w:rsidRPr="00C32062">
                        <w:rPr>
                          <w:rFonts w:ascii="Calibri" w:hAnsi="Calibri" w:cs="Calibri"/>
                          <w:i/>
                          <w:iCs/>
                          <w:color w:val="2C2D5B"/>
                          <w:sz w:val="22"/>
                          <w:szCs w:val="22"/>
                        </w:rPr>
                        <w:t xml:space="preserve">Consider arguing a violation of Art 47 of the Charter and Article 6 of the ECHR. </w:t>
                      </w:r>
                    </w:p>
                    <w:p w14:paraId="62389B61" w14:textId="77777777" w:rsidR="002F1AC8" w:rsidRPr="00C32062" w:rsidRDefault="002F1AC8" w:rsidP="00253E61">
                      <w:pPr>
                        <w:pStyle w:val="Paragraphedeliste"/>
                        <w:numPr>
                          <w:ilvl w:val="1"/>
                          <w:numId w:val="35"/>
                        </w:numPr>
                        <w:spacing w:after="120" w:line="276" w:lineRule="auto"/>
                        <w:jc w:val="both"/>
                        <w:rPr>
                          <w:rFonts w:ascii="Calibri" w:hAnsi="Calibri" w:cs="Calibri"/>
                          <w:i/>
                          <w:iCs/>
                          <w:color w:val="2C2D5B"/>
                          <w:sz w:val="22"/>
                          <w:szCs w:val="22"/>
                        </w:rPr>
                      </w:pPr>
                      <w:r w:rsidRPr="00C32062">
                        <w:rPr>
                          <w:rFonts w:ascii="Calibri" w:hAnsi="Calibri" w:cs="Calibri"/>
                          <w:i/>
                          <w:iCs/>
                          <w:color w:val="2C2D5B"/>
                          <w:sz w:val="22"/>
                          <w:szCs w:val="22"/>
                        </w:rPr>
                        <w:t xml:space="preserve">Assess State liability for damages to the affected party, </w:t>
                      </w:r>
                    </w:p>
                    <w:p w14:paraId="60B352FA" w14:textId="121C4966" w:rsidR="002F1AC8" w:rsidRPr="00C32062" w:rsidRDefault="002F1AC8" w:rsidP="00253E61">
                      <w:pPr>
                        <w:pStyle w:val="Paragraphedeliste"/>
                        <w:numPr>
                          <w:ilvl w:val="1"/>
                          <w:numId w:val="35"/>
                        </w:numPr>
                        <w:spacing w:after="120" w:line="276" w:lineRule="auto"/>
                        <w:jc w:val="both"/>
                        <w:rPr>
                          <w:rFonts w:ascii="Calibri" w:hAnsi="Calibri" w:cs="Calibri"/>
                          <w:i/>
                          <w:iCs/>
                          <w:color w:val="000000" w:themeColor="text1"/>
                          <w:sz w:val="22"/>
                          <w:szCs w:val="22"/>
                        </w:rPr>
                      </w:pPr>
                      <w:r w:rsidRPr="00C32062">
                        <w:rPr>
                          <w:rFonts w:ascii="Calibri" w:hAnsi="Calibri" w:cs="Calibri"/>
                          <w:i/>
                          <w:iCs/>
                          <w:color w:val="2C2D5B"/>
                          <w:sz w:val="22"/>
                          <w:szCs w:val="22"/>
                        </w:rPr>
                        <w:t xml:space="preserve">Explore reopening the case due to an EU law error and notify the European Commission for potential infringement </w:t>
                      </w:r>
                      <w:r w:rsidRPr="00C32062">
                        <w:rPr>
                          <w:rFonts w:ascii="Calibri" w:hAnsi="Calibri" w:cs="Calibri"/>
                          <w:i/>
                          <w:iCs/>
                          <w:sz w:val="22"/>
                          <w:szCs w:val="22"/>
                        </w:rPr>
                        <w:t>procedure</w:t>
                      </w:r>
                    </w:p>
                  </w:txbxContent>
                </v:textbox>
              </v:roundrect>
            </w:pict>
          </mc:Fallback>
        </mc:AlternateContent>
      </w:r>
    </w:p>
    <w:p w14:paraId="30FA90B3" w14:textId="642A97BB" w:rsidR="00A72B0B" w:rsidRPr="005A6959" w:rsidRDefault="00A72B0B" w:rsidP="00327D5A">
      <w:pPr>
        <w:pStyle w:val="Odstavecseseznamem"/>
        <w:rPr>
          <w:rFonts w:ascii="Calibri" w:hAnsi="Calibri" w:cs="Calibri"/>
        </w:rPr>
      </w:pPr>
    </w:p>
    <w:p w14:paraId="282A20FC" w14:textId="2744A6C2" w:rsidR="002F1AC8" w:rsidRDefault="002F1AC8" w:rsidP="002F1AC8">
      <w:pPr>
        <w:spacing w:after="120" w:line="276" w:lineRule="auto"/>
        <w:jc w:val="both"/>
        <w:rPr>
          <w:rFonts w:ascii="Calibri" w:hAnsi="Calibri" w:cs="Calibri"/>
          <w:i/>
          <w:iCs/>
        </w:rPr>
      </w:pPr>
    </w:p>
    <w:p w14:paraId="3B622223" w14:textId="1CD34453" w:rsidR="002F1AC8" w:rsidRDefault="002F1AC8" w:rsidP="002F1AC8">
      <w:pPr>
        <w:spacing w:after="120" w:line="276" w:lineRule="auto"/>
        <w:jc w:val="both"/>
        <w:rPr>
          <w:rFonts w:ascii="Calibri" w:hAnsi="Calibri" w:cs="Calibri"/>
          <w:i/>
          <w:iCs/>
        </w:rPr>
      </w:pPr>
    </w:p>
    <w:p w14:paraId="119C6110" w14:textId="67D34C18" w:rsidR="002F1AC8" w:rsidRDefault="002F1AC8" w:rsidP="002F1AC8">
      <w:pPr>
        <w:spacing w:after="120" w:line="276" w:lineRule="auto"/>
        <w:jc w:val="both"/>
        <w:rPr>
          <w:rFonts w:ascii="Calibri" w:hAnsi="Calibri" w:cs="Calibri"/>
          <w:i/>
          <w:iCs/>
        </w:rPr>
      </w:pPr>
    </w:p>
    <w:p w14:paraId="549DBBD2" w14:textId="32E6BDFB" w:rsidR="002F1AC8" w:rsidRDefault="002F1AC8" w:rsidP="002F1AC8">
      <w:pPr>
        <w:spacing w:after="120" w:line="276" w:lineRule="auto"/>
        <w:jc w:val="both"/>
        <w:rPr>
          <w:rFonts w:ascii="Calibri" w:hAnsi="Calibri" w:cs="Calibri"/>
          <w:i/>
          <w:iCs/>
        </w:rPr>
      </w:pPr>
    </w:p>
    <w:p w14:paraId="02CFFD47" w14:textId="77777777" w:rsidR="006235FE" w:rsidRDefault="006235FE" w:rsidP="002F1AC8">
      <w:pPr>
        <w:spacing w:after="120" w:line="276" w:lineRule="auto"/>
        <w:jc w:val="both"/>
        <w:rPr>
          <w:rFonts w:ascii="Calibri" w:hAnsi="Calibri" w:cs="Calibri"/>
          <w:i/>
          <w:iCs/>
        </w:rPr>
      </w:pPr>
    </w:p>
    <w:p w14:paraId="05C858A2" w14:textId="77777777" w:rsidR="00BE2184" w:rsidRDefault="00BE2184" w:rsidP="002F1AC8">
      <w:pPr>
        <w:spacing w:after="120" w:line="276" w:lineRule="auto"/>
        <w:jc w:val="both"/>
        <w:rPr>
          <w:rFonts w:asciiTheme="majorHAnsi" w:hAnsiTheme="majorHAnsi" w:cstheme="majorHAnsi"/>
        </w:rPr>
      </w:pPr>
    </w:p>
    <w:p w14:paraId="2389B0E4" w14:textId="77777777" w:rsidR="000E6FF3" w:rsidRDefault="000E6FF3" w:rsidP="002F1AC8">
      <w:pPr>
        <w:spacing w:after="120" w:line="276" w:lineRule="auto"/>
        <w:jc w:val="both"/>
        <w:rPr>
          <w:rFonts w:asciiTheme="majorHAnsi" w:hAnsiTheme="majorHAnsi" w:cstheme="majorHAnsi"/>
        </w:rPr>
      </w:pPr>
    </w:p>
    <w:p w14:paraId="50070206" w14:textId="77777777" w:rsidR="000E6FF3" w:rsidRPr="000E6FF3" w:rsidRDefault="000E6FF3" w:rsidP="002F1AC8">
      <w:pPr>
        <w:spacing w:after="120" w:line="276" w:lineRule="auto"/>
        <w:jc w:val="both"/>
        <w:rPr>
          <w:rFonts w:asciiTheme="majorHAnsi" w:hAnsiTheme="majorHAnsi" w:cstheme="majorHAnsi"/>
          <w:color w:val="2C2D5B"/>
        </w:rPr>
      </w:pPr>
    </w:p>
    <w:p w14:paraId="08B6DF7B" w14:textId="7453DB0A" w:rsidR="00EE3A32" w:rsidRPr="000E6FF3" w:rsidRDefault="00067BC0" w:rsidP="002F1AC8">
      <w:pPr>
        <w:spacing w:after="120" w:line="276" w:lineRule="auto"/>
        <w:jc w:val="both"/>
        <w:rPr>
          <w:rFonts w:asciiTheme="majorHAnsi" w:hAnsiTheme="majorHAnsi" w:cstheme="majorHAnsi"/>
          <w:i/>
          <w:iCs/>
          <w:color w:val="2C2D5B"/>
        </w:rPr>
      </w:pPr>
      <w:r w:rsidRPr="000E6FF3">
        <w:rPr>
          <w:rFonts w:asciiTheme="majorHAnsi" w:hAnsiTheme="majorHAnsi" w:cstheme="majorHAnsi"/>
          <w:color w:val="2C2D5B"/>
        </w:rPr>
        <w:t xml:space="preserve">Regarding </w:t>
      </w:r>
      <w:r w:rsidR="008F1F7C" w:rsidRPr="000E6FF3">
        <w:rPr>
          <w:rFonts w:asciiTheme="majorHAnsi" w:hAnsiTheme="majorHAnsi" w:cstheme="majorHAnsi"/>
          <w:color w:val="2C2D5B"/>
        </w:rPr>
        <w:t>the proceeding, it is</w:t>
      </w:r>
      <w:r w:rsidRPr="000E6FF3">
        <w:rPr>
          <w:rFonts w:asciiTheme="majorHAnsi" w:hAnsiTheme="majorHAnsi" w:cstheme="majorHAnsi"/>
          <w:color w:val="2C2D5B"/>
        </w:rPr>
        <w:t xml:space="preserve"> ultimately</w:t>
      </w:r>
      <w:r w:rsidR="008F1F7C" w:rsidRPr="000E6FF3">
        <w:rPr>
          <w:rFonts w:asciiTheme="majorHAnsi" w:hAnsiTheme="majorHAnsi" w:cstheme="majorHAnsi"/>
          <w:color w:val="2C2D5B"/>
        </w:rPr>
        <w:t xml:space="preserve"> up to the national court to decide </w:t>
      </w:r>
      <w:r w:rsidRPr="000E6FF3">
        <w:rPr>
          <w:rFonts w:asciiTheme="majorHAnsi" w:hAnsiTheme="majorHAnsi" w:cstheme="majorHAnsi"/>
          <w:color w:val="2C2D5B"/>
        </w:rPr>
        <w:t xml:space="preserve">whether </w:t>
      </w:r>
      <w:r w:rsidR="008F1F7C" w:rsidRPr="000E6FF3">
        <w:rPr>
          <w:rFonts w:asciiTheme="majorHAnsi" w:hAnsiTheme="majorHAnsi" w:cstheme="majorHAnsi"/>
          <w:color w:val="2C2D5B"/>
        </w:rPr>
        <w:t xml:space="preserve">to request the preliminary ruling, </w:t>
      </w:r>
      <w:r w:rsidRPr="000E6FF3">
        <w:rPr>
          <w:rFonts w:asciiTheme="majorHAnsi" w:hAnsiTheme="majorHAnsi" w:cstheme="majorHAnsi"/>
          <w:color w:val="2C2D5B"/>
        </w:rPr>
        <w:t xml:space="preserve">either </w:t>
      </w:r>
      <w:r w:rsidR="008F1F7C" w:rsidRPr="000E6FF3">
        <w:rPr>
          <w:rFonts w:asciiTheme="majorHAnsi" w:hAnsiTheme="majorHAnsi" w:cstheme="majorHAnsi"/>
          <w:i/>
          <w:iCs/>
          <w:color w:val="2C2D5B"/>
        </w:rPr>
        <w:t xml:space="preserve">ex officio </w:t>
      </w:r>
      <w:r w:rsidR="008F1F7C" w:rsidRPr="000E6FF3">
        <w:rPr>
          <w:rFonts w:asciiTheme="majorHAnsi" w:hAnsiTheme="majorHAnsi" w:cstheme="majorHAnsi"/>
          <w:color w:val="2C2D5B"/>
        </w:rPr>
        <w:t>or</w:t>
      </w:r>
      <w:r w:rsidR="00EE3A32" w:rsidRPr="000E6FF3">
        <w:rPr>
          <w:rFonts w:asciiTheme="majorHAnsi" w:hAnsiTheme="majorHAnsi" w:cstheme="majorHAnsi"/>
          <w:color w:val="2C2D5B"/>
        </w:rPr>
        <w:t xml:space="preserve"> at the request of a party. If </w:t>
      </w:r>
      <w:r w:rsidR="008F1F7C" w:rsidRPr="000E6FF3">
        <w:rPr>
          <w:rFonts w:asciiTheme="majorHAnsi" w:hAnsiTheme="majorHAnsi" w:cstheme="majorHAnsi"/>
          <w:color w:val="2C2D5B"/>
        </w:rPr>
        <w:t>t</w:t>
      </w:r>
      <w:r w:rsidR="00EE3A32" w:rsidRPr="000E6FF3">
        <w:rPr>
          <w:rFonts w:asciiTheme="majorHAnsi" w:hAnsiTheme="majorHAnsi" w:cstheme="majorHAnsi"/>
          <w:color w:val="2C2D5B"/>
        </w:rPr>
        <w:t>he court</w:t>
      </w:r>
      <w:r w:rsidR="008F1F7C" w:rsidRPr="000E6FF3">
        <w:rPr>
          <w:rFonts w:asciiTheme="majorHAnsi" w:hAnsiTheme="majorHAnsi" w:cstheme="majorHAnsi"/>
          <w:color w:val="2C2D5B"/>
        </w:rPr>
        <w:t xml:space="preserve"> decides to request it, the main </w:t>
      </w:r>
      <w:r w:rsidR="00C25CFD" w:rsidRPr="000E6FF3">
        <w:rPr>
          <w:rFonts w:asciiTheme="majorHAnsi" w:hAnsiTheme="majorHAnsi" w:cstheme="majorHAnsi"/>
          <w:color w:val="2C2D5B"/>
        </w:rPr>
        <w:t>proceeding is</w:t>
      </w:r>
      <w:r w:rsidRPr="000E6FF3">
        <w:rPr>
          <w:rFonts w:asciiTheme="majorHAnsi" w:hAnsiTheme="majorHAnsi" w:cstheme="majorHAnsi"/>
          <w:color w:val="2C2D5B"/>
        </w:rPr>
        <w:t xml:space="preserve"> suspended</w:t>
      </w:r>
      <w:r w:rsidR="00A72B0B" w:rsidRPr="000E6FF3">
        <w:rPr>
          <w:rFonts w:asciiTheme="majorHAnsi" w:hAnsiTheme="majorHAnsi" w:cstheme="majorHAnsi"/>
          <w:color w:val="2C2D5B"/>
        </w:rPr>
        <w:t xml:space="preserve"> </w:t>
      </w:r>
      <w:r w:rsidR="00C25CFD" w:rsidRPr="000E6FF3">
        <w:rPr>
          <w:rFonts w:asciiTheme="majorHAnsi" w:hAnsiTheme="majorHAnsi" w:cstheme="majorHAnsi"/>
          <w:color w:val="2C2D5B"/>
        </w:rPr>
        <w:t xml:space="preserve">until the </w:t>
      </w:r>
      <w:r w:rsidR="008F1F7C" w:rsidRPr="000E6FF3">
        <w:rPr>
          <w:rFonts w:asciiTheme="majorHAnsi" w:hAnsiTheme="majorHAnsi" w:cstheme="majorHAnsi"/>
          <w:color w:val="2C2D5B"/>
        </w:rPr>
        <w:t>CJ</w:t>
      </w:r>
      <w:r w:rsidR="00C25CFD" w:rsidRPr="000E6FF3">
        <w:rPr>
          <w:rFonts w:asciiTheme="majorHAnsi" w:hAnsiTheme="majorHAnsi" w:cstheme="majorHAnsi"/>
          <w:color w:val="2C2D5B"/>
        </w:rPr>
        <w:t xml:space="preserve">EU </w:t>
      </w:r>
      <w:r w:rsidRPr="000E6FF3">
        <w:rPr>
          <w:rFonts w:asciiTheme="majorHAnsi" w:hAnsiTheme="majorHAnsi" w:cstheme="majorHAnsi"/>
          <w:color w:val="2C2D5B"/>
        </w:rPr>
        <w:t xml:space="preserve">issues a ruling. Issuing a decision </w:t>
      </w:r>
      <w:r w:rsidR="00EE3A32" w:rsidRPr="000E6FF3">
        <w:rPr>
          <w:rFonts w:asciiTheme="majorHAnsi" w:hAnsiTheme="majorHAnsi" w:cstheme="majorHAnsi"/>
          <w:color w:val="2C2D5B"/>
        </w:rPr>
        <w:t xml:space="preserve">before the </w:t>
      </w:r>
      <w:r w:rsidRPr="000E6FF3">
        <w:rPr>
          <w:rFonts w:asciiTheme="majorHAnsi" w:hAnsiTheme="majorHAnsi" w:cstheme="majorHAnsi"/>
          <w:color w:val="2C2D5B"/>
        </w:rPr>
        <w:t xml:space="preserve">CJEU’s response </w:t>
      </w:r>
      <w:r w:rsidR="00EE3A32" w:rsidRPr="000E6FF3">
        <w:rPr>
          <w:rFonts w:asciiTheme="majorHAnsi" w:hAnsiTheme="majorHAnsi" w:cstheme="majorHAnsi"/>
          <w:color w:val="2C2D5B"/>
        </w:rPr>
        <w:t xml:space="preserve">would be contrary to the </w:t>
      </w:r>
      <w:r w:rsidR="00EE3A32" w:rsidRPr="000E6FF3">
        <w:rPr>
          <w:rFonts w:asciiTheme="majorHAnsi" w:hAnsiTheme="majorHAnsi" w:cstheme="majorHAnsi"/>
          <w:b/>
          <w:bCs/>
          <w:color w:val="2C2D5B"/>
        </w:rPr>
        <w:t>principle of loyal cooperation</w:t>
      </w:r>
      <w:r w:rsidR="00EE3A32" w:rsidRPr="000E6FF3">
        <w:rPr>
          <w:rFonts w:asciiTheme="majorHAnsi" w:hAnsiTheme="majorHAnsi" w:cstheme="majorHAnsi"/>
          <w:color w:val="2C2D5B"/>
        </w:rPr>
        <w:t xml:space="preserve"> enshrined in </w:t>
      </w:r>
      <w:r w:rsidRPr="000E6FF3">
        <w:rPr>
          <w:rFonts w:asciiTheme="majorHAnsi" w:hAnsiTheme="majorHAnsi" w:cstheme="majorHAnsi"/>
          <w:color w:val="2C2D5B"/>
        </w:rPr>
        <w:t>A</w:t>
      </w:r>
      <w:r w:rsidR="00EE3A32" w:rsidRPr="000E6FF3">
        <w:rPr>
          <w:rFonts w:asciiTheme="majorHAnsi" w:hAnsiTheme="majorHAnsi" w:cstheme="majorHAnsi"/>
          <w:color w:val="2C2D5B"/>
        </w:rPr>
        <w:t xml:space="preserve">rt. 4 TUE and would undermine the </w:t>
      </w:r>
      <w:r w:rsidR="00EE3A32" w:rsidRPr="000E6FF3">
        <w:rPr>
          <w:rFonts w:asciiTheme="majorHAnsi" w:hAnsiTheme="majorHAnsi" w:cstheme="majorHAnsi"/>
          <w:b/>
          <w:bCs/>
          <w:i/>
          <w:color w:val="2C2D5B"/>
        </w:rPr>
        <w:t>effet utile</w:t>
      </w:r>
      <w:r w:rsidR="00EE3A32" w:rsidRPr="000E6FF3">
        <w:rPr>
          <w:rFonts w:asciiTheme="majorHAnsi" w:hAnsiTheme="majorHAnsi" w:cstheme="majorHAnsi"/>
          <w:b/>
          <w:bCs/>
          <w:color w:val="2C2D5B"/>
        </w:rPr>
        <w:t xml:space="preserve"> </w:t>
      </w:r>
      <w:r w:rsidR="00EE3A32" w:rsidRPr="000E6FF3">
        <w:rPr>
          <w:rFonts w:asciiTheme="majorHAnsi" w:hAnsiTheme="majorHAnsi" w:cstheme="majorHAnsi"/>
          <w:color w:val="2C2D5B"/>
        </w:rPr>
        <w:t>of art. 267 TFEU.</w:t>
      </w:r>
    </w:p>
    <w:p w14:paraId="61CC2D79" w14:textId="368475C7" w:rsidR="008F1F7C" w:rsidRPr="000E6FF3" w:rsidRDefault="00234C95" w:rsidP="00F37B27">
      <w:pPr>
        <w:spacing w:after="120" w:line="276" w:lineRule="auto"/>
        <w:jc w:val="both"/>
        <w:rPr>
          <w:rFonts w:asciiTheme="majorHAnsi" w:hAnsiTheme="majorHAnsi" w:cstheme="majorHAnsi"/>
          <w:color w:val="2C2D5B"/>
        </w:rPr>
      </w:pPr>
      <w:r w:rsidRPr="000E6FF3">
        <w:rPr>
          <w:rFonts w:asciiTheme="majorHAnsi" w:hAnsiTheme="majorHAnsi" w:cstheme="majorHAnsi"/>
          <w:color w:val="2C2D5B"/>
        </w:rPr>
        <w:t xml:space="preserve">Upon receiving a preliminary reference, </w:t>
      </w:r>
      <w:r w:rsidR="00AF3469" w:rsidRPr="000E6FF3">
        <w:rPr>
          <w:rFonts w:asciiTheme="majorHAnsi" w:hAnsiTheme="majorHAnsi" w:cstheme="majorHAnsi"/>
          <w:color w:val="2C2D5B"/>
        </w:rPr>
        <w:t>t</w:t>
      </w:r>
      <w:r w:rsidR="00C25CFD" w:rsidRPr="000E6FF3">
        <w:rPr>
          <w:rFonts w:asciiTheme="majorHAnsi" w:hAnsiTheme="majorHAnsi" w:cstheme="majorHAnsi"/>
          <w:color w:val="2C2D5B"/>
        </w:rPr>
        <w:t xml:space="preserve">he </w:t>
      </w:r>
      <w:r w:rsidR="008F1F7C" w:rsidRPr="000E6FF3">
        <w:rPr>
          <w:rFonts w:asciiTheme="majorHAnsi" w:hAnsiTheme="majorHAnsi" w:cstheme="majorHAnsi"/>
          <w:color w:val="2C2D5B"/>
        </w:rPr>
        <w:t>CJ</w:t>
      </w:r>
      <w:r w:rsidR="00C25CFD" w:rsidRPr="000E6FF3">
        <w:rPr>
          <w:rFonts w:asciiTheme="majorHAnsi" w:hAnsiTheme="majorHAnsi" w:cstheme="majorHAnsi"/>
          <w:color w:val="2C2D5B"/>
        </w:rPr>
        <w:t>EU</w:t>
      </w:r>
      <w:r w:rsidR="008F1F7C" w:rsidRPr="000E6FF3">
        <w:rPr>
          <w:rFonts w:asciiTheme="majorHAnsi" w:hAnsiTheme="majorHAnsi" w:cstheme="majorHAnsi"/>
          <w:color w:val="2C2D5B"/>
        </w:rPr>
        <w:t xml:space="preserve"> must admit the request and</w:t>
      </w:r>
      <w:r w:rsidRPr="000E6FF3">
        <w:rPr>
          <w:rFonts w:asciiTheme="majorHAnsi" w:hAnsiTheme="majorHAnsi" w:cstheme="majorHAnsi"/>
          <w:color w:val="2C2D5B"/>
        </w:rPr>
        <w:t xml:space="preserve"> generally,</w:t>
      </w:r>
      <w:r w:rsidR="008F1F7C" w:rsidRPr="000E6FF3">
        <w:rPr>
          <w:rFonts w:asciiTheme="majorHAnsi" w:hAnsiTheme="majorHAnsi" w:cstheme="majorHAnsi"/>
          <w:color w:val="2C2D5B"/>
        </w:rPr>
        <w:t xml:space="preserve"> does not assess the</w:t>
      </w:r>
      <w:r w:rsidR="00AF3469" w:rsidRPr="000E6FF3">
        <w:rPr>
          <w:rFonts w:asciiTheme="majorHAnsi" w:hAnsiTheme="majorHAnsi" w:cstheme="majorHAnsi"/>
          <w:color w:val="2C2D5B"/>
        </w:rPr>
        <w:t xml:space="preserve"> </w:t>
      </w:r>
      <w:r w:rsidRPr="000E6FF3">
        <w:rPr>
          <w:rFonts w:asciiTheme="majorHAnsi" w:hAnsiTheme="majorHAnsi" w:cstheme="majorHAnsi"/>
          <w:color w:val="2C2D5B"/>
        </w:rPr>
        <w:t>question’s relevance</w:t>
      </w:r>
      <w:r w:rsidR="008F1F7C" w:rsidRPr="000E6FF3">
        <w:rPr>
          <w:rFonts w:asciiTheme="majorHAnsi" w:hAnsiTheme="majorHAnsi" w:cstheme="majorHAnsi"/>
          <w:color w:val="2C2D5B"/>
        </w:rPr>
        <w:t xml:space="preserve">. However, </w:t>
      </w:r>
      <w:r w:rsidR="00C25CFD" w:rsidRPr="000E6FF3">
        <w:rPr>
          <w:rFonts w:asciiTheme="majorHAnsi" w:hAnsiTheme="majorHAnsi" w:cstheme="majorHAnsi"/>
          <w:color w:val="2C2D5B"/>
        </w:rPr>
        <w:t>the CJEU</w:t>
      </w:r>
      <w:r w:rsidRPr="000E6FF3">
        <w:rPr>
          <w:rFonts w:asciiTheme="majorHAnsi" w:hAnsiTheme="majorHAnsi" w:cstheme="majorHAnsi"/>
          <w:color w:val="2C2D5B"/>
        </w:rPr>
        <w:t xml:space="preserve"> may decline to rule if the question: falls outside the scope of an actual legal case, is</w:t>
      </w:r>
      <w:r w:rsidR="008F1F7C" w:rsidRPr="000E6FF3">
        <w:rPr>
          <w:rFonts w:asciiTheme="majorHAnsi" w:hAnsiTheme="majorHAnsi" w:cstheme="majorHAnsi"/>
          <w:color w:val="2C2D5B"/>
        </w:rPr>
        <w:t xml:space="preserve"> not directly related to the </w:t>
      </w:r>
      <w:r w:rsidRPr="000E6FF3">
        <w:rPr>
          <w:rFonts w:asciiTheme="majorHAnsi" w:hAnsiTheme="majorHAnsi" w:cstheme="majorHAnsi"/>
          <w:color w:val="2C2D5B"/>
        </w:rPr>
        <w:t>main</w:t>
      </w:r>
      <w:r w:rsidR="008F1F7C" w:rsidRPr="000E6FF3">
        <w:rPr>
          <w:rFonts w:asciiTheme="majorHAnsi" w:hAnsiTheme="majorHAnsi" w:cstheme="majorHAnsi"/>
          <w:color w:val="2C2D5B"/>
        </w:rPr>
        <w:t xml:space="preserve"> legal case; </w:t>
      </w:r>
      <w:r w:rsidRPr="000E6FF3">
        <w:rPr>
          <w:rFonts w:asciiTheme="majorHAnsi" w:hAnsiTheme="majorHAnsi" w:cstheme="majorHAnsi"/>
          <w:color w:val="2C2D5B"/>
        </w:rPr>
        <w:t xml:space="preserve">is </w:t>
      </w:r>
      <w:r w:rsidR="008F1F7C" w:rsidRPr="000E6FF3">
        <w:rPr>
          <w:rFonts w:asciiTheme="majorHAnsi" w:hAnsiTheme="majorHAnsi" w:cstheme="majorHAnsi"/>
          <w:color w:val="2C2D5B"/>
        </w:rPr>
        <w:t xml:space="preserve">not related to EU law; or </w:t>
      </w:r>
      <w:r w:rsidRPr="000E6FF3">
        <w:rPr>
          <w:rFonts w:asciiTheme="majorHAnsi" w:hAnsiTheme="majorHAnsi" w:cstheme="majorHAnsi"/>
          <w:color w:val="2C2D5B"/>
        </w:rPr>
        <w:t>lacks sufficient reasoning</w:t>
      </w:r>
      <w:r w:rsidR="00946CD8" w:rsidRPr="000E6FF3">
        <w:rPr>
          <w:rFonts w:asciiTheme="majorHAnsi" w:hAnsiTheme="majorHAnsi" w:cstheme="majorHAnsi"/>
          <w:color w:val="2C2D5B"/>
        </w:rPr>
        <w:t xml:space="preserve">. </w:t>
      </w:r>
      <w:r w:rsidR="000C5AFA" w:rsidRPr="000E6FF3">
        <w:rPr>
          <w:rFonts w:asciiTheme="majorHAnsi" w:hAnsiTheme="majorHAnsi" w:cstheme="majorHAnsi"/>
          <w:color w:val="2C2D5B"/>
        </w:rPr>
        <w:t>The CJEU has the discretiona</w:t>
      </w:r>
      <w:r w:rsidR="00CB6313" w:rsidRPr="000E6FF3">
        <w:rPr>
          <w:rFonts w:asciiTheme="majorHAnsi" w:hAnsiTheme="majorHAnsi" w:cstheme="majorHAnsi"/>
          <w:color w:val="2C2D5B"/>
        </w:rPr>
        <w:t>ry</w:t>
      </w:r>
      <w:r w:rsidR="000C5AFA" w:rsidRPr="000E6FF3">
        <w:rPr>
          <w:rFonts w:asciiTheme="majorHAnsi" w:hAnsiTheme="majorHAnsi" w:cstheme="majorHAnsi"/>
          <w:color w:val="2C2D5B"/>
        </w:rPr>
        <w:t xml:space="preserve"> power to amend the order of the questions, group them, declare them inapplicable, formulate them in another manner, </w:t>
      </w:r>
      <w:r w:rsidR="006235FE" w:rsidRPr="000E6FF3">
        <w:rPr>
          <w:rFonts w:asciiTheme="majorHAnsi" w:hAnsiTheme="majorHAnsi" w:cstheme="majorHAnsi"/>
          <w:color w:val="2C2D5B"/>
        </w:rPr>
        <w:t xml:space="preserve">and </w:t>
      </w:r>
      <w:r w:rsidR="000C5AFA" w:rsidRPr="000E6FF3">
        <w:rPr>
          <w:rFonts w:asciiTheme="majorHAnsi" w:hAnsiTheme="majorHAnsi" w:cstheme="majorHAnsi"/>
          <w:color w:val="2C2D5B"/>
        </w:rPr>
        <w:t>answer questions that have not been asked or take into consideration provisions of EU law not raised in the request.</w:t>
      </w:r>
    </w:p>
    <w:p w14:paraId="010BD0C6" w14:textId="61C50665" w:rsidR="00A0418B" w:rsidRPr="000E6FF3" w:rsidRDefault="008F1F7C" w:rsidP="00F37B27">
      <w:pPr>
        <w:spacing w:after="120" w:line="276" w:lineRule="auto"/>
        <w:jc w:val="both"/>
        <w:rPr>
          <w:rFonts w:asciiTheme="majorHAnsi" w:hAnsiTheme="majorHAnsi" w:cstheme="majorHAnsi"/>
          <w:color w:val="2C2D5B"/>
        </w:rPr>
      </w:pPr>
      <w:r w:rsidRPr="000E6FF3">
        <w:rPr>
          <w:rFonts w:asciiTheme="majorHAnsi" w:hAnsiTheme="majorHAnsi" w:cstheme="majorHAnsi"/>
          <w:b/>
          <w:bCs/>
          <w:color w:val="2C2D5B"/>
        </w:rPr>
        <w:t>Preliminary rulings are binding for the court that submitted the request</w:t>
      </w:r>
      <w:r w:rsidRPr="000E6FF3">
        <w:rPr>
          <w:rFonts w:asciiTheme="majorHAnsi" w:hAnsiTheme="majorHAnsi" w:cstheme="majorHAnsi"/>
          <w:color w:val="2C2D5B"/>
        </w:rPr>
        <w:t xml:space="preserve">, that is, the decision answering the questions raised in the request binds the court for the ruling of the </w:t>
      </w:r>
      <w:r w:rsidR="00A0418B" w:rsidRPr="000E6FF3">
        <w:rPr>
          <w:rFonts w:asciiTheme="majorHAnsi" w:hAnsiTheme="majorHAnsi" w:cstheme="majorHAnsi"/>
          <w:color w:val="2C2D5B"/>
        </w:rPr>
        <w:t>main</w:t>
      </w:r>
      <w:r w:rsidRPr="000E6FF3">
        <w:rPr>
          <w:rFonts w:asciiTheme="majorHAnsi" w:hAnsiTheme="majorHAnsi" w:cstheme="majorHAnsi"/>
          <w:color w:val="2C2D5B"/>
        </w:rPr>
        <w:t xml:space="preserve"> legal case</w:t>
      </w:r>
      <w:r w:rsidR="006235FE" w:rsidRPr="000E6FF3">
        <w:rPr>
          <w:rFonts w:asciiTheme="majorHAnsi" w:hAnsiTheme="majorHAnsi" w:cstheme="majorHAnsi"/>
          <w:color w:val="2C2D5B"/>
        </w:rPr>
        <w:t xml:space="preserve">. </w:t>
      </w:r>
    </w:p>
    <w:p w14:paraId="18DC414B" w14:textId="77777777" w:rsidR="00AF3469" w:rsidRPr="000E6FF3" w:rsidRDefault="00A0418B" w:rsidP="00772BF1">
      <w:pPr>
        <w:spacing w:after="120" w:line="276" w:lineRule="auto"/>
        <w:jc w:val="both"/>
        <w:rPr>
          <w:rFonts w:asciiTheme="majorHAnsi" w:hAnsiTheme="majorHAnsi" w:cstheme="majorHAnsi"/>
          <w:color w:val="2C2D5B"/>
        </w:rPr>
      </w:pPr>
      <w:r w:rsidRPr="000E6FF3">
        <w:rPr>
          <w:rFonts w:asciiTheme="majorHAnsi" w:hAnsiTheme="majorHAnsi" w:cstheme="majorHAnsi"/>
          <w:b/>
          <w:bCs/>
          <w:color w:val="2C2D5B"/>
        </w:rPr>
        <w:t>Interpretative preliminary rulings</w:t>
      </w:r>
      <w:r w:rsidRPr="000E6FF3">
        <w:rPr>
          <w:rFonts w:asciiTheme="majorHAnsi" w:hAnsiTheme="majorHAnsi" w:cstheme="majorHAnsi"/>
          <w:color w:val="2C2D5B"/>
        </w:rPr>
        <w:t xml:space="preserve"> have general applicability and thus bind all national judges in similar cases.</w:t>
      </w:r>
      <w:r w:rsidR="008F1F7C" w:rsidRPr="000E6FF3">
        <w:rPr>
          <w:rFonts w:asciiTheme="majorHAnsi" w:hAnsiTheme="majorHAnsi" w:cstheme="majorHAnsi"/>
          <w:color w:val="2C2D5B"/>
        </w:rPr>
        <w:t xml:space="preserve"> </w:t>
      </w:r>
    </w:p>
    <w:p w14:paraId="1D78DCF1" w14:textId="3B7FE299" w:rsidR="00E744C3" w:rsidRDefault="008F1F7C" w:rsidP="00772BF1">
      <w:pPr>
        <w:spacing w:after="120" w:line="276" w:lineRule="auto"/>
        <w:jc w:val="both"/>
        <w:rPr>
          <w:rFonts w:asciiTheme="majorHAnsi" w:hAnsiTheme="majorHAnsi" w:cstheme="majorHAnsi"/>
        </w:rPr>
      </w:pPr>
      <w:r w:rsidRPr="000E6FF3">
        <w:rPr>
          <w:rFonts w:asciiTheme="majorHAnsi" w:hAnsiTheme="majorHAnsi" w:cstheme="majorHAnsi"/>
          <w:b/>
          <w:bCs/>
          <w:color w:val="2C2D5B"/>
        </w:rPr>
        <w:t>Preliminary rulings on validity</w:t>
      </w:r>
      <w:r w:rsidRPr="000E6FF3">
        <w:rPr>
          <w:rFonts w:asciiTheme="majorHAnsi" w:hAnsiTheme="majorHAnsi" w:cstheme="majorHAnsi"/>
          <w:color w:val="2C2D5B"/>
        </w:rPr>
        <w:t xml:space="preserve"> also have a general scope</w:t>
      </w:r>
      <w:r w:rsidR="00772BF1" w:rsidRPr="000E6FF3">
        <w:rPr>
          <w:rFonts w:asciiTheme="majorHAnsi" w:hAnsiTheme="majorHAnsi" w:cstheme="majorHAnsi"/>
          <w:color w:val="2C2D5B"/>
        </w:rPr>
        <w:t xml:space="preserve">: </w:t>
      </w:r>
      <w:r w:rsidRPr="000E6FF3">
        <w:rPr>
          <w:rFonts w:asciiTheme="majorHAnsi" w:hAnsiTheme="majorHAnsi" w:cstheme="majorHAnsi"/>
          <w:color w:val="2C2D5B"/>
        </w:rPr>
        <w:t xml:space="preserve"> if the CJ</w:t>
      </w:r>
      <w:r w:rsidR="00946CD8" w:rsidRPr="000E6FF3">
        <w:rPr>
          <w:rFonts w:asciiTheme="majorHAnsi" w:hAnsiTheme="majorHAnsi" w:cstheme="majorHAnsi"/>
          <w:color w:val="2C2D5B"/>
        </w:rPr>
        <w:t>EU</w:t>
      </w:r>
      <w:r w:rsidRPr="000E6FF3">
        <w:rPr>
          <w:rFonts w:asciiTheme="majorHAnsi" w:hAnsiTheme="majorHAnsi" w:cstheme="majorHAnsi"/>
          <w:color w:val="2C2D5B"/>
        </w:rPr>
        <w:t xml:space="preserve"> declares the act of EU law </w:t>
      </w:r>
      <w:r w:rsidR="00AF3469" w:rsidRPr="000E6FF3">
        <w:rPr>
          <w:rFonts w:asciiTheme="majorHAnsi" w:hAnsiTheme="majorHAnsi" w:cstheme="majorHAnsi"/>
          <w:color w:val="2C2D5B"/>
        </w:rPr>
        <w:t>i</w:t>
      </w:r>
      <w:r w:rsidRPr="000E6FF3">
        <w:rPr>
          <w:rFonts w:asciiTheme="majorHAnsi" w:hAnsiTheme="majorHAnsi" w:cstheme="majorHAnsi"/>
          <w:color w:val="2C2D5B"/>
        </w:rPr>
        <w:t xml:space="preserve">nvalid, the national court </w:t>
      </w:r>
      <w:r w:rsidR="00772BF1" w:rsidRPr="000E6FF3">
        <w:rPr>
          <w:rFonts w:asciiTheme="majorHAnsi" w:hAnsiTheme="majorHAnsi" w:cstheme="majorHAnsi"/>
          <w:color w:val="2C2D5B"/>
        </w:rPr>
        <w:t>must</w:t>
      </w:r>
      <w:r w:rsidR="00946CD8" w:rsidRPr="000E6FF3">
        <w:rPr>
          <w:rFonts w:asciiTheme="majorHAnsi" w:hAnsiTheme="majorHAnsi" w:cstheme="majorHAnsi"/>
          <w:color w:val="2C2D5B"/>
        </w:rPr>
        <w:t xml:space="preserve"> not apply it</w:t>
      </w:r>
      <w:r w:rsidR="00772BF1" w:rsidRPr="000E6FF3">
        <w:rPr>
          <w:rFonts w:asciiTheme="majorHAnsi" w:hAnsiTheme="majorHAnsi" w:cstheme="majorHAnsi"/>
          <w:color w:val="2C2D5B"/>
        </w:rPr>
        <w:t xml:space="preserve">, </w:t>
      </w:r>
      <w:r w:rsidRPr="000E6FF3">
        <w:rPr>
          <w:rFonts w:asciiTheme="majorHAnsi" w:hAnsiTheme="majorHAnsi" w:cstheme="majorHAnsi"/>
          <w:color w:val="2C2D5B"/>
        </w:rPr>
        <w:t>though</w:t>
      </w:r>
      <w:r w:rsidR="00946CD8" w:rsidRPr="000E6FF3">
        <w:rPr>
          <w:rFonts w:asciiTheme="majorHAnsi" w:hAnsiTheme="majorHAnsi" w:cstheme="majorHAnsi"/>
          <w:color w:val="2C2D5B"/>
        </w:rPr>
        <w:t>,</w:t>
      </w:r>
      <w:r w:rsidRPr="000E6FF3">
        <w:rPr>
          <w:rFonts w:asciiTheme="majorHAnsi" w:hAnsiTheme="majorHAnsi" w:cstheme="majorHAnsi"/>
          <w:color w:val="2C2D5B"/>
        </w:rPr>
        <w:t xml:space="preserve"> the act </w:t>
      </w:r>
      <w:r w:rsidR="00772BF1" w:rsidRPr="000E6FF3">
        <w:rPr>
          <w:rFonts w:asciiTheme="majorHAnsi" w:hAnsiTheme="majorHAnsi" w:cstheme="majorHAnsi"/>
          <w:color w:val="2C2D5B"/>
        </w:rPr>
        <w:t xml:space="preserve">formally </w:t>
      </w:r>
      <w:r w:rsidRPr="000E6FF3">
        <w:rPr>
          <w:rFonts w:asciiTheme="majorHAnsi" w:hAnsiTheme="majorHAnsi" w:cstheme="majorHAnsi"/>
          <w:color w:val="2C2D5B"/>
        </w:rPr>
        <w:t xml:space="preserve">remains </w:t>
      </w:r>
      <w:r w:rsidR="00772BF1" w:rsidRPr="000E6FF3">
        <w:rPr>
          <w:rFonts w:asciiTheme="majorHAnsi" w:hAnsiTheme="majorHAnsi" w:cstheme="majorHAnsi"/>
          <w:color w:val="2C2D5B"/>
        </w:rPr>
        <w:t>within</w:t>
      </w:r>
      <w:r w:rsidRPr="000E6FF3">
        <w:rPr>
          <w:rFonts w:asciiTheme="majorHAnsi" w:hAnsiTheme="majorHAnsi" w:cstheme="majorHAnsi"/>
          <w:color w:val="2C2D5B"/>
        </w:rPr>
        <w:t xml:space="preserve"> the EU legal system</w:t>
      </w:r>
      <w:r w:rsidR="00772BF1" w:rsidRPr="000E6FF3">
        <w:rPr>
          <w:rFonts w:asciiTheme="majorHAnsi" w:hAnsiTheme="majorHAnsi" w:cstheme="majorHAnsi"/>
          <w:color w:val="2C2D5B"/>
        </w:rPr>
        <w:t xml:space="preserve"> (it is not repealed).</w:t>
      </w:r>
      <w:r w:rsidR="00AF3469" w:rsidRPr="000E6FF3">
        <w:rPr>
          <w:rFonts w:asciiTheme="majorHAnsi" w:hAnsiTheme="majorHAnsi" w:cstheme="majorHAnsi"/>
          <w:color w:val="2C2D5B"/>
        </w:rPr>
        <w:t xml:space="preserve"> </w:t>
      </w:r>
      <w:r w:rsidR="002946A0" w:rsidRPr="000E6FF3">
        <w:rPr>
          <w:rFonts w:asciiTheme="majorHAnsi" w:hAnsiTheme="majorHAnsi" w:cstheme="majorHAnsi"/>
          <w:color w:val="2C2D5B"/>
        </w:rPr>
        <w:t>Sometimes, t</w:t>
      </w:r>
      <w:r w:rsidRPr="000E6FF3">
        <w:rPr>
          <w:rFonts w:asciiTheme="majorHAnsi" w:hAnsiTheme="majorHAnsi" w:cstheme="majorHAnsi"/>
          <w:color w:val="2C2D5B"/>
        </w:rPr>
        <w:t>he CJEU states that the alleged grounds for invalidity are not well-founded, although the validity of the act can subsequently be questioned for other reasons.</w:t>
      </w:r>
      <w:r w:rsidR="00662304" w:rsidRPr="000E6FF3">
        <w:rPr>
          <w:rFonts w:asciiTheme="majorHAnsi" w:hAnsiTheme="majorHAnsi" w:cstheme="majorHAnsi"/>
          <w:color w:val="2C2D5B"/>
        </w:rPr>
        <w:t xml:space="preserve"> </w:t>
      </w:r>
      <w:r w:rsidR="007458BA" w:rsidRPr="000E6FF3">
        <w:rPr>
          <w:rFonts w:asciiTheme="majorHAnsi" w:hAnsiTheme="majorHAnsi" w:cstheme="majorHAnsi"/>
          <w:color w:val="2C2D5B"/>
        </w:rPr>
        <w:t xml:space="preserve">In any case, </w:t>
      </w:r>
      <w:r w:rsidR="00662304" w:rsidRPr="000E6FF3">
        <w:rPr>
          <w:rFonts w:asciiTheme="majorHAnsi" w:hAnsiTheme="majorHAnsi" w:cstheme="majorHAnsi"/>
          <w:color w:val="2C2D5B"/>
        </w:rPr>
        <w:t xml:space="preserve">an EU act that does not comply with EU fundamental rights and cannot be interpreted in conformity with them </w:t>
      </w:r>
      <w:r w:rsidR="007458BA" w:rsidRPr="000E6FF3">
        <w:rPr>
          <w:rFonts w:asciiTheme="majorHAnsi" w:hAnsiTheme="majorHAnsi" w:cstheme="majorHAnsi"/>
          <w:color w:val="2C2D5B"/>
        </w:rPr>
        <w:t xml:space="preserve">can </w:t>
      </w:r>
      <w:r w:rsidR="00662304" w:rsidRPr="000E6FF3">
        <w:rPr>
          <w:rFonts w:asciiTheme="majorHAnsi" w:hAnsiTheme="majorHAnsi" w:cstheme="majorHAnsi"/>
          <w:color w:val="2C2D5B"/>
        </w:rPr>
        <w:t>be declared invalid by a preliminary ruling of the Court of Justice</w:t>
      </w:r>
      <w:r w:rsidR="007458BA" w:rsidRPr="000E6FF3">
        <w:rPr>
          <w:rFonts w:asciiTheme="majorHAnsi" w:hAnsiTheme="majorHAnsi" w:cstheme="majorHAnsi"/>
          <w:color w:val="2C2D5B"/>
        </w:rPr>
        <w:t xml:space="preserve"> </w:t>
      </w:r>
      <w:r w:rsidR="0069257E" w:rsidRPr="000E6FF3">
        <w:rPr>
          <w:rFonts w:asciiTheme="majorHAnsi" w:hAnsiTheme="majorHAnsi" w:cstheme="majorHAnsi"/>
          <w:color w:val="2C2D5B"/>
        </w:rPr>
        <w:t xml:space="preserve">(if the rule has not </w:t>
      </w:r>
      <w:r w:rsidR="007458BA" w:rsidRPr="000E6FF3">
        <w:rPr>
          <w:rFonts w:asciiTheme="majorHAnsi" w:hAnsiTheme="majorHAnsi" w:cstheme="majorHAnsi"/>
          <w:color w:val="2C2D5B"/>
        </w:rPr>
        <w:t>be</w:t>
      </w:r>
      <w:r w:rsidR="0069257E" w:rsidRPr="000E6FF3">
        <w:rPr>
          <w:rFonts w:asciiTheme="majorHAnsi" w:hAnsiTheme="majorHAnsi" w:cstheme="majorHAnsi"/>
          <w:color w:val="2C2D5B"/>
        </w:rPr>
        <w:t>en</w:t>
      </w:r>
      <w:r w:rsidR="007458BA" w:rsidRPr="000E6FF3">
        <w:rPr>
          <w:rFonts w:asciiTheme="majorHAnsi" w:hAnsiTheme="majorHAnsi" w:cstheme="majorHAnsi"/>
          <w:color w:val="2C2D5B"/>
        </w:rPr>
        <w:t xml:space="preserve"> </w:t>
      </w:r>
      <w:r w:rsidR="00EC1D3B" w:rsidRPr="000E6FF3">
        <w:rPr>
          <w:rFonts w:asciiTheme="majorHAnsi" w:hAnsiTheme="majorHAnsi" w:cstheme="majorHAnsi"/>
          <w:color w:val="2C2D5B"/>
        </w:rPr>
        <w:t>annulled</w:t>
      </w:r>
      <w:r w:rsidR="007458BA" w:rsidRPr="000E6FF3">
        <w:rPr>
          <w:rFonts w:asciiTheme="majorHAnsi" w:hAnsiTheme="majorHAnsi" w:cstheme="majorHAnsi"/>
          <w:color w:val="2C2D5B"/>
        </w:rPr>
        <w:t xml:space="preserve"> through an annulment action</w:t>
      </w:r>
      <w:r w:rsidR="0069257E" w:rsidRPr="000E6FF3">
        <w:rPr>
          <w:rFonts w:asciiTheme="majorHAnsi" w:hAnsiTheme="majorHAnsi" w:cstheme="majorHAnsi"/>
          <w:color w:val="2C2D5B"/>
        </w:rPr>
        <w:t>)</w:t>
      </w:r>
      <w:r w:rsidR="00662304" w:rsidRPr="000E6FF3">
        <w:rPr>
          <w:rFonts w:asciiTheme="majorHAnsi" w:hAnsiTheme="majorHAnsi" w:cstheme="majorHAnsi"/>
          <w:color w:val="2C2D5B"/>
        </w:rPr>
        <w:t>.</w:t>
      </w:r>
      <w:r w:rsidR="00E744C3">
        <w:rPr>
          <w:rFonts w:asciiTheme="majorHAnsi" w:hAnsiTheme="majorHAnsi" w:cstheme="majorHAnsi"/>
        </w:rPr>
        <w:br w:type="page"/>
      </w:r>
    </w:p>
    <w:p w14:paraId="459F2230" w14:textId="77777777" w:rsidR="00A71CA0" w:rsidRDefault="00A71CA0" w:rsidP="00772BF1">
      <w:pPr>
        <w:spacing w:after="120" w:line="276" w:lineRule="auto"/>
        <w:jc w:val="both"/>
        <w:rPr>
          <w:rFonts w:asciiTheme="majorHAnsi" w:hAnsiTheme="majorHAnsi" w:cstheme="majorHAnsi"/>
          <w:color w:val="BF8F00" w:themeColor="accent4" w:themeShade="BF"/>
        </w:rPr>
      </w:pPr>
    </w:p>
    <w:p w14:paraId="60C4D3FE" w14:textId="77777777" w:rsidR="000E6FF3" w:rsidRDefault="000E6FF3" w:rsidP="00772BF1">
      <w:pPr>
        <w:spacing w:after="120" w:line="276" w:lineRule="auto"/>
        <w:jc w:val="both"/>
        <w:rPr>
          <w:rFonts w:asciiTheme="majorHAnsi" w:hAnsiTheme="majorHAnsi" w:cstheme="majorHAnsi"/>
          <w:color w:val="BF8F00" w:themeColor="accent4" w:themeShade="BF"/>
        </w:rPr>
      </w:pPr>
    </w:p>
    <w:p w14:paraId="44A51FCD" w14:textId="77777777" w:rsidR="000E6FF3" w:rsidRDefault="000E6FF3" w:rsidP="00772BF1">
      <w:pPr>
        <w:spacing w:after="120" w:line="276" w:lineRule="auto"/>
        <w:jc w:val="both"/>
        <w:rPr>
          <w:rFonts w:asciiTheme="majorHAnsi" w:hAnsiTheme="majorHAnsi" w:cstheme="majorHAnsi"/>
          <w:color w:val="BF8F00" w:themeColor="accent4" w:themeShade="BF"/>
        </w:rPr>
      </w:pPr>
    </w:p>
    <w:p w14:paraId="5D864DBD" w14:textId="77777777" w:rsidR="000E6FF3" w:rsidRPr="004157AE" w:rsidRDefault="000E6FF3" w:rsidP="00772BF1">
      <w:pPr>
        <w:spacing w:after="120" w:line="276" w:lineRule="auto"/>
        <w:jc w:val="both"/>
        <w:rPr>
          <w:rFonts w:asciiTheme="majorHAnsi" w:hAnsiTheme="majorHAnsi" w:cstheme="majorHAnsi"/>
          <w:color w:val="BF8F00" w:themeColor="accent4" w:themeShade="BF"/>
        </w:rPr>
      </w:pPr>
    </w:p>
    <w:p w14:paraId="282BAC5B" w14:textId="0461220E" w:rsidR="005924C0" w:rsidRPr="004157AE" w:rsidRDefault="005924C0" w:rsidP="005924C0">
      <w:pPr>
        <w:spacing w:line="276" w:lineRule="auto"/>
        <w:jc w:val="both"/>
        <w:rPr>
          <w:rFonts w:ascii="Calibri Light" w:hAnsi="Calibri Light" w:cs="Calibri Light"/>
          <w:color w:val="BF8F00" w:themeColor="accent4" w:themeShade="BF"/>
        </w:rPr>
      </w:pPr>
      <w:r w:rsidRPr="004157AE">
        <w:rPr>
          <w:rFonts w:ascii="Calibri Light" w:hAnsi="Calibri Light" w:cs="Calibri Light"/>
          <w:b/>
          <w:bCs/>
          <w:color w:val="BF8F00" w:themeColor="accent4" w:themeShade="BF"/>
          <w:lang w:eastAsia="fr-FR"/>
        </w:rPr>
        <w:t>Step-by-Step</w:t>
      </w:r>
      <w:r w:rsidR="000E6FF3">
        <w:rPr>
          <w:rFonts w:ascii="Calibri Light" w:hAnsi="Calibri Light" w:cs="Calibri Light"/>
          <w:b/>
          <w:bCs/>
          <w:color w:val="BF8F00" w:themeColor="accent4" w:themeShade="BF"/>
          <w:lang w:eastAsia="fr-FR"/>
        </w:rPr>
        <w:t xml:space="preserve"> </w:t>
      </w:r>
      <w:r w:rsidRPr="004157AE">
        <w:rPr>
          <w:rFonts w:ascii="Calibri Light" w:hAnsi="Calibri Light" w:cs="Calibri Light"/>
          <w:b/>
          <w:bCs/>
          <w:color w:val="BF8F00" w:themeColor="accent4" w:themeShade="BF"/>
          <w:lang w:eastAsia="fr-FR"/>
        </w:rPr>
        <w:t>: Verifying the Charter's Applicability and Using Preliminary Reference</w:t>
      </w:r>
    </w:p>
    <w:p w14:paraId="2E7FD682" w14:textId="77777777" w:rsidR="005924C0" w:rsidRPr="000E6FF3" w:rsidRDefault="005924C0" w:rsidP="00BE2184">
      <w:pPr>
        <w:spacing w:before="100" w:beforeAutospacing="1" w:after="100" w:afterAutospacing="1"/>
        <w:jc w:val="both"/>
        <w:rPr>
          <w:rFonts w:ascii="Calibri Light" w:hAnsi="Calibri Light" w:cs="Calibri Light"/>
          <w:color w:val="2C2D5B"/>
          <w:lang w:eastAsia="fr-FR"/>
        </w:rPr>
      </w:pPr>
      <w:r w:rsidRPr="000E6FF3">
        <w:rPr>
          <w:rFonts w:ascii="Calibri Light" w:hAnsi="Calibri Light" w:cs="Calibri Light"/>
          <w:color w:val="2C2D5B"/>
          <w:lang w:eastAsia="fr-FR"/>
        </w:rPr>
        <w:t xml:space="preserve">A national environmental regulation imposes significant fines on companies that exceed emissions thresholds. A company challenges the fines, arguing they are disproportionate and violate the principle of proportionality under </w:t>
      </w:r>
      <w:r w:rsidRPr="000E6FF3">
        <w:rPr>
          <w:rFonts w:ascii="Calibri Light" w:hAnsi="Calibri Light" w:cs="Calibri Light"/>
          <w:b/>
          <w:bCs/>
          <w:color w:val="2C2D5B"/>
          <w:lang w:eastAsia="fr-FR"/>
        </w:rPr>
        <w:t>Article 52(1)</w:t>
      </w:r>
      <w:r w:rsidRPr="000E6FF3">
        <w:rPr>
          <w:rFonts w:ascii="Calibri Light" w:hAnsi="Calibri Light" w:cs="Calibri Light"/>
          <w:color w:val="2C2D5B"/>
          <w:lang w:eastAsia="fr-FR"/>
        </w:rPr>
        <w:t xml:space="preserve"> of the Charter. The national law was adopted to comply with an EU regulation on industrial emissions (</w:t>
      </w:r>
      <w:r w:rsidRPr="000E6FF3">
        <w:rPr>
          <w:rFonts w:ascii="Calibri Light" w:hAnsi="Calibri Light" w:cs="Calibri Light"/>
          <w:b/>
          <w:bCs/>
          <w:color w:val="2C2D5B"/>
          <w:lang w:eastAsia="fr-FR"/>
        </w:rPr>
        <w:t>Regulation 2010/75/EU</w:t>
      </w:r>
      <w:r w:rsidRPr="000E6FF3">
        <w:rPr>
          <w:rFonts w:ascii="Calibri Light" w:hAnsi="Calibri Light" w:cs="Calibri Light"/>
          <w:color w:val="2C2D5B"/>
          <w:lang w:eastAsia="fr-FR"/>
        </w:rPr>
        <w:t>). The national court is uncertain whether the Charter applies and whether the fines are compatible with EU law.</w:t>
      </w:r>
    </w:p>
    <w:p w14:paraId="7954FC95" w14:textId="1D643720" w:rsidR="005924C0" w:rsidRPr="00796F72" w:rsidRDefault="005924C0" w:rsidP="00BE2184">
      <w:pPr>
        <w:spacing w:before="100" w:beforeAutospacing="1" w:after="100" w:afterAutospacing="1"/>
        <w:jc w:val="both"/>
        <w:outlineLvl w:val="3"/>
        <w:rPr>
          <w:rFonts w:ascii="Calibri Light" w:hAnsi="Calibri Light" w:cs="Calibri Light"/>
          <w:b/>
          <w:bCs/>
          <w:color w:val="2C2D5B"/>
          <w:lang w:eastAsia="fr-FR"/>
        </w:rPr>
      </w:pPr>
      <w:r w:rsidRPr="00796F72">
        <w:rPr>
          <w:rFonts w:ascii="Calibri Light" w:hAnsi="Calibri Light" w:cs="Calibri Light"/>
          <w:b/>
          <w:bCs/>
          <w:color w:val="2C2D5B"/>
          <w:lang w:eastAsia="fr-FR"/>
        </w:rPr>
        <w:t>Instructions</w:t>
      </w:r>
      <w:r w:rsidR="000E6FF3" w:rsidRPr="00796F72">
        <w:rPr>
          <w:rFonts w:ascii="Calibri Light" w:hAnsi="Calibri Light" w:cs="Calibri Light"/>
          <w:b/>
          <w:bCs/>
          <w:color w:val="2C2D5B"/>
          <w:lang w:eastAsia="fr-FR"/>
        </w:rPr>
        <w:t xml:space="preserve"> </w:t>
      </w:r>
      <w:r w:rsidRPr="00796F72">
        <w:rPr>
          <w:rFonts w:ascii="Calibri Light" w:hAnsi="Calibri Light" w:cs="Calibri Light"/>
          <w:b/>
          <w:bCs/>
          <w:color w:val="2C2D5B"/>
          <w:lang w:eastAsia="fr-FR"/>
        </w:rPr>
        <w:t>:</w:t>
      </w:r>
    </w:p>
    <w:p w14:paraId="43E0E951" w14:textId="030E9EC2" w:rsidR="00071D61" w:rsidRPr="00796F72" w:rsidRDefault="005924C0" w:rsidP="00071D61">
      <w:pPr>
        <w:spacing w:before="100" w:beforeAutospacing="1" w:after="100" w:afterAutospacing="1"/>
        <w:jc w:val="both"/>
        <w:rPr>
          <w:rFonts w:ascii="Calibri Light" w:hAnsi="Calibri Light" w:cs="Calibri Light"/>
          <w:color w:val="2C2D5B"/>
          <w:lang w:eastAsia="fr-FR"/>
        </w:rPr>
      </w:pPr>
      <w:r w:rsidRPr="00796F72">
        <w:rPr>
          <w:rFonts w:ascii="Calibri Light" w:hAnsi="Calibri Light" w:cs="Calibri Light"/>
          <w:color w:val="2C2D5B"/>
          <w:lang w:eastAsia="fr-FR"/>
        </w:rPr>
        <w:t>You are the lawyer representing the company. Using the knowledge from this section, answer the following questions step by step to verify your understanding of how to approach a preliminary ruling request.</w:t>
      </w:r>
    </w:p>
    <w:p w14:paraId="5156A5D8" w14:textId="11995F12" w:rsidR="005924C0" w:rsidRPr="00796F72" w:rsidRDefault="005924C0" w:rsidP="00071D61">
      <w:pPr>
        <w:spacing w:before="100" w:beforeAutospacing="1" w:after="100" w:afterAutospacing="1"/>
        <w:jc w:val="both"/>
        <w:rPr>
          <w:rFonts w:ascii="Calibri Light" w:hAnsi="Calibri Light" w:cs="Calibri Light"/>
          <w:color w:val="4472C4" w:themeColor="accent1"/>
          <w:lang w:eastAsia="fr-FR"/>
        </w:rPr>
      </w:pPr>
      <w:r w:rsidRPr="00796F72">
        <w:rPr>
          <w:rFonts w:ascii="Calibri Light" w:hAnsi="Calibri Light" w:cs="Calibri Light"/>
          <w:b/>
          <w:bCs/>
          <w:color w:val="4472C4" w:themeColor="accent1"/>
          <w:lang w:eastAsia="fr-FR"/>
        </w:rPr>
        <w:t>Step 1: Applicability of the Charter</w:t>
      </w:r>
    </w:p>
    <w:p w14:paraId="042527AA" w14:textId="0CDF45DD" w:rsidR="005924C0" w:rsidRPr="00796F72" w:rsidRDefault="005924C0" w:rsidP="00BE2184">
      <w:pPr>
        <w:spacing w:before="100" w:beforeAutospacing="1" w:after="100" w:afterAutospacing="1"/>
        <w:jc w:val="both"/>
        <w:rPr>
          <w:rFonts w:ascii="Calibri Light" w:hAnsi="Calibri Light" w:cs="Calibri Light"/>
          <w:color w:val="2C2D5B"/>
          <w:lang w:eastAsia="fr-FR"/>
        </w:rPr>
      </w:pPr>
      <w:r w:rsidRPr="00796F72">
        <w:rPr>
          <w:rFonts w:ascii="Calibri Light" w:hAnsi="Calibri Light" w:cs="Calibri Light"/>
          <w:b/>
          <w:bCs/>
          <w:color w:val="2C2D5B"/>
          <w:lang w:eastAsia="fr-FR"/>
        </w:rPr>
        <w:t>Question 1</w:t>
      </w:r>
      <w:r w:rsidR="00796F72">
        <w:rPr>
          <w:rFonts w:ascii="Calibri Light" w:hAnsi="Calibri Light" w:cs="Calibri Light"/>
          <w:b/>
          <w:bCs/>
          <w:color w:val="2C2D5B"/>
          <w:lang w:eastAsia="fr-FR"/>
        </w:rPr>
        <w:t xml:space="preserve"> </w:t>
      </w:r>
      <w:r w:rsidRPr="00796F72">
        <w:rPr>
          <w:rFonts w:ascii="Calibri Light" w:hAnsi="Calibri Light" w:cs="Calibri Light"/>
          <w:color w:val="2C2D5B"/>
          <w:lang w:eastAsia="fr-FR"/>
        </w:rPr>
        <w:t>: Does the Charter apply in this case?</w:t>
      </w:r>
    </w:p>
    <w:p w14:paraId="206F5038" w14:textId="77777777" w:rsidR="005924C0" w:rsidRPr="00796F72" w:rsidRDefault="005924C0" w:rsidP="00BE2184">
      <w:pPr>
        <w:numPr>
          <w:ilvl w:val="0"/>
          <w:numId w:val="59"/>
        </w:numPr>
        <w:spacing w:before="100" w:beforeAutospacing="1" w:after="100" w:afterAutospacing="1"/>
        <w:jc w:val="both"/>
        <w:rPr>
          <w:rFonts w:ascii="Calibri Light" w:hAnsi="Calibri Light" w:cs="Calibri Light"/>
          <w:color w:val="2C2D5B"/>
          <w:lang w:eastAsia="fr-FR"/>
        </w:rPr>
      </w:pPr>
      <w:r w:rsidRPr="00796F72">
        <w:rPr>
          <w:rFonts w:ascii="Calibri Light" w:hAnsi="Calibri Light" w:cs="Calibri Light"/>
          <w:color w:val="2C2D5B"/>
          <w:lang w:eastAsia="fr-FR"/>
        </w:rPr>
        <w:t>Identify the link between the national law and EU law.</w:t>
      </w:r>
    </w:p>
    <w:p w14:paraId="6965354E" w14:textId="77777777" w:rsidR="005924C0" w:rsidRPr="00796F72" w:rsidRDefault="005924C0" w:rsidP="00BE2184">
      <w:pPr>
        <w:numPr>
          <w:ilvl w:val="0"/>
          <w:numId w:val="59"/>
        </w:numPr>
        <w:spacing w:before="100" w:beforeAutospacing="1" w:after="100" w:afterAutospacing="1"/>
        <w:jc w:val="both"/>
        <w:rPr>
          <w:rFonts w:ascii="Calibri Light" w:hAnsi="Calibri Light" w:cs="Calibri Light"/>
          <w:color w:val="2C2D5B"/>
          <w:lang w:eastAsia="fr-FR"/>
        </w:rPr>
      </w:pPr>
      <w:r w:rsidRPr="00796F72">
        <w:rPr>
          <w:rFonts w:ascii="Calibri Light" w:hAnsi="Calibri Light" w:cs="Calibri Light"/>
          <w:color w:val="2C2D5B"/>
          <w:lang w:eastAsia="fr-FR"/>
        </w:rPr>
        <w:t>Explain how Article 51 of the Charter is satisfied.</w:t>
      </w:r>
    </w:p>
    <w:p w14:paraId="35840A41" w14:textId="3B589D95" w:rsidR="00071D61" w:rsidRPr="00796F72" w:rsidRDefault="005924C0" w:rsidP="00071D61">
      <w:pPr>
        <w:spacing w:before="100" w:beforeAutospacing="1" w:after="100" w:afterAutospacing="1"/>
        <w:jc w:val="both"/>
        <w:rPr>
          <w:rFonts w:ascii="Calibri Light" w:hAnsi="Calibri Light" w:cs="Calibri Light"/>
          <w:color w:val="2C2D5B"/>
          <w:lang w:eastAsia="fr-FR"/>
        </w:rPr>
      </w:pPr>
      <w:r w:rsidRPr="00796F72">
        <w:rPr>
          <w:rFonts w:ascii="Calibri Light" w:hAnsi="Calibri Light" w:cs="Calibri Light"/>
          <w:b/>
          <w:bCs/>
          <w:color w:val="2C2D5B"/>
          <w:lang w:eastAsia="fr-FR"/>
        </w:rPr>
        <w:t>Hint</w:t>
      </w:r>
      <w:r w:rsidR="00796F72" w:rsidRPr="00796F72">
        <w:rPr>
          <w:rFonts w:ascii="Calibri Light" w:hAnsi="Calibri Light" w:cs="Calibri Light"/>
          <w:b/>
          <w:bCs/>
          <w:color w:val="2C2D5B"/>
          <w:lang w:eastAsia="fr-FR"/>
        </w:rPr>
        <w:t xml:space="preserve"> </w:t>
      </w:r>
      <w:r w:rsidRPr="00796F72">
        <w:rPr>
          <w:rFonts w:ascii="Calibri Light" w:hAnsi="Calibri Light" w:cs="Calibri Light"/>
          <w:color w:val="2C2D5B"/>
          <w:lang w:eastAsia="fr-FR"/>
        </w:rPr>
        <w:t>: Remember that the Charter applies only when Member States are implementing EU law. What evidence do you need to prove this link</w:t>
      </w:r>
      <w:r w:rsidR="00796F72">
        <w:rPr>
          <w:rFonts w:ascii="Calibri Light" w:hAnsi="Calibri Light" w:cs="Calibri Light"/>
          <w:color w:val="2C2D5B"/>
          <w:lang w:eastAsia="fr-FR"/>
        </w:rPr>
        <w:t xml:space="preserve"> </w:t>
      </w:r>
      <w:r w:rsidRPr="00796F72">
        <w:rPr>
          <w:rFonts w:ascii="Calibri Light" w:hAnsi="Calibri Light" w:cs="Calibri Light"/>
          <w:color w:val="2C2D5B"/>
          <w:lang w:eastAsia="fr-FR"/>
        </w:rPr>
        <w:t>?</w:t>
      </w:r>
    </w:p>
    <w:p w14:paraId="68017733" w14:textId="032758F5" w:rsidR="005924C0" w:rsidRPr="00796F72" w:rsidRDefault="005924C0" w:rsidP="00071D61">
      <w:pPr>
        <w:spacing w:before="100" w:beforeAutospacing="1" w:after="100" w:afterAutospacing="1"/>
        <w:jc w:val="both"/>
        <w:rPr>
          <w:rFonts w:ascii="Calibri Light" w:hAnsi="Calibri Light" w:cs="Calibri Light"/>
          <w:color w:val="4472C4" w:themeColor="accent1"/>
          <w:lang w:eastAsia="fr-FR"/>
        </w:rPr>
      </w:pPr>
      <w:r w:rsidRPr="00796F72">
        <w:rPr>
          <w:rFonts w:ascii="Calibri Light" w:hAnsi="Calibri Light" w:cs="Calibri Light"/>
          <w:b/>
          <w:bCs/>
          <w:color w:val="4472C4" w:themeColor="accent1"/>
          <w:lang w:eastAsia="fr-FR"/>
        </w:rPr>
        <w:t>Step 2</w:t>
      </w:r>
      <w:r w:rsidR="00796F72" w:rsidRPr="00796F72">
        <w:rPr>
          <w:rFonts w:ascii="Calibri Light" w:hAnsi="Calibri Light" w:cs="Calibri Light"/>
          <w:b/>
          <w:bCs/>
          <w:color w:val="4472C4" w:themeColor="accent1"/>
          <w:lang w:eastAsia="fr-FR"/>
        </w:rPr>
        <w:t xml:space="preserve"> </w:t>
      </w:r>
      <w:r w:rsidRPr="00796F72">
        <w:rPr>
          <w:rFonts w:ascii="Calibri Light" w:hAnsi="Calibri Light" w:cs="Calibri Light"/>
          <w:b/>
          <w:bCs/>
          <w:color w:val="4472C4" w:themeColor="accent1"/>
          <w:lang w:eastAsia="fr-FR"/>
        </w:rPr>
        <w:t>: Examining the Provisions in Question</w:t>
      </w:r>
    </w:p>
    <w:p w14:paraId="1B46BD91" w14:textId="51A23458" w:rsidR="005924C0" w:rsidRPr="00796F72" w:rsidRDefault="005924C0" w:rsidP="00BE2184">
      <w:pPr>
        <w:spacing w:before="100" w:beforeAutospacing="1" w:after="100" w:afterAutospacing="1"/>
        <w:jc w:val="both"/>
        <w:rPr>
          <w:rFonts w:ascii="Calibri Light" w:hAnsi="Calibri Light" w:cs="Calibri Light"/>
          <w:color w:val="2C2D5B"/>
          <w:lang w:eastAsia="fr-FR"/>
        </w:rPr>
      </w:pPr>
      <w:r w:rsidRPr="00796F72">
        <w:rPr>
          <w:rFonts w:ascii="Calibri Light" w:hAnsi="Calibri Light" w:cs="Calibri Light"/>
          <w:b/>
          <w:bCs/>
          <w:color w:val="2C2D5B"/>
          <w:lang w:eastAsia="fr-FR"/>
        </w:rPr>
        <w:t>Question 2</w:t>
      </w:r>
      <w:r w:rsidR="00796F72" w:rsidRPr="00796F72">
        <w:rPr>
          <w:rFonts w:ascii="Calibri Light" w:hAnsi="Calibri Light" w:cs="Calibri Light"/>
          <w:b/>
          <w:bCs/>
          <w:color w:val="2C2D5B"/>
          <w:lang w:eastAsia="fr-FR"/>
        </w:rPr>
        <w:t xml:space="preserve"> </w:t>
      </w:r>
      <w:r w:rsidRPr="00796F72">
        <w:rPr>
          <w:rFonts w:ascii="Calibri Light" w:hAnsi="Calibri Light" w:cs="Calibri Light"/>
          <w:color w:val="2C2D5B"/>
          <w:lang w:eastAsia="fr-FR"/>
        </w:rPr>
        <w:t>: Which Charter provisions are relevant</w:t>
      </w:r>
      <w:r w:rsidR="00796F72">
        <w:rPr>
          <w:rFonts w:ascii="Calibri Light" w:hAnsi="Calibri Light" w:cs="Calibri Light"/>
          <w:color w:val="2C2D5B"/>
          <w:lang w:eastAsia="fr-FR"/>
        </w:rPr>
        <w:t xml:space="preserve"> </w:t>
      </w:r>
      <w:r w:rsidRPr="00796F72">
        <w:rPr>
          <w:rFonts w:ascii="Calibri Light" w:hAnsi="Calibri Light" w:cs="Calibri Light"/>
          <w:color w:val="2C2D5B"/>
          <w:lang w:eastAsia="fr-FR"/>
        </w:rPr>
        <w:t>?</w:t>
      </w:r>
    </w:p>
    <w:p w14:paraId="03E31595" w14:textId="77777777" w:rsidR="005924C0" w:rsidRPr="00796F72" w:rsidRDefault="005924C0" w:rsidP="00BE2184">
      <w:pPr>
        <w:numPr>
          <w:ilvl w:val="0"/>
          <w:numId w:val="60"/>
        </w:numPr>
        <w:spacing w:before="100" w:beforeAutospacing="1" w:after="100" w:afterAutospacing="1"/>
        <w:jc w:val="both"/>
        <w:rPr>
          <w:rFonts w:ascii="Calibri Light" w:hAnsi="Calibri Light" w:cs="Calibri Light"/>
          <w:color w:val="2C2D5B"/>
          <w:lang w:eastAsia="fr-FR"/>
        </w:rPr>
      </w:pPr>
      <w:r w:rsidRPr="00796F72">
        <w:rPr>
          <w:rFonts w:ascii="Calibri Light" w:hAnsi="Calibri Light" w:cs="Calibri Light"/>
          <w:color w:val="2C2D5B"/>
          <w:lang w:eastAsia="fr-FR"/>
        </w:rPr>
        <w:t xml:space="preserve">Identify and explain the relevance of </w:t>
      </w:r>
      <w:r w:rsidRPr="00796F72">
        <w:rPr>
          <w:rFonts w:ascii="Calibri Light" w:hAnsi="Calibri Light" w:cs="Calibri Light"/>
          <w:b/>
          <w:bCs/>
          <w:color w:val="2C2D5B"/>
          <w:lang w:eastAsia="fr-FR"/>
        </w:rPr>
        <w:t>Article 52(1)</w:t>
      </w:r>
      <w:r w:rsidRPr="00796F72">
        <w:rPr>
          <w:rFonts w:ascii="Calibri Light" w:hAnsi="Calibri Light" w:cs="Calibri Light"/>
          <w:color w:val="2C2D5B"/>
          <w:lang w:eastAsia="fr-FR"/>
        </w:rPr>
        <w:t xml:space="preserve"> and the proportionality principle.</w:t>
      </w:r>
    </w:p>
    <w:p w14:paraId="745B6018" w14:textId="14CE04C0" w:rsidR="00071D61" w:rsidRPr="00796F72" w:rsidRDefault="005924C0" w:rsidP="00071D61">
      <w:pPr>
        <w:numPr>
          <w:ilvl w:val="0"/>
          <w:numId w:val="60"/>
        </w:numPr>
        <w:spacing w:before="100" w:beforeAutospacing="1" w:after="100" w:afterAutospacing="1"/>
        <w:jc w:val="both"/>
        <w:rPr>
          <w:rFonts w:ascii="Calibri Light" w:hAnsi="Calibri Light" w:cs="Calibri Light"/>
          <w:color w:val="2C2D5B"/>
          <w:lang w:eastAsia="fr-FR"/>
        </w:rPr>
      </w:pPr>
      <w:r w:rsidRPr="00796F72">
        <w:rPr>
          <w:rFonts w:ascii="Calibri Light" w:hAnsi="Calibri Light" w:cs="Calibri Light"/>
          <w:color w:val="2C2D5B"/>
          <w:lang w:eastAsia="fr-FR"/>
        </w:rPr>
        <w:t>How does the regulation on industrial emissions tie into this analysis</w:t>
      </w:r>
    </w:p>
    <w:p w14:paraId="7795931A" w14:textId="1E9AFFEB" w:rsidR="005924C0" w:rsidRPr="00796F72" w:rsidRDefault="005924C0" w:rsidP="00071D61">
      <w:pPr>
        <w:spacing w:before="100" w:beforeAutospacing="1" w:after="100" w:afterAutospacing="1"/>
        <w:jc w:val="both"/>
        <w:rPr>
          <w:rFonts w:ascii="Calibri Light" w:hAnsi="Calibri Light" w:cs="Calibri Light"/>
          <w:color w:val="4472C4" w:themeColor="accent1"/>
          <w:lang w:eastAsia="fr-FR"/>
        </w:rPr>
      </w:pPr>
      <w:r w:rsidRPr="00796F72">
        <w:rPr>
          <w:rFonts w:ascii="Calibri Light" w:hAnsi="Calibri Light" w:cs="Calibri Light"/>
          <w:b/>
          <w:bCs/>
          <w:color w:val="4472C4" w:themeColor="accent1"/>
          <w:lang w:eastAsia="fr-FR"/>
        </w:rPr>
        <w:t>Step 3</w:t>
      </w:r>
      <w:r w:rsidR="00796F72" w:rsidRPr="00796F72">
        <w:rPr>
          <w:rFonts w:ascii="Calibri Light" w:hAnsi="Calibri Light" w:cs="Calibri Light"/>
          <w:b/>
          <w:bCs/>
          <w:color w:val="4472C4" w:themeColor="accent1"/>
          <w:lang w:eastAsia="fr-FR"/>
        </w:rPr>
        <w:t xml:space="preserve"> </w:t>
      </w:r>
      <w:r w:rsidRPr="00796F72">
        <w:rPr>
          <w:rFonts w:ascii="Calibri Light" w:hAnsi="Calibri Light" w:cs="Calibri Light"/>
          <w:b/>
          <w:bCs/>
          <w:color w:val="4472C4" w:themeColor="accent1"/>
          <w:lang w:eastAsia="fr-FR"/>
        </w:rPr>
        <w:t>: Building the Argument</w:t>
      </w:r>
    </w:p>
    <w:p w14:paraId="40393BCA" w14:textId="24431759" w:rsidR="005924C0" w:rsidRPr="00796F72" w:rsidRDefault="005924C0" w:rsidP="00BE2184">
      <w:pPr>
        <w:spacing w:before="100" w:beforeAutospacing="1" w:after="100" w:afterAutospacing="1"/>
        <w:jc w:val="both"/>
        <w:rPr>
          <w:rFonts w:ascii="Calibri Light" w:hAnsi="Calibri Light" w:cs="Calibri Light"/>
          <w:color w:val="2C2D5B"/>
          <w:lang w:eastAsia="fr-FR"/>
        </w:rPr>
      </w:pPr>
      <w:r w:rsidRPr="00796F72">
        <w:rPr>
          <w:rFonts w:ascii="Calibri Light" w:hAnsi="Calibri Light" w:cs="Calibri Light"/>
          <w:b/>
          <w:bCs/>
          <w:color w:val="2C2D5B"/>
          <w:lang w:eastAsia="fr-FR"/>
        </w:rPr>
        <w:t>Question 3</w:t>
      </w:r>
      <w:r w:rsidR="00796F72">
        <w:rPr>
          <w:rFonts w:ascii="Calibri Light" w:hAnsi="Calibri Light" w:cs="Calibri Light"/>
          <w:b/>
          <w:bCs/>
          <w:color w:val="2C2D5B"/>
          <w:lang w:eastAsia="fr-FR"/>
        </w:rPr>
        <w:t xml:space="preserve"> </w:t>
      </w:r>
      <w:r w:rsidRPr="00796F72">
        <w:rPr>
          <w:rFonts w:ascii="Calibri Light" w:hAnsi="Calibri Light" w:cs="Calibri Light"/>
          <w:color w:val="2C2D5B"/>
          <w:lang w:eastAsia="fr-FR"/>
        </w:rPr>
        <w:t>: What arguments would you present to the national court to demonstrate a potential violation of EU law</w:t>
      </w:r>
      <w:r w:rsidR="00796F72">
        <w:rPr>
          <w:rFonts w:ascii="Calibri Light" w:hAnsi="Calibri Light" w:cs="Calibri Light"/>
          <w:color w:val="2C2D5B"/>
          <w:lang w:eastAsia="fr-FR"/>
        </w:rPr>
        <w:t xml:space="preserve"> </w:t>
      </w:r>
      <w:r w:rsidRPr="00796F72">
        <w:rPr>
          <w:rFonts w:ascii="Calibri Light" w:hAnsi="Calibri Light" w:cs="Calibri Light"/>
          <w:color w:val="2C2D5B"/>
          <w:lang w:eastAsia="fr-FR"/>
        </w:rPr>
        <w:t>?</w:t>
      </w:r>
    </w:p>
    <w:p w14:paraId="6EB78B39" w14:textId="782E536B" w:rsidR="005924C0" w:rsidRPr="00796F72" w:rsidRDefault="005924C0" w:rsidP="00BE2184">
      <w:pPr>
        <w:numPr>
          <w:ilvl w:val="0"/>
          <w:numId w:val="61"/>
        </w:numPr>
        <w:spacing w:before="100" w:beforeAutospacing="1" w:after="100" w:afterAutospacing="1"/>
        <w:jc w:val="both"/>
        <w:rPr>
          <w:rFonts w:ascii="Calibri Light" w:hAnsi="Calibri Light" w:cs="Calibri Light"/>
          <w:color w:val="2C2D5B"/>
          <w:lang w:eastAsia="fr-FR"/>
        </w:rPr>
      </w:pPr>
      <w:r w:rsidRPr="00796F72">
        <w:rPr>
          <w:rFonts w:ascii="Calibri Light" w:hAnsi="Calibri Light" w:cs="Calibri Light"/>
          <w:color w:val="2C2D5B"/>
          <w:lang w:eastAsia="fr-FR"/>
        </w:rPr>
        <w:t>How would you use the proportionality principle to assess the fines</w:t>
      </w:r>
      <w:r w:rsidR="00796F72">
        <w:rPr>
          <w:rFonts w:ascii="Calibri Light" w:hAnsi="Calibri Light" w:cs="Calibri Light"/>
          <w:color w:val="2C2D5B"/>
          <w:lang w:eastAsia="fr-FR"/>
        </w:rPr>
        <w:t xml:space="preserve"> </w:t>
      </w:r>
      <w:r w:rsidRPr="00796F72">
        <w:rPr>
          <w:rFonts w:ascii="Calibri Light" w:hAnsi="Calibri Light" w:cs="Calibri Light"/>
          <w:color w:val="2C2D5B"/>
          <w:lang w:eastAsia="fr-FR"/>
        </w:rPr>
        <w:t>?</w:t>
      </w:r>
    </w:p>
    <w:p w14:paraId="79BAC434" w14:textId="77777777" w:rsidR="00071D61" w:rsidRPr="00796F72" w:rsidRDefault="005924C0" w:rsidP="00071D61">
      <w:pPr>
        <w:numPr>
          <w:ilvl w:val="0"/>
          <w:numId w:val="61"/>
        </w:numPr>
        <w:spacing w:before="100" w:beforeAutospacing="1" w:after="100" w:afterAutospacing="1"/>
        <w:jc w:val="both"/>
        <w:rPr>
          <w:rFonts w:ascii="Calibri Light" w:hAnsi="Calibri Light" w:cs="Calibri Light"/>
          <w:color w:val="2C2D5B"/>
          <w:lang w:eastAsia="fr-FR"/>
        </w:rPr>
      </w:pPr>
      <w:r w:rsidRPr="00796F72">
        <w:rPr>
          <w:rFonts w:ascii="Calibri Light" w:hAnsi="Calibri Light" w:cs="Calibri Light"/>
          <w:color w:val="2C2D5B"/>
          <w:lang w:eastAsia="fr-FR"/>
        </w:rPr>
        <w:t xml:space="preserve">What examples of </w:t>
      </w:r>
      <w:r w:rsidRPr="00796F72">
        <w:rPr>
          <w:rFonts w:ascii="Calibri Light" w:hAnsi="Calibri Light" w:cs="Calibri Light"/>
          <w:b/>
          <w:bCs/>
          <w:color w:val="2C2D5B"/>
          <w:lang w:eastAsia="fr-FR"/>
        </w:rPr>
        <w:t>CJEU case law</w:t>
      </w:r>
      <w:r w:rsidRPr="00796F72">
        <w:rPr>
          <w:rFonts w:ascii="Calibri Light" w:hAnsi="Calibri Light" w:cs="Calibri Light"/>
          <w:color w:val="2C2D5B"/>
          <w:lang w:eastAsia="fr-FR"/>
        </w:rPr>
        <w:t xml:space="preserve"> could strengthen your argument?</w:t>
      </w:r>
    </w:p>
    <w:p w14:paraId="0D089027" w14:textId="77777777" w:rsidR="00A05098" w:rsidRDefault="00A05098" w:rsidP="00071D61">
      <w:pPr>
        <w:spacing w:before="100" w:beforeAutospacing="1" w:after="100" w:afterAutospacing="1"/>
        <w:jc w:val="both"/>
        <w:rPr>
          <w:rFonts w:ascii="Calibri Light" w:hAnsi="Calibri Light" w:cs="Calibri Light"/>
          <w:b/>
          <w:bCs/>
          <w:lang w:eastAsia="fr-FR"/>
        </w:rPr>
      </w:pPr>
    </w:p>
    <w:p w14:paraId="2EEF01BA" w14:textId="77777777" w:rsidR="00A05098" w:rsidRDefault="00A05098" w:rsidP="00071D61">
      <w:pPr>
        <w:spacing w:before="100" w:beforeAutospacing="1" w:after="100" w:afterAutospacing="1"/>
        <w:jc w:val="both"/>
        <w:rPr>
          <w:rFonts w:ascii="Calibri Light" w:hAnsi="Calibri Light" w:cs="Calibri Light"/>
          <w:b/>
          <w:bCs/>
          <w:lang w:eastAsia="fr-FR"/>
        </w:rPr>
      </w:pPr>
    </w:p>
    <w:p w14:paraId="102A32AD" w14:textId="77777777" w:rsidR="00A05098" w:rsidRDefault="00A05098" w:rsidP="00071D61">
      <w:pPr>
        <w:spacing w:before="100" w:beforeAutospacing="1" w:after="100" w:afterAutospacing="1"/>
        <w:jc w:val="both"/>
        <w:rPr>
          <w:rFonts w:ascii="Calibri Light" w:hAnsi="Calibri Light" w:cs="Calibri Light"/>
          <w:b/>
          <w:bCs/>
          <w:lang w:eastAsia="fr-FR"/>
        </w:rPr>
      </w:pPr>
    </w:p>
    <w:p w14:paraId="581818E7" w14:textId="77777777" w:rsidR="00A05098" w:rsidRDefault="00A05098" w:rsidP="00071D61">
      <w:pPr>
        <w:spacing w:before="100" w:beforeAutospacing="1" w:after="100" w:afterAutospacing="1"/>
        <w:jc w:val="both"/>
        <w:rPr>
          <w:rFonts w:ascii="Calibri Light" w:hAnsi="Calibri Light" w:cs="Calibri Light"/>
          <w:b/>
          <w:bCs/>
          <w:lang w:eastAsia="fr-FR"/>
        </w:rPr>
      </w:pPr>
    </w:p>
    <w:p w14:paraId="0B1F91E3" w14:textId="552C7426" w:rsidR="00A05098" w:rsidRPr="00A05098" w:rsidRDefault="005924C0" w:rsidP="00071D61">
      <w:pPr>
        <w:spacing w:before="100" w:beforeAutospacing="1" w:after="100" w:afterAutospacing="1"/>
        <w:jc w:val="both"/>
        <w:rPr>
          <w:rFonts w:ascii="Calibri Light" w:hAnsi="Calibri Light" w:cs="Calibri Light"/>
          <w:color w:val="2C2D5B"/>
          <w:lang w:eastAsia="fr-FR"/>
        </w:rPr>
      </w:pPr>
      <w:r w:rsidRPr="00A05098">
        <w:rPr>
          <w:rFonts w:ascii="Calibri Light" w:hAnsi="Calibri Light" w:cs="Calibri Light"/>
          <w:b/>
          <w:bCs/>
          <w:color w:val="2C2D5B"/>
          <w:lang w:eastAsia="fr-FR"/>
        </w:rPr>
        <w:t>Hint</w:t>
      </w:r>
      <w:r w:rsidR="00A05098" w:rsidRPr="00A05098">
        <w:rPr>
          <w:rFonts w:ascii="Calibri Light" w:hAnsi="Calibri Light" w:cs="Calibri Light"/>
          <w:b/>
          <w:bCs/>
          <w:color w:val="2C2D5B"/>
          <w:lang w:eastAsia="fr-FR"/>
        </w:rPr>
        <w:t xml:space="preserve"> </w:t>
      </w:r>
      <w:r w:rsidRPr="00A05098">
        <w:rPr>
          <w:rFonts w:ascii="Calibri Light" w:hAnsi="Calibri Light" w:cs="Calibri Light"/>
          <w:color w:val="2C2D5B"/>
          <w:lang w:eastAsia="fr-FR"/>
        </w:rPr>
        <w:t xml:space="preserve">: Consider cases where proportionality and Charter rights were assessed, such as </w:t>
      </w:r>
      <w:r w:rsidRPr="00A05098">
        <w:rPr>
          <w:rFonts w:ascii="Calibri Light" w:hAnsi="Calibri Light" w:cs="Calibri Light"/>
          <w:b/>
          <w:bCs/>
          <w:color w:val="2C2D5B"/>
          <w:lang w:eastAsia="fr-FR"/>
        </w:rPr>
        <w:t>Åkerberg Fransson (C-617/10)</w:t>
      </w:r>
      <w:r w:rsidRPr="00A05098">
        <w:rPr>
          <w:rFonts w:ascii="Calibri Light" w:hAnsi="Calibri Light" w:cs="Calibri Light"/>
          <w:color w:val="2C2D5B"/>
          <w:lang w:eastAsia="fr-FR"/>
        </w:rPr>
        <w:t xml:space="preserve"> or other similar rulings</w:t>
      </w:r>
    </w:p>
    <w:p w14:paraId="6D738741" w14:textId="2570C8F9" w:rsidR="005924C0" w:rsidRPr="00A05098" w:rsidRDefault="005924C0" w:rsidP="00071D61">
      <w:pPr>
        <w:spacing w:before="100" w:beforeAutospacing="1" w:after="100" w:afterAutospacing="1"/>
        <w:jc w:val="both"/>
        <w:rPr>
          <w:rFonts w:ascii="Calibri Light" w:hAnsi="Calibri Light" w:cs="Calibri Light"/>
          <w:color w:val="4472C4" w:themeColor="accent1"/>
          <w:lang w:eastAsia="fr-FR"/>
        </w:rPr>
      </w:pPr>
      <w:r w:rsidRPr="00A05098">
        <w:rPr>
          <w:rFonts w:ascii="Calibri Light" w:hAnsi="Calibri Light" w:cs="Calibri Light"/>
          <w:b/>
          <w:bCs/>
          <w:color w:val="4472C4" w:themeColor="accent1"/>
          <w:lang w:eastAsia="fr-FR"/>
        </w:rPr>
        <w:t>Step 4</w:t>
      </w:r>
      <w:r w:rsidR="00A05098" w:rsidRPr="00A05098">
        <w:rPr>
          <w:rFonts w:ascii="Calibri Light" w:hAnsi="Calibri Light" w:cs="Calibri Light"/>
          <w:b/>
          <w:bCs/>
          <w:color w:val="4472C4" w:themeColor="accent1"/>
          <w:lang w:eastAsia="fr-FR"/>
        </w:rPr>
        <w:t xml:space="preserve"> </w:t>
      </w:r>
      <w:r w:rsidRPr="00A05098">
        <w:rPr>
          <w:rFonts w:ascii="Calibri Light" w:hAnsi="Calibri Light" w:cs="Calibri Light"/>
          <w:b/>
          <w:bCs/>
          <w:color w:val="4472C4" w:themeColor="accent1"/>
          <w:lang w:eastAsia="fr-FR"/>
        </w:rPr>
        <w:t>: Determining the Need for a Preliminary Ruling</w:t>
      </w:r>
    </w:p>
    <w:p w14:paraId="0418A7ED" w14:textId="72DAB2E6" w:rsidR="005924C0" w:rsidRPr="00A05098" w:rsidRDefault="005924C0" w:rsidP="00BE2184">
      <w:pPr>
        <w:spacing w:before="100" w:beforeAutospacing="1" w:after="100" w:afterAutospacing="1"/>
        <w:jc w:val="both"/>
        <w:rPr>
          <w:rFonts w:ascii="Calibri Light" w:hAnsi="Calibri Light" w:cs="Calibri Light"/>
          <w:color w:val="2C2D5B"/>
          <w:lang w:eastAsia="fr-FR"/>
        </w:rPr>
      </w:pPr>
      <w:r w:rsidRPr="00A05098">
        <w:rPr>
          <w:rFonts w:ascii="Calibri Light" w:hAnsi="Calibri Light" w:cs="Calibri Light"/>
          <w:b/>
          <w:bCs/>
          <w:color w:val="2C2D5B"/>
          <w:lang w:eastAsia="fr-FR"/>
        </w:rPr>
        <w:t>Quest</w:t>
      </w:r>
      <w:r w:rsidR="00071D61" w:rsidRPr="00A05098">
        <w:rPr>
          <w:rFonts w:ascii="Calibri Light" w:hAnsi="Calibri Light" w:cs="Calibri Light"/>
          <w:b/>
          <w:bCs/>
          <w:color w:val="2C2D5B"/>
          <w:lang w:eastAsia="fr-FR"/>
        </w:rPr>
        <w:t>ion</w:t>
      </w:r>
      <w:r w:rsidRPr="00A05098">
        <w:rPr>
          <w:rFonts w:ascii="Calibri Light" w:hAnsi="Calibri Light" w:cs="Calibri Light"/>
          <w:b/>
          <w:bCs/>
          <w:color w:val="2C2D5B"/>
          <w:lang w:eastAsia="fr-FR"/>
        </w:rPr>
        <w:t xml:space="preserve"> 4</w:t>
      </w:r>
      <w:r w:rsidR="00A05098" w:rsidRPr="00A05098">
        <w:rPr>
          <w:rFonts w:ascii="Calibri Light" w:hAnsi="Calibri Light" w:cs="Calibri Light"/>
          <w:b/>
          <w:bCs/>
          <w:color w:val="2C2D5B"/>
          <w:lang w:eastAsia="fr-FR"/>
        </w:rPr>
        <w:t xml:space="preserve"> </w:t>
      </w:r>
      <w:r w:rsidRPr="00A05098">
        <w:rPr>
          <w:rFonts w:ascii="Calibri Light" w:hAnsi="Calibri Light" w:cs="Calibri Light"/>
          <w:color w:val="2C2D5B"/>
          <w:lang w:eastAsia="fr-FR"/>
        </w:rPr>
        <w:t>: Should the national court refer a question to the CJEU?</w:t>
      </w:r>
    </w:p>
    <w:p w14:paraId="40EEE45F" w14:textId="77777777" w:rsidR="005924C0" w:rsidRPr="00A05098" w:rsidRDefault="005924C0" w:rsidP="00BE2184">
      <w:pPr>
        <w:numPr>
          <w:ilvl w:val="0"/>
          <w:numId w:val="62"/>
        </w:numPr>
        <w:spacing w:before="100" w:beforeAutospacing="1" w:after="100" w:afterAutospacing="1"/>
        <w:jc w:val="both"/>
        <w:rPr>
          <w:rFonts w:ascii="Calibri Light" w:hAnsi="Calibri Light" w:cs="Calibri Light"/>
          <w:color w:val="2C2D5B"/>
          <w:lang w:eastAsia="fr-FR"/>
        </w:rPr>
      </w:pPr>
      <w:r w:rsidRPr="00A05098">
        <w:rPr>
          <w:rFonts w:ascii="Calibri Light" w:hAnsi="Calibri Light" w:cs="Calibri Light"/>
          <w:color w:val="2C2D5B"/>
          <w:lang w:eastAsia="fr-FR"/>
        </w:rPr>
        <w:t>What uncertainties or ambiguities might justify a referral?</w:t>
      </w:r>
    </w:p>
    <w:p w14:paraId="27BBEFF9" w14:textId="77777777" w:rsidR="005924C0" w:rsidRPr="00A05098" w:rsidRDefault="005924C0" w:rsidP="00BE2184">
      <w:pPr>
        <w:numPr>
          <w:ilvl w:val="0"/>
          <w:numId w:val="62"/>
        </w:numPr>
        <w:spacing w:before="100" w:beforeAutospacing="1" w:after="100" w:afterAutospacing="1"/>
        <w:jc w:val="both"/>
        <w:rPr>
          <w:rFonts w:ascii="Calibri Light" w:hAnsi="Calibri Light" w:cs="Calibri Light"/>
          <w:color w:val="2C2D5B"/>
          <w:lang w:eastAsia="fr-FR"/>
        </w:rPr>
      </w:pPr>
      <w:r w:rsidRPr="00A05098">
        <w:rPr>
          <w:rFonts w:ascii="Calibri Light" w:hAnsi="Calibri Light" w:cs="Calibri Light"/>
          <w:color w:val="2C2D5B"/>
          <w:lang w:eastAsia="fr-FR"/>
        </w:rPr>
        <w:t>Draft a sample question that could be sent to the CJEU for interpretation.</w:t>
      </w:r>
    </w:p>
    <w:p w14:paraId="078A684B" w14:textId="4B0E1578" w:rsidR="00071D61" w:rsidRPr="00A05098" w:rsidRDefault="005924C0" w:rsidP="00071D61">
      <w:pPr>
        <w:spacing w:before="100" w:beforeAutospacing="1" w:after="100" w:afterAutospacing="1"/>
        <w:jc w:val="both"/>
        <w:rPr>
          <w:rFonts w:ascii="Calibri Light" w:hAnsi="Calibri Light" w:cs="Calibri Light"/>
          <w:color w:val="2C2D5B"/>
          <w:lang w:eastAsia="fr-FR"/>
        </w:rPr>
      </w:pPr>
      <w:r w:rsidRPr="00A05098">
        <w:rPr>
          <w:rFonts w:ascii="Calibri Light" w:hAnsi="Calibri Light" w:cs="Calibri Light"/>
          <w:b/>
          <w:bCs/>
          <w:color w:val="2C2D5B"/>
          <w:lang w:eastAsia="fr-FR"/>
        </w:rPr>
        <w:t>Hint</w:t>
      </w:r>
      <w:r w:rsidR="00A05098" w:rsidRPr="00A05098">
        <w:rPr>
          <w:rFonts w:ascii="Calibri Light" w:hAnsi="Calibri Light" w:cs="Calibri Light"/>
          <w:b/>
          <w:bCs/>
          <w:color w:val="2C2D5B"/>
          <w:lang w:eastAsia="fr-FR"/>
        </w:rPr>
        <w:t xml:space="preserve"> </w:t>
      </w:r>
      <w:r w:rsidRPr="00A05098">
        <w:rPr>
          <w:rFonts w:ascii="Calibri Light" w:hAnsi="Calibri Light" w:cs="Calibri Light"/>
          <w:color w:val="2C2D5B"/>
          <w:lang w:eastAsia="fr-FR"/>
        </w:rPr>
        <w:t>: Think about whether the national court can resolve the issue independently or if a clarification of EU law is essential.</w:t>
      </w:r>
    </w:p>
    <w:p w14:paraId="43789E91" w14:textId="6FC27C19" w:rsidR="005924C0" w:rsidRPr="00A05098" w:rsidRDefault="005924C0" w:rsidP="00071D61">
      <w:pPr>
        <w:spacing w:before="100" w:beforeAutospacing="1" w:after="100" w:afterAutospacing="1"/>
        <w:jc w:val="both"/>
        <w:rPr>
          <w:rFonts w:ascii="Calibri Light" w:hAnsi="Calibri Light" w:cs="Calibri Light"/>
          <w:color w:val="4472C4" w:themeColor="accent1"/>
          <w:lang w:eastAsia="fr-FR"/>
        </w:rPr>
      </w:pPr>
      <w:r w:rsidRPr="00A05098">
        <w:rPr>
          <w:rFonts w:ascii="Calibri Light" w:hAnsi="Calibri Light" w:cs="Calibri Light"/>
          <w:b/>
          <w:bCs/>
          <w:color w:val="4472C4" w:themeColor="accent1"/>
          <w:lang w:eastAsia="fr-FR"/>
        </w:rPr>
        <w:t xml:space="preserve">Step </w:t>
      </w:r>
      <w:r w:rsidR="00A05098" w:rsidRPr="00A05098">
        <w:rPr>
          <w:rFonts w:ascii="Calibri Light" w:hAnsi="Calibri Light" w:cs="Calibri Light"/>
          <w:b/>
          <w:bCs/>
          <w:color w:val="4472C4" w:themeColor="accent1"/>
          <w:lang w:eastAsia="fr-FR"/>
        </w:rPr>
        <w:t xml:space="preserve">5 </w:t>
      </w:r>
      <w:r w:rsidRPr="00A05098">
        <w:rPr>
          <w:rFonts w:ascii="Calibri Light" w:hAnsi="Calibri Light" w:cs="Calibri Light"/>
          <w:b/>
          <w:bCs/>
          <w:color w:val="4472C4" w:themeColor="accent1"/>
          <w:lang w:eastAsia="fr-FR"/>
        </w:rPr>
        <w:t>: Strategic Considerations</w:t>
      </w:r>
    </w:p>
    <w:p w14:paraId="6F7FC646" w14:textId="131FBE2D" w:rsidR="00071D61" w:rsidRPr="00A05098" w:rsidRDefault="005924C0" w:rsidP="00BE2184">
      <w:pPr>
        <w:spacing w:before="100" w:beforeAutospacing="1" w:after="100" w:afterAutospacing="1"/>
        <w:jc w:val="both"/>
        <w:rPr>
          <w:rFonts w:ascii="Calibri Light" w:hAnsi="Calibri Light" w:cs="Calibri Light"/>
          <w:color w:val="2C2D5B"/>
          <w:lang w:eastAsia="fr-FR"/>
        </w:rPr>
      </w:pPr>
      <w:r w:rsidRPr="00A05098">
        <w:rPr>
          <w:rFonts w:ascii="Calibri Light" w:hAnsi="Calibri Light" w:cs="Calibri Light"/>
          <w:b/>
          <w:bCs/>
          <w:color w:val="2C2D5B"/>
          <w:lang w:eastAsia="fr-FR"/>
        </w:rPr>
        <w:t>Question 5</w:t>
      </w:r>
      <w:r w:rsidR="00A05098" w:rsidRPr="00A05098">
        <w:rPr>
          <w:rFonts w:ascii="Calibri Light" w:hAnsi="Calibri Light" w:cs="Calibri Light"/>
          <w:b/>
          <w:bCs/>
          <w:color w:val="2C2D5B"/>
          <w:lang w:eastAsia="fr-FR"/>
        </w:rPr>
        <w:t xml:space="preserve"> </w:t>
      </w:r>
      <w:r w:rsidRPr="00A05098">
        <w:rPr>
          <w:rFonts w:ascii="Calibri Light" w:hAnsi="Calibri Light" w:cs="Calibri Light"/>
          <w:color w:val="2C2D5B"/>
          <w:lang w:eastAsia="fr-FR"/>
        </w:rPr>
        <w:t>: How would you persuade the national court to make a referral?</w:t>
      </w:r>
    </w:p>
    <w:p w14:paraId="7F8F9C4E" w14:textId="77777777" w:rsidR="005924C0" w:rsidRPr="00A05098" w:rsidRDefault="005924C0" w:rsidP="00BE2184">
      <w:pPr>
        <w:numPr>
          <w:ilvl w:val="0"/>
          <w:numId w:val="63"/>
        </w:numPr>
        <w:spacing w:before="100" w:beforeAutospacing="1" w:after="100" w:afterAutospacing="1"/>
        <w:jc w:val="both"/>
        <w:rPr>
          <w:rFonts w:ascii="Calibri Light" w:hAnsi="Calibri Light" w:cs="Calibri Light"/>
          <w:color w:val="2C2D5B"/>
          <w:lang w:eastAsia="fr-FR"/>
        </w:rPr>
      </w:pPr>
      <w:r w:rsidRPr="00A05098">
        <w:rPr>
          <w:rFonts w:ascii="Calibri Light" w:hAnsi="Calibri Light" w:cs="Calibri Light"/>
          <w:color w:val="2C2D5B"/>
          <w:lang w:eastAsia="fr-FR"/>
        </w:rPr>
        <w:t>Highlight the importance of uniform interpretation of EU law.</w:t>
      </w:r>
    </w:p>
    <w:p w14:paraId="630B7230" w14:textId="77777777" w:rsidR="00071D61" w:rsidRPr="00A05098" w:rsidRDefault="005924C0" w:rsidP="00071D61">
      <w:pPr>
        <w:numPr>
          <w:ilvl w:val="0"/>
          <w:numId w:val="63"/>
        </w:numPr>
        <w:spacing w:before="100" w:beforeAutospacing="1" w:after="100" w:afterAutospacing="1"/>
        <w:jc w:val="both"/>
        <w:rPr>
          <w:rFonts w:ascii="Calibri Light" w:hAnsi="Calibri Light" w:cs="Calibri Light"/>
          <w:color w:val="2C2D5B"/>
          <w:lang w:eastAsia="fr-FR"/>
        </w:rPr>
      </w:pPr>
      <w:r w:rsidRPr="00A05098">
        <w:rPr>
          <w:rFonts w:ascii="Calibri Light" w:hAnsi="Calibri Light" w:cs="Calibri Light"/>
          <w:color w:val="2C2D5B"/>
          <w:lang w:eastAsia="fr-FR"/>
        </w:rPr>
        <w:t>Argue why the proportionality principle requires clarification in this context.</w:t>
      </w:r>
    </w:p>
    <w:p w14:paraId="3240074D" w14:textId="4C3859F8" w:rsidR="005924C0" w:rsidRPr="00A05098" w:rsidRDefault="005924C0" w:rsidP="00071D61">
      <w:pPr>
        <w:spacing w:before="100" w:beforeAutospacing="1" w:after="100" w:afterAutospacing="1"/>
        <w:jc w:val="both"/>
        <w:rPr>
          <w:rFonts w:ascii="Calibri Light" w:hAnsi="Calibri Light" w:cs="Calibri Light"/>
          <w:color w:val="6C6EB8"/>
          <w:sz w:val="22"/>
          <w:szCs w:val="22"/>
          <w:lang w:eastAsia="fr-FR"/>
        </w:rPr>
      </w:pPr>
      <w:r w:rsidRPr="00A05098">
        <w:rPr>
          <w:rFonts w:ascii="Calibri Light" w:hAnsi="Calibri Light" w:cs="Calibri Light"/>
          <w:b/>
          <w:bCs/>
          <w:color w:val="6C6EB8"/>
          <w:sz w:val="22"/>
          <w:szCs w:val="22"/>
          <w:lang w:eastAsia="fr-FR"/>
        </w:rPr>
        <w:t>Answer Key (to provide later or during discussion):</w:t>
      </w:r>
    </w:p>
    <w:p w14:paraId="5D64D64F" w14:textId="77777777" w:rsidR="005924C0" w:rsidRPr="00A05098" w:rsidRDefault="005924C0" w:rsidP="00BE2184">
      <w:pPr>
        <w:numPr>
          <w:ilvl w:val="0"/>
          <w:numId w:val="65"/>
        </w:numPr>
        <w:spacing w:before="100" w:beforeAutospacing="1" w:after="100" w:afterAutospacing="1"/>
        <w:jc w:val="both"/>
        <w:rPr>
          <w:rFonts w:ascii="Calibri Light" w:hAnsi="Calibri Light" w:cs="Calibri Light"/>
          <w:color w:val="6C6EB8"/>
          <w:sz w:val="22"/>
          <w:szCs w:val="22"/>
          <w:lang w:eastAsia="fr-FR"/>
        </w:rPr>
      </w:pPr>
      <w:r w:rsidRPr="00A05098">
        <w:rPr>
          <w:rFonts w:ascii="Calibri Light" w:hAnsi="Calibri Light" w:cs="Calibri Light"/>
          <w:color w:val="6C6EB8"/>
          <w:sz w:val="22"/>
          <w:szCs w:val="22"/>
          <w:lang w:eastAsia="fr-FR"/>
        </w:rPr>
        <w:t xml:space="preserve">The Charter applies because the fines are linked to the implementation of </w:t>
      </w:r>
      <w:r w:rsidRPr="00A05098">
        <w:rPr>
          <w:rFonts w:ascii="Calibri Light" w:hAnsi="Calibri Light" w:cs="Calibri Light"/>
          <w:b/>
          <w:bCs/>
          <w:color w:val="6C6EB8"/>
          <w:sz w:val="22"/>
          <w:szCs w:val="22"/>
          <w:lang w:eastAsia="fr-FR"/>
        </w:rPr>
        <w:t>Regulation 2010/75/EU</w:t>
      </w:r>
      <w:r w:rsidRPr="00A05098">
        <w:rPr>
          <w:rFonts w:ascii="Calibri Light" w:hAnsi="Calibri Light" w:cs="Calibri Light"/>
          <w:color w:val="6C6EB8"/>
          <w:sz w:val="22"/>
          <w:szCs w:val="22"/>
          <w:lang w:eastAsia="fr-FR"/>
        </w:rPr>
        <w:t>, an EU instrument.</w:t>
      </w:r>
    </w:p>
    <w:p w14:paraId="007E7D87" w14:textId="77777777" w:rsidR="005924C0" w:rsidRPr="00A05098" w:rsidRDefault="005924C0" w:rsidP="00BE2184">
      <w:pPr>
        <w:numPr>
          <w:ilvl w:val="0"/>
          <w:numId w:val="65"/>
        </w:numPr>
        <w:spacing w:before="100" w:beforeAutospacing="1" w:after="100" w:afterAutospacing="1"/>
        <w:jc w:val="both"/>
        <w:rPr>
          <w:rFonts w:ascii="Calibri Light" w:hAnsi="Calibri Light" w:cs="Calibri Light"/>
          <w:color w:val="6C6EB8"/>
          <w:sz w:val="22"/>
          <w:szCs w:val="22"/>
          <w:lang w:eastAsia="fr-FR"/>
        </w:rPr>
      </w:pPr>
      <w:r w:rsidRPr="00A05098">
        <w:rPr>
          <w:rFonts w:ascii="Calibri Light" w:hAnsi="Calibri Light" w:cs="Calibri Light"/>
          <w:color w:val="6C6EB8"/>
          <w:sz w:val="22"/>
          <w:szCs w:val="22"/>
          <w:lang w:eastAsia="fr-FR"/>
        </w:rPr>
        <w:t xml:space="preserve">Relevant provisions include </w:t>
      </w:r>
      <w:r w:rsidRPr="00A05098">
        <w:rPr>
          <w:rFonts w:ascii="Calibri Light" w:hAnsi="Calibri Light" w:cs="Calibri Light"/>
          <w:b/>
          <w:bCs/>
          <w:color w:val="6C6EB8"/>
          <w:sz w:val="22"/>
          <w:szCs w:val="22"/>
          <w:lang w:eastAsia="fr-FR"/>
        </w:rPr>
        <w:t>Article 52(1)</w:t>
      </w:r>
      <w:r w:rsidRPr="00A05098">
        <w:rPr>
          <w:rFonts w:ascii="Calibri Light" w:hAnsi="Calibri Light" w:cs="Calibri Light"/>
          <w:color w:val="6C6EB8"/>
          <w:sz w:val="22"/>
          <w:szCs w:val="22"/>
          <w:lang w:eastAsia="fr-FR"/>
        </w:rPr>
        <w:t xml:space="preserve"> (proportionality) and any specific articles of the Charter linked to environmental or economic rights.</w:t>
      </w:r>
    </w:p>
    <w:p w14:paraId="0FA25BF1" w14:textId="77777777" w:rsidR="005924C0" w:rsidRPr="00A05098" w:rsidRDefault="005924C0" w:rsidP="00BE2184">
      <w:pPr>
        <w:numPr>
          <w:ilvl w:val="0"/>
          <w:numId w:val="65"/>
        </w:numPr>
        <w:spacing w:before="100" w:beforeAutospacing="1" w:after="100" w:afterAutospacing="1"/>
        <w:jc w:val="both"/>
        <w:rPr>
          <w:rFonts w:ascii="Calibri Light" w:hAnsi="Calibri Light" w:cs="Calibri Light"/>
          <w:color w:val="6C6EB8"/>
          <w:sz w:val="22"/>
          <w:szCs w:val="22"/>
          <w:lang w:eastAsia="fr-FR"/>
        </w:rPr>
      </w:pPr>
      <w:r w:rsidRPr="00A05098">
        <w:rPr>
          <w:rFonts w:ascii="Calibri Light" w:hAnsi="Calibri Light" w:cs="Calibri Light"/>
          <w:color w:val="6C6EB8"/>
          <w:sz w:val="22"/>
          <w:szCs w:val="22"/>
          <w:lang w:eastAsia="fr-FR"/>
        </w:rPr>
        <w:t xml:space="preserve">The argument must demonstrate that the fines undermine the proportionality principle, referencing </w:t>
      </w:r>
      <w:r w:rsidRPr="00A05098">
        <w:rPr>
          <w:rFonts w:ascii="Calibri Light" w:hAnsi="Calibri Light" w:cs="Calibri Light"/>
          <w:b/>
          <w:bCs/>
          <w:color w:val="6C6EB8"/>
          <w:sz w:val="22"/>
          <w:szCs w:val="22"/>
          <w:lang w:eastAsia="fr-FR"/>
        </w:rPr>
        <w:t>CJEU precedents</w:t>
      </w:r>
      <w:r w:rsidRPr="00A05098">
        <w:rPr>
          <w:rFonts w:ascii="Calibri Light" w:hAnsi="Calibri Light" w:cs="Calibri Light"/>
          <w:color w:val="6C6EB8"/>
          <w:sz w:val="22"/>
          <w:szCs w:val="22"/>
          <w:lang w:eastAsia="fr-FR"/>
        </w:rPr>
        <w:t xml:space="preserve"> on disproportionate penalties.</w:t>
      </w:r>
    </w:p>
    <w:p w14:paraId="62ADF35B" w14:textId="77777777" w:rsidR="005924C0" w:rsidRPr="00A05098" w:rsidRDefault="005924C0" w:rsidP="00BE2184">
      <w:pPr>
        <w:numPr>
          <w:ilvl w:val="0"/>
          <w:numId w:val="65"/>
        </w:numPr>
        <w:spacing w:before="100" w:beforeAutospacing="1" w:after="100" w:afterAutospacing="1"/>
        <w:jc w:val="both"/>
        <w:rPr>
          <w:rFonts w:ascii="Calibri Light" w:hAnsi="Calibri Light" w:cs="Calibri Light"/>
          <w:color w:val="6C6EB8"/>
          <w:sz w:val="22"/>
          <w:szCs w:val="22"/>
          <w:lang w:eastAsia="fr-FR"/>
        </w:rPr>
      </w:pPr>
      <w:r w:rsidRPr="00A05098">
        <w:rPr>
          <w:rFonts w:ascii="Calibri Light" w:hAnsi="Calibri Light" w:cs="Calibri Light"/>
          <w:color w:val="6C6EB8"/>
          <w:sz w:val="22"/>
          <w:szCs w:val="22"/>
          <w:lang w:eastAsia="fr-FR"/>
        </w:rPr>
        <w:t>A sample preliminary question: "Does Article 52(1) of the Charter, in conjunction with Regulation 2010/75/EU, preclude national legislation imposing fines that are disproportionately high compared to the emissions thresholds violated?"</w:t>
      </w:r>
    </w:p>
    <w:p w14:paraId="42365630" w14:textId="2A05931E" w:rsidR="0099263F" w:rsidRPr="00A05098" w:rsidRDefault="005924C0" w:rsidP="00A05098">
      <w:pPr>
        <w:numPr>
          <w:ilvl w:val="0"/>
          <w:numId w:val="65"/>
        </w:numPr>
        <w:spacing w:before="100" w:beforeAutospacing="1" w:after="100" w:afterAutospacing="1"/>
        <w:jc w:val="both"/>
        <w:rPr>
          <w:rFonts w:ascii="Calibri Light" w:hAnsi="Calibri Light" w:cs="Calibri Light"/>
          <w:color w:val="538135" w:themeColor="accent6" w:themeShade="BF"/>
          <w:sz w:val="22"/>
          <w:szCs w:val="22"/>
          <w:lang w:eastAsia="fr-FR"/>
        </w:rPr>
      </w:pPr>
      <w:r w:rsidRPr="00A05098">
        <w:rPr>
          <w:rFonts w:ascii="Calibri Light" w:hAnsi="Calibri Light" w:cs="Calibri Light"/>
          <w:color w:val="6C6EB8"/>
          <w:sz w:val="22"/>
          <w:szCs w:val="22"/>
          <w:lang w:eastAsia="fr-FR"/>
        </w:rPr>
        <w:t xml:space="preserve">Persuasion should focus on ensuring </w:t>
      </w:r>
      <w:r w:rsidRPr="00A05098">
        <w:rPr>
          <w:rFonts w:ascii="Calibri Light" w:hAnsi="Calibri Light" w:cs="Calibri Light"/>
          <w:b/>
          <w:bCs/>
          <w:color w:val="6C6EB8"/>
          <w:sz w:val="22"/>
          <w:szCs w:val="22"/>
          <w:lang w:eastAsia="fr-FR"/>
        </w:rPr>
        <w:t>legal certainty</w:t>
      </w:r>
      <w:r w:rsidRPr="00A05098">
        <w:rPr>
          <w:rFonts w:ascii="Calibri Light" w:hAnsi="Calibri Light" w:cs="Calibri Light"/>
          <w:color w:val="6C6EB8"/>
          <w:sz w:val="22"/>
          <w:szCs w:val="22"/>
          <w:lang w:eastAsia="fr-FR"/>
        </w:rPr>
        <w:t xml:space="preserve"> and the consistent application of EU law across Member States.</w:t>
      </w:r>
      <w:r w:rsidR="00BE2184">
        <w:rPr>
          <w:rFonts w:ascii="Calibri Light" w:hAnsi="Calibri Light" w:cs="Calibri Light"/>
          <w:color w:val="538135" w:themeColor="accent6" w:themeShade="BF"/>
          <w:sz w:val="22"/>
          <w:szCs w:val="22"/>
          <w:lang w:eastAsia="fr-FR"/>
        </w:rPr>
        <w:br w:type="page"/>
      </w:r>
    </w:p>
    <w:bookmarkStart w:id="19" w:name="_Toc188457877"/>
    <w:p w14:paraId="517B558E" w14:textId="79CD7D6D" w:rsidR="00A71CA0" w:rsidRPr="00A05098" w:rsidRDefault="00D53B3E" w:rsidP="00D53B3E">
      <w:pPr>
        <w:pStyle w:val="Nadpis1"/>
        <w:numPr>
          <w:ilvl w:val="1"/>
          <w:numId w:val="70"/>
        </w:numPr>
        <w:ind w:left="851" w:hanging="1135"/>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A300E">
        <w:rPr>
          <w:rFonts w:ascii="Calibri" w:hAnsi="Calibri" w:cs="Calibri"/>
          <w:b/>
          <w:bCs/>
          <w:noProof/>
          <w:color w:val="FFFFFF" w:themeColor="background1"/>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Contextual"/>
        </w:rPr>
        <w:lastRenderedPageBreak/>
        <mc:AlternateContent>
          <mc:Choice Requires="wps">
            <w:drawing>
              <wp:anchor distT="0" distB="0" distL="114300" distR="114300" simplePos="0" relativeHeight="251859968" behindDoc="0" locked="0" layoutInCell="1" allowOverlap="1" wp14:anchorId="3776C115" wp14:editId="664718A5">
                <wp:simplePos x="0" y="0"/>
                <wp:positionH relativeFrom="column">
                  <wp:posOffset>586740</wp:posOffset>
                </wp:positionH>
                <wp:positionV relativeFrom="paragraph">
                  <wp:posOffset>461503</wp:posOffset>
                </wp:positionV>
                <wp:extent cx="586740" cy="45085"/>
                <wp:effectExtent l="38100" t="38100" r="60960" b="88265"/>
                <wp:wrapNone/>
                <wp:docPr id="1015198780" name="Rectangle 63"/>
                <wp:cNvGraphicFramePr/>
                <a:graphic xmlns:a="http://schemas.openxmlformats.org/drawingml/2006/main">
                  <a:graphicData uri="http://schemas.microsoft.com/office/word/2010/wordprocessingShape">
                    <wps:wsp>
                      <wps:cNvSpPr/>
                      <wps:spPr>
                        <a:xfrm>
                          <a:off x="0" y="0"/>
                          <a:ext cx="586740" cy="45085"/>
                        </a:xfrm>
                        <a:prstGeom prst="rect">
                          <a:avLst/>
                        </a:prstGeom>
                        <a:solidFill>
                          <a:srgbClr val="B6A04C"/>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6CE8781" id="Rectangle 63" o:spid="_x0000_s1026" style="position:absolute;margin-left:46.2pt;margin-top:36.35pt;width:46.2pt;height:3.55pt;z-index:251859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xMk0wIAABIGAAAOAAAAZHJzL2Uyb0RvYy54bWysVFFv2jAQfp+0/2D5fU1g0DLUUDGqTpOq&#10;FpVOfTaOQ6w5tmcbAvv1u7NDYG2fpvFgfPHdd9999t31zb5RZCecl0YXdHCRUyI0N6XUm4L+eL77&#10;NKHEB6ZLpowWBT0IT29mHz9ct3YqhqY2qhSOAIj209YWtA7BTrPM81o0zF8YKzQcVsY1LIDpNlnp&#10;WAvojcqGeX6ZtcaV1hkuvIevt+mQziJ+VQkeHqvKi0BUQYFbiKuL6xrXbHbNphvHbC15R4P9A4uG&#10;SQ1Je6hbFhjZOvkGqpHcGW+qcMFNk5mqklzEGqCaQf6qmlXNrIi1gDje9jL5/wfLH3Yru3QgQ2v9&#10;1MMWq9hXrsF/4Ef2UaxDL5bYB8Lh43hyeTUCSTkcjcb5ZIxaZqdY63z4JkxDcFNQB1cRFWK7ex+S&#10;69EFU3mjZHknlYqG26wXypEdg2v7ejnPR4sO/S83pdFZGwxLiOmLiBcPaWIN2yDcqi5bslZb98RK&#10;oJ5PcmBeSiT2eTJIBryK4VWOP0qY2sBzDooSZ8KLDHW8CtQAIZF3T2+tGP+ZKlO2ZonzKMKcqgTv&#10;KI45konWGc/sJH/chYMSmErpJ1ERWYLgw5gkdoboszPOhQ6DdFSzUqT8gzGWkfL3ETFnBETkCkTr&#10;sTsA7Lq32Amm88fQxLsPTqL0aRKDI7EU3EfEzEaHPriR2rj3KlNQVZc5+QP9M2lwuzblYenwiuIb&#10;9ZbfSbiae+bDkjnoY7hJmE3hEZZKmbagpttRUhv3+73v6A/tBaeUtDAXCup/bZkTlKjvGhrvy2CE&#10;rz5EYzS+GoLhzk/W5yd62ywMvOEBTEHL4xb9gzpuK2eaFxhhc8wKR0xzyF1QHtzRWIQ0r2AIcjGf&#10;RzcYHpaFe72yHMFRVXyUz/sX5mzXcQE69cEcZwibvmq85IuR2sy3wVQyduVJ105vGDzx4XRDEifb&#10;uR29TqN89gcAAP//AwBQSwMEFAAGAAgAAAAhAEBFdljaAAAACAEAAA8AAABkcnMvZG93bnJldi54&#10;bWxMj8FugzAQRO+V8g/WRuqtMaW0EIKJokSo5yT9AAdvABWvEXYC/ftuTu1xZ0azb4rtbHtxx9F3&#10;jhS8riIQSLUzHTUKvs7VSwbCB01G945QwQ962JaLp0Lnxk10xPspNIJLyOdaQRvCkEvp6xat9is3&#10;ILF3daPVgc+xkWbUE5fbXsZR9CGt7og/tHrAfYv19+lmFXxOSWWiOpEW39JjqLLDe2UOSj0v590G&#10;RMA5/IXhgc/oUDLTxd3IeNErWMcJJxWkcQri4WcJT7mwsM5AloX8P6D8BQAA//8DAFBLAQItABQA&#10;BgAIAAAAIQC2gziS/gAAAOEBAAATAAAAAAAAAAAAAAAAAAAAAABbQ29udGVudF9UeXBlc10ueG1s&#10;UEsBAi0AFAAGAAgAAAAhADj9If/WAAAAlAEAAAsAAAAAAAAAAAAAAAAALwEAAF9yZWxzLy5yZWxz&#10;UEsBAi0AFAAGAAgAAAAhAK+DEyTTAgAAEgYAAA4AAAAAAAAAAAAAAAAALgIAAGRycy9lMm9Eb2Mu&#10;eG1sUEsBAi0AFAAGAAgAAAAhAEBFdljaAAAACAEAAA8AAAAAAAAAAAAAAAAALQUAAGRycy9kb3du&#10;cmV2LnhtbFBLBQYAAAAABAAEAPMAAAA0BgAAAAA=&#10;" fillcolor="#b6a04c" stroked="f" strokeweight="1pt">
                <v:shadow on="t" color="black" opacity="26214f" origin="-.5,-.5" offset=".74836mm,.74836mm"/>
              </v:rect>
            </w:pict>
          </mc:Fallback>
        </mc:AlternateContent>
      </w:r>
      <w:r w:rsidR="00A71CA0" w:rsidRPr="00A05098">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A</w:t>
      </w:r>
      <w:r w:rsidR="00E74A1C" w:rsidRPr="00A05098">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ppendices</w:t>
      </w:r>
      <w:r w:rsidR="00E74A1C">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E74A1C" w:rsidRPr="00A05098">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national perspectives on the charter</w:t>
      </w:r>
      <w:bookmarkEnd w:id="19"/>
      <w:r w:rsidR="00E74A1C" w:rsidRPr="00A05098">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p>
    <w:p w14:paraId="465581D3" w14:textId="3AB7B9F7" w:rsidR="006C12BA" w:rsidRPr="006C12BA" w:rsidRDefault="006C12BA" w:rsidP="006C12BA"/>
    <w:p w14:paraId="5AF8C579" w14:textId="77777777" w:rsidR="00EC2273" w:rsidRPr="00A05098" w:rsidRDefault="00EC2273" w:rsidP="0099263F">
      <w:pPr>
        <w:spacing w:line="276" w:lineRule="auto"/>
        <w:jc w:val="both"/>
        <w:rPr>
          <w:rFonts w:ascii="Calibri" w:hAnsi="Calibri" w:cs="Calibri"/>
          <w:b/>
          <w:bCs/>
          <w:color w:val="2C2D5B"/>
        </w:rPr>
      </w:pPr>
    </w:p>
    <w:p w14:paraId="019DB820" w14:textId="572C0891" w:rsidR="00516387" w:rsidRPr="00D53B3E" w:rsidRDefault="00516387" w:rsidP="0099263F">
      <w:pPr>
        <w:spacing w:line="276" w:lineRule="auto"/>
        <w:jc w:val="both"/>
        <w:rPr>
          <w:rFonts w:asciiTheme="majorHAnsi" w:hAnsiTheme="majorHAnsi" w:cstheme="majorHAnsi"/>
          <w:color w:val="2C2D5B"/>
        </w:rPr>
      </w:pPr>
      <w:r w:rsidRPr="00D53B3E">
        <w:rPr>
          <w:rFonts w:asciiTheme="majorHAnsi" w:hAnsiTheme="majorHAnsi" w:cstheme="majorHAnsi"/>
          <w:color w:val="2C2D5B"/>
        </w:rPr>
        <w:t>The following appendices provide an in-depth examination of the European Charter of Fundamental Rights (EChFR) and its role within the legal systems of selected Member States of the European Union. Each appendix focuses on a specific country, offering insights into how the Charter has been integrated into national legal frameworks, its application in judicial contexts, and its interaction with domestic constitutional and legislative provisions.</w:t>
      </w:r>
    </w:p>
    <w:p w14:paraId="7C12863E" w14:textId="77777777" w:rsidR="00516387" w:rsidRPr="00D53B3E" w:rsidRDefault="00516387" w:rsidP="0099263F">
      <w:pPr>
        <w:spacing w:line="276" w:lineRule="auto"/>
        <w:jc w:val="both"/>
        <w:rPr>
          <w:rFonts w:asciiTheme="majorHAnsi" w:hAnsiTheme="majorHAnsi" w:cstheme="majorHAnsi"/>
          <w:color w:val="2C2D5B"/>
        </w:rPr>
      </w:pPr>
    </w:p>
    <w:p w14:paraId="52115D66" w14:textId="77777777" w:rsidR="00516387" w:rsidRPr="00D53B3E" w:rsidRDefault="00516387" w:rsidP="00516387">
      <w:pPr>
        <w:spacing w:line="276" w:lineRule="auto"/>
        <w:jc w:val="both"/>
        <w:rPr>
          <w:rFonts w:asciiTheme="majorHAnsi" w:hAnsiTheme="majorHAnsi" w:cstheme="majorHAnsi"/>
          <w:color w:val="2C2D5B"/>
        </w:rPr>
      </w:pPr>
      <w:r w:rsidRPr="00D53B3E">
        <w:rPr>
          <w:rFonts w:asciiTheme="majorHAnsi" w:hAnsiTheme="majorHAnsi" w:cstheme="majorHAnsi"/>
          <w:color w:val="2C2D5B"/>
        </w:rPr>
        <w:t>For each country, readers will find:</w:t>
      </w:r>
    </w:p>
    <w:p w14:paraId="7F3903A4" w14:textId="77777777" w:rsidR="00516387" w:rsidRPr="00D53B3E" w:rsidRDefault="00516387" w:rsidP="00253E61">
      <w:pPr>
        <w:numPr>
          <w:ilvl w:val="0"/>
          <w:numId w:val="33"/>
        </w:numPr>
        <w:spacing w:line="276" w:lineRule="auto"/>
        <w:jc w:val="both"/>
        <w:rPr>
          <w:rFonts w:asciiTheme="majorHAnsi" w:hAnsiTheme="majorHAnsi" w:cstheme="majorHAnsi"/>
          <w:color w:val="2C2D5B"/>
        </w:rPr>
      </w:pPr>
      <w:r w:rsidRPr="00D53B3E">
        <w:rPr>
          <w:rFonts w:asciiTheme="majorHAnsi" w:hAnsiTheme="majorHAnsi" w:cstheme="majorHAnsi"/>
          <w:b/>
          <w:bCs/>
          <w:color w:val="2C2D5B"/>
        </w:rPr>
        <w:t>An overview</w:t>
      </w:r>
      <w:r w:rsidRPr="00D53B3E">
        <w:rPr>
          <w:rFonts w:asciiTheme="majorHAnsi" w:hAnsiTheme="majorHAnsi" w:cstheme="majorHAnsi"/>
          <w:color w:val="2C2D5B"/>
        </w:rPr>
        <w:t xml:space="preserve"> of the legal status of the Charter and its relationship to the national constitution and laws.</w:t>
      </w:r>
    </w:p>
    <w:p w14:paraId="494DB8DE" w14:textId="77777777" w:rsidR="00516387" w:rsidRPr="00D53B3E" w:rsidRDefault="00516387" w:rsidP="00253E61">
      <w:pPr>
        <w:numPr>
          <w:ilvl w:val="0"/>
          <w:numId w:val="33"/>
        </w:numPr>
        <w:spacing w:line="276" w:lineRule="auto"/>
        <w:jc w:val="both"/>
        <w:rPr>
          <w:rFonts w:asciiTheme="majorHAnsi" w:hAnsiTheme="majorHAnsi" w:cstheme="majorHAnsi"/>
          <w:color w:val="2C2D5B"/>
        </w:rPr>
      </w:pPr>
      <w:r w:rsidRPr="00D53B3E">
        <w:rPr>
          <w:rFonts w:asciiTheme="majorHAnsi" w:hAnsiTheme="majorHAnsi" w:cstheme="majorHAnsi"/>
          <w:b/>
          <w:bCs/>
          <w:color w:val="2C2D5B"/>
        </w:rPr>
        <w:t>Case studies</w:t>
      </w:r>
      <w:r w:rsidRPr="00D53B3E">
        <w:rPr>
          <w:rFonts w:asciiTheme="majorHAnsi" w:hAnsiTheme="majorHAnsi" w:cstheme="majorHAnsi"/>
          <w:color w:val="2C2D5B"/>
        </w:rPr>
        <w:t xml:space="preserve"> illustrating how the Charter has been invoked and interpreted by national courts.</w:t>
      </w:r>
    </w:p>
    <w:p w14:paraId="45B9F417" w14:textId="77777777" w:rsidR="00516387" w:rsidRPr="00D53B3E" w:rsidRDefault="00516387" w:rsidP="00253E61">
      <w:pPr>
        <w:numPr>
          <w:ilvl w:val="0"/>
          <w:numId w:val="33"/>
        </w:numPr>
        <w:spacing w:line="276" w:lineRule="auto"/>
        <w:jc w:val="both"/>
        <w:rPr>
          <w:rFonts w:asciiTheme="majorHAnsi" w:hAnsiTheme="majorHAnsi" w:cstheme="majorHAnsi"/>
          <w:color w:val="2C2D5B"/>
        </w:rPr>
      </w:pPr>
      <w:r w:rsidRPr="00D53B3E">
        <w:rPr>
          <w:rFonts w:asciiTheme="majorHAnsi" w:hAnsiTheme="majorHAnsi" w:cstheme="majorHAnsi"/>
          <w:b/>
          <w:bCs/>
          <w:color w:val="2C2D5B"/>
        </w:rPr>
        <w:t>Key challenges and trends</w:t>
      </w:r>
      <w:r w:rsidRPr="00D53B3E">
        <w:rPr>
          <w:rFonts w:asciiTheme="majorHAnsi" w:hAnsiTheme="majorHAnsi" w:cstheme="majorHAnsi"/>
          <w:color w:val="2C2D5B"/>
        </w:rPr>
        <w:t xml:space="preserve"> in the implementation and enforcement of the Charter at the national level.</w:t>
      </w:r>
    </w:p>
    <w:p w14:paraId="09D5EF39" w14:textId="33CEE461" w:rsidR="00516387" w:rsidRPr="00D53B3E" w:rsidRDefault="00516387" w:rsidP="00516387">
      <w:pPr>
        <w:spacing w:line="276" w:lineRule="auto"/>
        <w:jc w:val="both"/>
        <w:rPr>
          <w:rFonts w:asciiTheme="majorHAnsi" w:hAnsiTheme="majorHAnsi" w:cstheme="majorHAnsi"/>
          <w:color w:val="2C2D5B"/>
        </w:rPr>
      </w:pPr>
      <w:r w:rsidRPr="00D53B3E">
        <w:rPr>
          <w:rFonts w:asciiTheme="majorHAnsi" w:hAnsiTheme="majorHAnsi" w:cstheme="majorHAnsi"/>
          <w:color w:val="2C2D5B"/>
        </w:rPr>
        <w:t>The appendices are designed to serve as practical reference points for lawyers, trainees, and legal practitioners, demonstrating the Charter’s relevance in addressing contemporary legal issues and enhancing fundamental rights protection across the EU.</w:t>
      </w:r>
    </w:p>
    <w:p w14:paraId="344C0034" w14:textId="7781E77C" w:rsidR="006C12BA" w:rsidRDefault="00516387" w:rsidP="00734A07">
      <w:pPr>
        <w:rPr>
          <w:rFonts w:asciiTheme="majorHAnsi" w:hAnsiTheme="majorHAnsi" w:cstheme="majorHAnsi"/>
        </w:rPr>
      </w:pPr>
      <w:r>
        <w:rPr>
          <w:rFonts w:asciiTheme="majorHAnsi" w:hAnsiTheme="majorHAnsi" w:cstheme="majorHAnsi"/>
        </w:rPr>
        <w:br w:type="page"/>
      </w:r>
    </w:p>
    <w:p w14:paraId="29D837B5" w14:textId="575D6FA2" w:rsidR="006C12BA" w:rsidRPr="00E74A1C" w:rsidRDefault="006C12BA" w:rsidP="00E74A1C">
      <w:pPr>
        <w:tabs>
          <w:tab w:val="left" w:pos="1476"/>
        </w:tabs>
        <w:spacing w:line="276" w:lineRule="auto"/>
        <w:jc w:val="both"/>
        <w:rPr>
          <w:rFonts w:ascii="Calibri" w:hAnsi="Calibri" w:cs="Calibri"/>
          <w:b/>
          <w:bCs/>
          <w:sz w:val="16"/>
          <w:szCs w:val="16"/>
        </w:rPr>
      </w:pPr>
    </w:p>
    <w:p w14:paraId="2F7EDFB9" w14:textId="68110D8A" w:rsidR="00E15CD2" w:rsidRPr="00E74A1C" w:rsidRDefault="00E74A1C" w:rsidP="00E74A1C">
      <w:pPr>
        <w:pStyle w:val="Nadpis1"/>
        <w:ind w:left="1080"/>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A300E">
        <w:rPr>
          <w:rFonts w:ascii="Calibri" w:hAnsi="Calibri" w:cs="Calibri"/>
          <w:b/>
          <w:bCs/>
          <w:noProof/>
          <w:color w:val="FFFFFF" w:themeColor="background1"/>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Contextual"/>
        </w:rPr>
        <mc:AlternateContent>
          <mc:Choice Requires="wps">
            <w:drawing>
              <wp:anchor distT="0" distB="0" distL="114300" distR="114300" simplePos="0" relativeHeight="251862016" behindDoc="0" locked="0" layoutInCell="1" allowOverlap="1" wp14:anchorId="0D9FF392" wp14:editId="0CF80BCC">
                <wp:simplePos x="0" y="0"/>
                <wp:positionH relativeFrom="column">
                  <wp:posOffset>710360</wp:posOffset>
                </wp:positionH>
                <wp:positionV relativeFrom="paragraph">
                  <wp:posOffset>579010</wp:posOffset>
                </wp:positionV>
                <wp:extent cx="586740" cy="45085"/>
                <wp:effectExtent l="38100" t="38100" r="60960" b="88265"/>
                <wp:wrapNone/>
                <wp:docPr id="1847036513" name="Rectangle 63"/>
                <wp:cNvGraphicFramePr/>
                <a:graphic xmlns:a="http://schemas.openxmlformats.org/drawingml/2006/main">
                  <a:graphicData uri="http://schemas.microsoft.com/office/word/2010/wordprocessingShape">
                    <wps:wsp>
                      <wps:cNvSpPr/>
                      <wps:spPr>
                        <a:xfrm>
                          <a:off x="0" y="0"/>
                          <a:ext cx="586740" cy="45085"/>
                        </a:xfrm>
                        <a:prstGeom prst="rect">
                          <a:avLst/>
                        </a:prstGeom>
                        <a:solidFill>
                          <a:srgbClr val="B6A04C"/>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4A8DE1A" id="Rectangle 63" o:spid="_x0000_s1026" style="position:absolute;margin-left:55.95pt;margin-top:45.6pt;width:46.2pt;height:3.55pt;z-index:2518620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xMk0wIAABIGAAAOAAAAZHJzL2Uyb0RvYy54bWysVFFv2jAQfp+0/2D5fU1g0DLUUDGqTpOq&#10;FpVOfTaOQ6w5tmcbAvv1u7NDYG2fpvFgfPHdd9999t31zb5RZCecl0YXdHCRUyI0N6XUm4L+eL77&#10;NKHEB6ZLpowWBT0IT29mHz9ct3YqhqY2qhSOAIj209YWtA7BTrPM81o0zF8YKzQcVsY1LIDpNlnp&#10;WAvojcqGeX6ZtcaV1hkuvIevt+mQziJ+VQkeHqvKi0BUQYFbiKuL6xrXbHbNphvHbC15R4P9A4uG&#10;SQ1Je6hbFhjZOvkGqpHcGW+qcMFNk5mqklzEGqCaQf6qmlXNrIi1gDje9jL5/wfLH3Yru3QgQ2v9&#10;1MMWq9hXrsF/4Ef2UaxDL5bYB8Lh43hyeTUCSTkcjcb5ZIxaZqdY63z4JkxDcFNQB1cRFWK7ex+S&#10;69EFU3mjZHknlYqG26wXypEdg2v7ejnPR4sO/S83pdFZGwxLiOmLiBcPaWIN2yDcqi5bslZb98RK&#10;oJ5PcmBeSiT2eTJIBryK4VWOP0qY2sBzDooSZ8KLDHW8CtQAIZF3T2+tGP+ZKlO2ZonzKMKcqgTv&#10;KI45konWGc/sJH/chYMSmErpJ1ERWYLgw5gkdoboszPOhQ6DdFSzUqT8gzGWkfL3ETFnBETkCkTr&#10;sTsA7Lq32Amm88fQxLsPTqL0aRKDI7EU3EfEzEaHPriR2rj3KlNQVZc5+QP9M2lwuzblYenwiuIb&#10;9ZbfSbiae+bDkjnoY7hJmE3hEZZKmbagpttRUhv3+73v6A/tBaeUtDAXCup/bZkTlKjvGhrvy2CE&#10;rz5EYzS+GoLhzk/W5yd62ywMvOEBTEHL4xb9gzpuK2eaFxhhc8wKR0xzyF1QHtzRWIQ0r2AIcjGf&#10;RzcYHpaFe72yHMFRVXyUz/sX5mzXcQE69cEcZwibvmq85IuR2sy3wVQyduVJ105vGDzx4XRDEifb&#10;uR29TqN89gcAAP//AwBQSwMEFAAGAAgAAAAhAOgE/8TbAAAACQEAAA8AAABkcnMvZG93bnJldi54&#10;bWxMj8tOwzAQRfdI/IM1SOyonQeQhjgVoopYt+UD3HhIIuJxFLtN+HuGFSzvzNGdM9VudaO44hwG&#10;TxqSjQKB1Ho7UKfh49Q8FCBCNGTN6Ak1fGOAXX17U5nS+oUOeD3GTnAJhdJo6GOcSilD26MzYeMn&#10;JN59+tmZyHHupJ3NwuVulKlST9KZgfhCbyZ867H9Ol6chvclb6xqc+kwez7Eptg/Nnav9f3d+voC&#10;IuIa/2D41Wd1qNnp7C9kgxg5J8mWUQ3bJAXBQKryDMSZB0UGsq7k/w/qHwAAAP//AwBQSwECLQAU&#10;AAYACAAAACEAtoM4kv4AAADhAQAAEwAAAAAAAAAAAAAAAAAAAAAAW0NvbnRlbnRfVHlwZXNdLnht&#10;bFBLAQItABQABgAIAAAAIQA4/SH/1gAAAJQBAAALAAAAAAAAAAAAAAAAAC8BAABfcmVscy8ucmVs&#10;c1BLAQItABQABgAIAAAAIQCvgxMk0wIAABIGAAAOAAAAAAAAAAAAAAAAAC4CAABkcnMvZTJvRG9j&#10;LnhtbFBLAQItABQABgAIAAAAIQDoBP/E2wAAAAkBAAAPAAAAAAAAAAAAAAAAAC0FAABkcnMvZG93&#10;bnJldi54bWxQSwUGAAAAAAQABADzAAAANQYAAAAA&#10;" fillcolor="#b6a04c" stroked="f" strokeweight="1pt">
                <v:shadow on="t" color="black" opacity="26214f" origin="-.5,-.5" offset=".74836mm,.74836mm"/>
              </v:rect>
            </w:pict>
          </mc:Fallback>
        </mc:AlternateContent>
      </w:r>
      <w:r w:rsidR="006C12BA" w:rsidRPr="00E74A1C">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APPENDIX </w:t>
      </w:r>
      <w:r w:rsidR="004250DD" w:rsidRPr="00C32062">
        <w:rPr>
          <w:rFonts w:ascii="Calibri" w:hAnsi="Calibri" w:cs="Calibri"/>
          <w:b/>
          <w:bCs/>
          <w:color w:val="B6A04C"/>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1</w:t>
      </w:r>
      <w:r>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4250DD" w:rsidRPr="00E74A1C">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CZECH REPUBLIC</w:t>
      </w:r>
    </w:p>
    <w:p w14:paraId="43F5C9FD" w14:textId="49D2A89C" w:rsidR="004250DD" w:rsidRPr="004250DD" w:rsidRDefault="004250DD" w:rsidP="004250DD">
      <w:pPr>
        <w:spacing w:line="276" w:lineRule="auto"/>
        <w:ind w:left="708"/>
        <w:jc w:val="center"/>
        <w:rPr>
          <w:rFonts w:ascii="Calibri" w:hAnsi="Calibri" w:cs="Calibri"/>
          <w:b/>
          <w:bCs/>
          <w:color w:val="002060"/>
          <w:sz w:val="32"/>
          <w:szCs w:val="32"/>
        </w:rPr>
      </w:pPr>
    </w:p>
    <w:p w14:paraId="116BAA4B" w14:textId="77777777" w:rsidR="00611B71" w:rsidRPr="005A6959" w:rsidRDefault="00611B71" w:rsidP="00327D5A">
      <w:pPr>
        <w:pStyle w:val="Odstavecseseznamem"/>
        <w:spacing w:line="276" w:lineRule="auto"/>
        <w:jc w:val="both"/>
        <w:rPr>
          <w:rFonts w:ascii="Calibri" w:hAnsi="Calibri" w:cs="Calibri"/>
          <w:b/>
          <w:bCs/>
        </w:rPr>
      </w:pPr>
    </w:p>
    <w:p w14:paraId="377FC97E" w14:textId="1C2E3410" w:rsidR="00EC1D3B" w:rsidRPr="00E74A1C" w:rsidRDefault="00E74A1C" w:rsidP="00E74A1C">
      <w:pPr>
        <w:pStyle w:val="Odstavecseseznamem"/>
        <w:numPr>
          <w:ilvl w:val="1"/>
          <w:numId w:val="32"/>
        </w:numPr>
        <w:spacing w:after="120" w:line="276" w:lineRule="auto"/>
        <w:ind w:left="142" w:hanging="426"/>
        <w:jc w:val="both"/>
        <w:rPr>
          <w:rFonts w:ascii="Calibri" w:hAnsi="Calibri" w:cs="Calibri"/>
          <w:b/>
          <w:bCs/>
          <w:color w:val="0070C0"/>
          <w:sz w:val="32"/>
          <w:szCs w:val="32"/>
        </w:rPr>
      </w:pPr>
      <w:r>
        <w:rPr>
          <w:rFonts w:ascii="Calibri" w:hAnsi="Calibri" w:cs="Calibri"/>
          <w:b/>
          <w:bCs/>
          <w:color w:val="0070C0"/>
          <w:sz w:val="32"/>
          <w:szCs w:val="32"/>
        </w:rPr>
        <w:t xml:space="preserve"> </w:t>
      </w:r>
      <w:r w:rsidR="00957174" w:rsidRPr="00C32062">
        <w:rPr>
          <w:rFonts w:ascii="Calibri" w:hAnsi="Calibri" w:cs="Calibri"/>
          <w:b/>
          <w:bCs/>
          <w:color w:val="2F5496" w:themeColor="accent1" w:themeShade="BF"/>
          <w:sz w:val="32"/>
          <w:szCs w:val="32"/>
        </w:rPr>
        <w:t>Scope and Application of EChFR rights in Czech Republic</w:t>
      </w:r>
    </w:p>
    <w:p w14:paraId="315979CD" w14:textId="6C797808" w:rsidR="00E15CD2" w:rsidRPr="00E74A1C" w:rsidRDefault="00E15CD2" w:rsidP="00F37B27">
      <w:pPr>
        <w:spacing w:after="120" w:line="276" w:lineRule="auto"/>
        <w:jc w:val="both"/>
        <w:rPr>
          <w:rFonts w:asciiTheme="majorHAnsi" w:hAnsiTheme="majorHAnsi" w:cstheme="majorHAnsi"/>
          <w:color w:val="2C2D5B"/>
        </w:rPr>
      </w:pPr>
      <w:r w:rsidRPr="00E74A1C">
        <w:rPr>
          <w:rFonts w:asciiTheme="majorHAnsi" w:hAnsiTheme="majorHAnsi" w:cstheme="majorHAnsi"/>
          <w:color w:val="2C2D5B"/>
        </w:rPr>
        <w:t>As already mentioned, one of the main merits of the EChFR lies in the fact that</w:t>
      </w:r>
      <w:r w:rsidR="00611B71" w:rsidRPr="00E74A1C">
        <w:rPr>
          <w:rFonts w:asciiTheme="majorHAnsi" w:hAnsiTheme="majorHAnsi" w:cstheme="majorHAnsi"/>
          <w:color w:val="2C2D5B"/>
        </w:rPr>
        <w:t xml:space="preserve"> it</w:t>
      </w:r>
      <w:r w:rsidRPr="00E74A1C">
        <w:rPr>
          <w:rFonts w:asciiTheme="majorHAnsi" w:hAnsiTheme="majorHAnsi" w:cstheme="majorHAnsi"/>
          <w:color w:val="2C2D5B"/>
        </w:rPr>
        <w:t xml:space="preserve"> articulates explicitly and transparently the rights protected within the European Union. At the same time, it is essential to bear in mind that the rights protected by the EChFR are applicable only when "implementation of European law" is </w:t>
      </w:r>
      <w:r w:rsidR="00957174" w:rsidRPr="00E74A1C">
        <w:rPr>
          <w:rFonts w:asciiTheme="majorHAnsi" w:hAnsiTheme="majorHAnsi" w:cstheme="majorHAnsi"/>
          <w:color w:val="2C2D5B"/>
        </w:rPr>
        <w:t xml:space="preserve">involved </w:t>
      </w:r>
      <w:r w:rsidRPr="00E74A1C">
        <w:rPr>
          <w:rFonts w:asciiTheme="majorHAnsi" w:hAnsiTheme="majorHAnsi" w:cstheme="majorHAnsi"/>
          <w:color w:val="2C2D5B"/>
        </w:rPr>
        <w:t>(Article 51 EChFR)</w:t>
      </w:r>
      <w:r w:rsidR="00E401DB" w:rsidRPr="00E74A1C">
        <w:rPr>
          <w:rFonts w:asciiTheme="majorHAnsi" w:hAnsiTheme="majorHAnsi" w:cstheme="majorHAnsi"/>
          <w:color w:val="2C2D5B"/>
        </w:rPr>
        <w:t>.</w:t>
      </w:r>
      <w:r w:rsidRPr="00E74A1C">
        <w:rPr>
          <w:rFonts w:asciiTheme="majorHAnsi" w:hAnsiTheme="majorHAnsi" w:cstheme="majorHAnsi"/>
          <w:color w:val="2C2D5B"/>
        </w:rPr>
        <w:t xml:space="preserve"> </w:t>
      </w:r>
      <w:r w:rsidR="00E401DB" w:rsidRPr="00E74A1C">
        <w:rPr>
          <w:rFonts w:asciiTheme="majorHAnsi" w:hAnsiTheme="majorHAnsi" w:cstheme="majorHAnsi"/>
          <w:color w:val="2C2D5B"/>
        </w:rPr>
        <w:t>Consequently</w:t>
      </w:r>
      <w:r w:rsidRPr="00E74A1C">
        <w:rPr>
          <w:rFonts w:asciiTheme="majorHAnsi" w:hAnsiTheme="majorHAnsi" w:cstheme="majorHAnsi"/>
          <w:color w:val="2C2D5B"/>
        </w:rPr>
        <w:t>, the EChFR and the rights outlined within it are binding on all Member States and EU institutions.</w:t>
      </w:r>
    </w:p>
    <w:p w14:paraId="02344785" w14:textId="69B2B8A8" w:rsidR="00E15CD2" w:rsidRPr="00E74A1C" w:rsidRDefault="00E15CD2" w:rsidP="00F37B27">
      <w:pPr>
        <w:spacing w:after="120" w:line="276" w:lineRule="auto"/>
        <w:jc w:val="both"/>
        <w:rPr>
          <w:rFonts w:asciiTheme="majorHAnsi" w:hAnsiTheme="majorHAnsi" w:cstheme="majorHAnsi"/>
          <w:color w:val="2C2D5B"/>
        </w:rPr>
      </w:pPr>
      <w:r w:rsidRPr="00E74A1C">
        <w:rPr>
          <w:rFonts w:asciiTheme="majorHAnsi" w:hAnsiTheme="majorHAnsi" w:cstheme="majorHAnsi"/>
          <w:color w:val="2C2D5B"/>
        </w:rPr>
        <w:t xml:space="preserve">While the EChFR also enshrines rights not yet explicitly articulated in other human rights instruments and extends the scope of application of </w:t>
      </w:r>
      <w:r w:rsidR="00E401DB" w:rsidRPr="00E74A1C">
        <w:rPr>
          <w:rFonts w:asciiTheme="majorHAnsi" w:hAnsiTheme="majorHAnsi" w:cstheme="majorHAnsi"/>
          <w:color w:val="2C2D5B"/>
        </w:rPr>
        <w:t xml:space="preserve">certain </w:t>
      </w:r>
      <w:r w:rsidRPr="00E74A1C">
        <w:rPr>
          <w:rFonts w:asciiTheme="majorHAnsi" w:hAnsiTheme="majorHAnsi" w:cstheme="majorHAnsi"/>
          <w:color w:val="2C2D5B"/>
        </w:rPr>
        <w:t>rights to areas that have remained "uncovered" by</w:t>
      </w:r>
      <w:r w:rsidR="00E401DB" w:rsidRPr="00E74A1C">
        <w:rPr>
          <w:rFonts w:asciiTheme="majorHAnsi" w:hAnsiTheme="majorHAnsi" w:cstheme="majorHAnsi"/>
          <w:color w:val="2C2D5B"/>
        </w:rPr>
        <w:t xml:space="preserve"> existing </w:t>
      </w:r>
      <w:r w:rsidRPr="00E74A1C">
        <w:rPr>
          <w:rFonts w:asciiTheme="majorHAnsi" w:hAnsiTheme="majorHAnsi" w:cstheme="majorHAnsi"/>
          <w:color w:val="2C2D5B"/>
        </w:rPr>
        <w:t>human rights instruments, national institutions often forget to incorporate the EChFR in their deliberations.</w:t>
      </w:r>
    </w:p>
    <w:p w14:paraId="1A797863" w14:textId="527F6ACA" w:rsidR="00E15CD2" w:rsidRPr="00E74A1C" w:rsidRDefault="00E401DB" w:rsidP="00F37B27">
      <w:pPr>
        <w:spacing w:after="120" w:line="276" w:lineRule="auto"/>
        <w:jc w:val="both"/>
        <w:rPr>
          <w:rFonts w:asciiTheme="majorHAnsi" w:hAnsiTheme="majorHAnsi" w:cstheme="majorHAnsi"/>
          <w:color w:val="2C2D5B"/>
        </w:rPr>
      </w:pPr>
      <w:r w:rsidRPr="00E74A1C">
        <w:rPr>
          <w:rFonts w:asciiTheme="majorHAnsi" w:hAnsiTheme="majorHAnsi" w:cstheme="majorHAnsi"/>
          <w:color w:val="2C2D5B"/>
        </w:rPr>
        <w:t xml:space="preserve">This tendency is also seen in </w:t>
      </w:r>
      <w:r w:rsidR="00E15CD2" w:rsidRPr="00E74A1C">
        <w:rPr>
          <w:rFonts w:asciiTheme="majorHAnsi" w:hAnsiTheme="majorHAnsi" w:cstheme="majorHAnsi"/>
          <w:color w:val="2C2D5B"/>
        </w:rPr>
        <w:t>Central and Eastern Europe</w:t>
      </w:r>
      <w:r w:rsidRPr="00E74A1C">
        <w:rPr>
          <w:rFonts w:asciiTheme="majorHAnsi" w:hAnsiTheme="majorHAnsi" w:cstheme="majorHAnsi"/>
          <w:color w:val="2C2D5B"/>
        </w:rPr>
        <w:t>an Member States</w:t>
      </w:r>
      <w:r w:rsidR="00E15CD2" w:rsidRPr="00E74A1C">
        <w:rPr>
          <w:rFonts w:asciiTheme="majorHAnsi" w:hAnsiTheme="majorHAnsi" w:cstheme="majorHAnsi"/>
          <w:color w:val="2C2D5B"/>
        </w:rPr>
        <w:t xml:space="preserve">, which were part of the </w:t>
      </w:r>
      <w:r w:rsidR="00B26B00" w:rsidRPr="00E74A1C">
        <w:rPr>
          <w:rFonts w:asciiTheme="majorHAnsi" w:hAnsiTheme="majorHAnsi" w:cstheme="majorHAnsi"/>
          <w:color w:val="2C2D5B"/>
        </w:rPr>
        <w:t>‘big bang’</w:t>
      </w:r>
      <w:r w:rsidR="00E15CD2" w:rsidRPr="00E74A1C">
        <w:rPr>
          <w:rFonts w:asciiTheme="majorHAnsi" w:hAnsiTheme="majorHAnsi" w:cstheme="majorHAnsi"/>
          <w:color w:val="2C2D5B"/>
        </w:rPr>
        <w:t xml:space="preserve"> enlargement of the </w:t>
      </w:r>
      <w:r w:rsidRPr="00E74A1C">
        <w:rPr>
          <w:rFonts w:asciiTheme="majorHAnsi" w:hAnsiTheme="majorHAnsi" w:cstheme="majorHAnsi"/>
          <w:color w:val="2C2D5B"/>
        </w:rPr>
        <w:t xml:space="preserve">European </w:t>
      </w:r>
      <w:r w:rsidR="00E15CD2" w:rsidRPr="00E74A1C">
        <w:rPr>
          <w:rFonts w:asciiTheme="majorHAnsi" w:hAnsiTheme="majorHAnsi" w:cstheme="majorHAnsi"/>
          <w:color w:val="2C2D5B"/>
        </w:rPr>
        <w:t xml:space="preserve">Union over 20 years ago. The Czech Republic is a vivid example of this: it has been a Member State since 2004 and has significant experience in aligning its legislation with EU law. </w:t>
      </w:r>
      <w:r w:rsidRPr="00E74A1C">
        <w:rPr>
          <w:rFonts w:asciiTheme="majorHAnsi" w:hAnsiTheme="majorHAnsi" w:cstheme="majorHAnsi"/>
          <w:color w:val="2C2D5B"/>
        </w:rPr>
        <w:t xml:space="preserve">This alignment extends </w:t>
      </w:r>
      <w:r w:rsidR="00E15CD2" w:rsidRPr="00E74A1C">
        <w:rPr>
          <w:rFonts w:asciiTheme="majorHAnsi" w:hAnsiTheme="majorHAnsi" w:cstheme="majorHAnsi"/>
          <w:color w:val="2C2D5B"/>
        </w:rPr>
        <w:t>to the application and interpretation of EU law by administrative and other courts of the Czech Republic</w:t>
      </w:r>
      <w:r w:rsidRPr="00E74A1C">
        <w:rPr>
          <w:rFonts w:asciiTheme="majorHAnsi" w:hAnsiTheme="majorHAnsi" w:cstheme="majorHAnsi"/>
          <w:color w:val="2C2D5B"/>
        </w:rPr>
        <w:t xml:space="preserve"> which</w:t>
      </w:r>
      <w:r w:rsidR="00E15CD2" w:rsidRPr="00E74A1C">
        <w:rPr>
          <w:rFonts w:asciiTheme="majorHAnsi" w:hAnsiTheme="majorHAnsi" w:cstheme="majorHAnsi"/>
          <w:color w:val="2C2D5B"/>
        </w:rPr>
        <w:t xml:space="preserve"> have considerable experience applying EU law</w:t>
      </w:r>
      <w:r w:rsidRPr="00E74A1C">
        <w:rPr>
          <w:rFonts w:asciiTheme="majorHAnsi" w:hAnsiTheme="majorHAnsi" w:cstheme="majorHAnsi"/>
          <w:color w:val="2C2D5B"/>
        </w:rPr>
        <w:t>.</w:t>
      </w:r>
      <w:r w:rsidR="00E15CD2" w:rsidRPr="00E74A1C">
        <w:rPr>
          <w:rFonts w:asciiTheme="majorHAnsi" w:hAnsiTheme="majorHAnsi" w:cstheme="majorHAnsi"/>
          <w:color w:val="2C2D5B"/>
        </w:rPr>
        <w:t xml:space="preserve"> </w:t>
      </w:r>
      <w:r w:rsidRPr="00E74A1C">
        <w:rPr>
          <w:rFonts w:asciiTheme="majorHAnsi" w:hAnsiTheme="majorHAnsi" w:cstheme="majorHAnsi"/>
          <w:color w:val="2C2D5B"/>
        </w:rPr>
        <w:t>M</w:t>
      </w:r>
      <w:r w:rsidR="00E15CD2" w:rsidRPr="00E74A1C">
        <w:rPr>
          <w:rFonts w:asciiTheme="majorHAnsi" w:hAnsiTheme="majorHAnsi" w:cstheme="majorHAnsi"/>
          <w:color w:val="2C2D5B"/>
        </w:rPr>
        <w:t>oreover,</w:t>
      </w:r>
      <w:r w:rsidRPr="00E74A1C">
        <w:rPr>
          <w:rFonts w:asciiTheme="majorHAnsi" w:hAnsiTheme="majorHAnsi" w:cstheme="majorHAnsi"/>
          <w:color w:val="2C2D5B"/>
        </w:rPr>
        <w:t xml:space="preserve"> under Articles 10 and 10a of the Czech Constitution, EU law</w:t>
      </w:r>
      <w:r w:rsidR="00E15CD2" w:rsidRPr="00E74A1C">
        <w:rPr>
          <w:rFonts w:asciiTheme="majorHAnsi" w:hAnsiTheme="majorHAnsi" w:cstheme="majorHAnsi"/>
          <w:color w:val="2C2D5B"/>
        </w:rPr>
        <w:t xml:space="preserve"> takes precedence over Czech national legislation</w:t>
      </w:r>
      <w:r w:rsidRPr="00E74A1C">
        <w:rPr>
          <w:rFonts w:asciiTheme="majorHAnsi" w:hAnsiTheme="majorHAnsi" w:cstheme="majorHAnsi"/>
          <w:color w:val="2C2D5B"/>
        </w:rPr>
        <w:t>.</w:t>
      </w:r>
    </w:p>
    <w:p w14:paraId="02D6390B" w14:textId="18B8CC5D" w:rsidR="00CB0F71" w:rsidRPr="00E74A1C" w:rsidRDefault="00E74A1C" w:rsidP="00E74A1C">
      <w:pPr>
        <w:pStyle w:val="Odstavecseseznamem"/>
        <w:numPr>
          <w:ilvl w:val="1"/>
          <w:numId w:val="32"/>
        </w:numPr>
        <w:spacing w:after="120" w:line="276" w:lineRule="auto"/>
        <w:ind w:left="142" w:hanging="426"/>
        <w:jc w:val="both"/>
        <w:rPr>
          <w:rFonts w:ascii="Calibri" w:hAnsi="Calibri" w:cs="Calibri"/>
          <w:b/>
          <w:bCs/>
          <w:color w:val="0070C0"/>
          <w:sz w:val="32"/>
          <w:szCs w:val="32"/>
        </w:rPr>
      </w:pPr>
      <w:r>
        <w:rPr>
          <w:rFonts w:ascii="Calibri" w:hAnsi="Calibri" w:cs="Calibri"/>
          <w:b/>
          <w:bCs/>
          <w:color w:val="0070C0"/>
          <w:sz w:val="32"/>
          <w:szCs w:val="32"/>
        </w:rPr>
        <w:t xml:space="preserve"> </w:t>
      </w:r>
      <w:r w:rsidR="00CB0F71" w:rsidRPr="00C32062">
        <w:rPr>
          <w:rFonts w:ascii="Calibri" w:hAnsi="Calibri" w:cs="Calibri"/>
          <w:b/>
          <w:bCs/>
          <w:color w:val="2F5496" w:themeColor="accent1" w:themeShade="BF"/>
          <w:sz w:val="32"/>
          <w:szCs w:val="32"/>
        </w:rPr>
        <w:t>Case Study</w:t>
      </w:r>
      <w:r w:rsidR="005067A3" w:rsidRPr="00C32062">
        <w:rPr>
          <w:rFonts w:ascii="Calibri" w:hAnsi="Calibri" w:cs="Calibri"/>
          <w:b/>
          <w:bCs/>
          <w:color w:val="2F5496" w:themeColor="accent1" w:themeShade="BF"/>
          <w:sz w:val="32"/>
          <w:szCs w:val="32"/>
        </w:rPr>
        <w:t xml:space="preserve"> 1</w:t>
      </w:r>
      <w:r w:rsidR="00CB0F71" w:rsidRPr="00C32062">
        <w:rPr>
          <w:rFonts w:ascii="Calibri" w:hAnsi="Calibri" w:cs="Calibri"/>
          <w:b/>
          <w:bCs/>
          <w:color w:val="2F5496" w:themeColor="accent1" w:themeShade="BF"/>
          <w:sz w:val="32"/>
          <w:szCs w:val="32"/>
        </w:rPr>
        <w:t>: Temporary Protection in the Czech Republic</w:t>
      </w:r>
    </w:p>
    <w:p w14:paraId="3222FDE9" w14:textId="0081C75D" w:rsidR="00516387" w:rsidRPr="00E74A1C" w:rsidRDefault="00C32062" w:rsidP="00F37B27">
      <w:pPr>
        <w:spacing w:after="120" w:line="276" w:lineRule="auto"/>
        <w:jc w:val="both"/>
        <w:rPr>
          <w:rFonts w:asciiTheme="majorHAnsi" w:hAnsiTheme="majorHAnsi" w:cstheme="majorHAnsi"/>
          <w:color w:val="2C2D5B"/>
        </w:rPr>
      </w:pPr>
      <w:r>
        <w:rPr>
          <w:rFonts w:asciiTheme="majorHAnsi" w:hAnsiTheme="majorHAnsi" w:cstheme="majorHAnsi"/>
          <w:noProof/>
          <w:color w:val="000000"/>
          <w14:ligatures w14:val="standardContextual"/>
        </w:rPr>
        <mc:AlternateContent>
          <mc:Choice Requires="wps">
            <w:drawing>
              <wp:anchor distT="0" distB="0" distL="114300" distR="114300" simplePos="0" relativeHeight="251957248" behindDoc="0" locked="0" layoutInCell="1" allowOverlap="1" wp14:anchorId="3C9633C5" wp14:editId="2A6794D6">
                <wp:simplePos x="0" y="0"/>
                <wp:positionH relativeFrom="column">
                  <wp:posOffset>5474970</wp:posOffset>
                </wp:positionH>
                <wp:positionV relativeFrom="paragraph">
                  <wp:posOffset>876935</wp:posOffset>
                </wp:positionV>
                <wp:extent cx="670560" cy="620395"/>
                <wp:effectExtent l="0" t="0" r="0" b="8255"/>
                <wp:wrapNone/>
                <wp:docPr id="1914171329" name="Ellipse 68"/>
                <wp:cNvGraphicFramePr/>
                <a:graphic xmlns:a="http://schemas.openxmlformats.org/drawingml/2006/main">
                  <a:graphicData uri="http://schemas.microsoft.com/office/word/2010/wordprocessingShape">
                    <wps:wsp>
                      <wps:cNvSpPr/>
                      <wps:spPr>
                        <a:xfrm>
                          <a:off x="0" y="0"/>
                          <a:ext cx="670560" cy="620395"/>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0BD889EC" id="Ellipse 68" o:spid="_x0000_s1026" style="position:absolute;margin-left:431.1pt;margin-top:69.05pt;width:52.8pt;height:48.85pt;z-index:2519572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urfAIAAGAFAAAOAAAAZHJzL2Uyb0RvYy54bWysVFFv2yAQfp+0/4B4X21nSbpGcaooVadJ&#10;VVutnfpMMMRImGNA4mS/fgd2nHSt9jDtBQN3993d5++YX+8bTXbCeQWmpMVFTokwHCplNiX98Xz7&#10;6QslPjBTMQ1GlPQgPL1efPwwb+1MjKAGXQlHEMT4WWtLWodgZ1nmeS0a5i/ACoNGCa5hAY9uk1WO&#10;tYje6GyU59OsBVdZB1x4j7c3nZEuEr6UgocHKb0IRJcUawtpdWldxzVbzNls45itFe/LYP9QRcOU&#10;waQD1A0LjGydegPVKO7AgwwXHJoMpFRcpB6wmyL/o5unmlmRekFyvB1o8v8Plt/vnuyjQxpa62ce&#10;t7GLvXRN/GJ9ZJ/IOgxkiX0gHC+nl/lkipRyNE1H+eerSSQzOwVb58NXAQ2Jm5IKrZX1sR02Y7s7&#10;Hzrvo1e89qBVdau0TocoAbHSjuwY/rz1pujxX3lpE30NxKgOMN5kp2bSLhy0iH7afBeSqArLH6VC&#10;ks5OSRjnwoSiM9WsEl3uYpLnSSrY3RCRek2AEVli/gG7B3jdwBG7q7L3j6EiyXQIzv9WWBc8RKTM&#10;YMIQ3CgD7j0AjV31mTv/I0kdNZGlNVSHR0ccdEPiLb9V+OfumA+PzOFU4M/GSQ8PuEgNbUmh31FS&#10;g/v13n30R7GilZIWp6yk/ueWOUGJ/mZQxlfFeBzHMh3Gk8sRHty5ZX1uMdtmBaiFAt8Uy9M2+gd9&#10;3EoHzQs+CMuYFU3McMxdUh7c8bAK3fTjk8LFcpnccBQtC3fmyfIIHlmNsnzevzBne/kG1P09HCfy&#10;jYQ73xhpYLkNIFXS94nXnm8c4ySc/smJ78T5OXmdHsbFbwAAAP//AwBQSwMEFAAGAAgAAAAhAFcS&#10;+HLiAAAACwEAAA8AAABkcnMvZG93bnJldi54bWxMj8tOwzAQRfdI/IM1SOyo00QJIcSpEK9NC1UD&#10;EmLnxiaJGo8j223C3zOsYDm6R3fOLVezGdhJO99bFLBcRMA0Nlb12Ap4f3u6yoH5IFHJwaIW8K09&#10;rKrzs1IWyk6406c6tIxK0BdSQBfCWHDum04b6Rd21EjZl3VGBjpdy5WTE5WbgcdRlHEje6QPnRz1&#10;faebQ300AjYfr4fEpc8P25fH9VRHSdrX608hLi/mu1tgQc/hD4ZffVKHipz29ojKs0FAnsUxoRQk&#10;+RIYETfZNY3ZC4iTNAdelfz/huoHAAD//wMAUEsBAi0AFAAGAAgAAAAhALaDOJL+AAAA4QEAABMA&#10;AAAAAAAAAAAAAAAAAAAAAFtDb250ZW50X1R5cGVzXS54bWxQSwECLQAUAAYACAAAACEAOP0h/9YA&#10;AACUAQAACwAAAAAAAAAAAAAAAAAvAQAAX3JlbHMvLnJlbHNQSwECLQAUAAYACAAAACEAP1Pbq3wC&#10;AABgBQAADgAAAAAAAAAAAAAAAAAuAgAAZHJzL2Uyb0RvYy54bWxQSwECLQAUAAYACAAAACEAVxL4&#10;cuIAAAALAQAADwAAAAAAAAAAAAAAAADWBAAAZHJzL2Rvd25yZXYueG1sUEsFBgAAAAAEAAQA8wAA&#10;AOUFAAAAAA==&#10;" fillcolor="white [3212]" stroked="f" strokeweight="1pt">
                <v:stroke joinstyle="miter"/>
              </v:oval>
            </w:pict>
          </mc:Fallback>
        </mc:AlternateContent>
      </w:r>
      <w:r w:rsidRPr="007A6459">
        <w:rPr>
          <w:rFonts w:asciiTheme="majorHAnsi" w:hAnsiTheme="majorHAnsi" w:cstheme="majorHAnsi"/>
          <w:noProof/>
          <w:color w:val="000000"/>
        </w:rPr>
        <w:drawing>
          <wp:anchor distT="0" distB="0" distL="114300" distR="114300" simplePos="0" relativeHeight="251958272" behindDoc="0" locked="0" layoutInCell="1" allowOverlap="1" wp14:anchorId="44D1453B" wp14:editId="2E19AF51">
            <wp:simplePos x="0" y="0"/>
            <wp:positionH relativeFrom="column">
              <wp:posOffset>5544326</wp:posOffset>
            </wp:positionH>
            <wp:positionV relativeFrom="paragraph">
              <wp:posOffset>872631</wp:posOffset>
            </wp:positionV>
            <wp:extent cx="518795" cy="514350"/>
            <wp:effectExtent l="0" t="0" r="0" b="0"/>
            <wp:wrapNone/>
            <wp:docPr id="417531827" name="Image 1" descr="Une image contenant dessin humoristique, Silhouette d’animal, clipart, coch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876948" name="Image 1" descr="Une image contenant dessin humoristique, Silhouette d’animal, clipart, cochon&#10;&#10;Description générée automatiquement"/>
                    <pic:cNvPicPr/>
                  </pic:nvPicPr>
                  <pic:blipFill>
                    <a:blip r:embed="rId21">
                      <a:extLst>
                        <a:ext uri="{28A0092B-C50C-407E-A947-70E740481C1C}">
                          <a14:useLocalDpi xmlns:a14="http://schemas.microsoft.com/office/drawing/2010/main" val="0"/>
                        </a:ext>
                      </a:extLst>
                    </a:blip>
                    <a:stretch>
                      <a:fillRect/>
                    </a:stretch>
                  </pic:blipFill>
                  <pic:spPr>
                    <a:xfrm>
                      <a:off x="0" y="0"/>
                      <a:ext cx="518795" cy="514350"/>
                    </a:xfrm>
                    <a:prstGeom prst="rect">
                      <a:avLst/>
                    </a:prstGeom>
                  </pic:spPr>
                </pic:pic>
              </a:graphicData>
            </a:graphic>
            <wp14:sizeRelH relativeFrom="page">
              <wp14:pctWidth>0</wp14:pctWidth>
            </wp14:sizeRelH>
            <wp14:sizeRelV relativeFrom="page">
              <wp14:pctHeight>0</wp14:pctHeight>
            </wp14:sizeRelV>
          </wp:anchor>
        </w:drawing>
      </w:r>
      <w:r w:rsidR="00E15CD2" w:rsidRPr="00E74A1C">
        <w:rPr>
          <w:rFonts w:asciiTheme="majorHAnsi" w:hAnsiTheme="majorHAnsi" w:cstheme="majorHAnsi"/>
          <w:color w:val="2C2D5B"/>
        </w:rPr>
        <w:t>However,</w:t>
      </w:r>
      <w:r w:rsidR="00850341" w:rsidRPr="00E74A1C">
        <w:rPr>
          <w:rFonts w:asciiTheme="majorHAnsi" w:hAnsiTheme="majorHAnsi" w:cstheme="majorHAnsi"/>
          <w:color w:val="2C2D5B"/>
        </w:rPr>
        <w:t xml:space="preserve"> the</w:t>
      </w:r>
      <w:r w:rsidR="00E15CD2" w:rsidRPr="00E74A1C">
        <w:rPr>
          <w:rFonts w:asciiTheme="majorHAnsi" w:hAnsiTheme="majorHAnsi" w:cstheme="majorHAnsi"/>
          <w:color w:val="2C2D5B"/>
        </w:rPr>
        <w:t xml:space="preserve"> EChFR continue</w:t>
      </w:r>
      <w:r w:rsidR="00850341" w:rsidRPr="00E74A1C">
        <w:rPr>
          <w:rFonts w:asciiTheme="majorHAnsi" w:hAnsiTheme="majorHAnsi" w:cstheme="majorHAnsi"/>
          <w:color w:val="2C2D5B"/>
        </w:rPr>
        <w:t>s</w:t>
      </w:r>
      <w:r w:rsidR="00E15CD2" w:rsidRPr="00E74A1C">
        <w:rPr>
          <w:rFonts w:asciiTheme="majorHAnsi" w:hAnsiTheme="majorHAnsi" w:cstheme="majorHAnsi"/>
          <w:color w:val="2C2D5B"/>
        </w:rPr>
        <w:t xml:space="preserve"> to be overlooked in many cases. A </w:t>
      </w:r>
      <w:r w:rsidR="00850341" w:rsidRPr="00E74A1C">
        <w:rPr>
          <w:rFonts w:asciiTheme="majorHAnsi" w:hAnsiTheme="majorHAnsi" w:cstheme="majorHAnsi"/>
          <w:color w:val="2C2D5B"/>
        </w:rPr>
        <w:t>notable</w:t>
      </w:r>
      <w:r w:rsidR="00E15CD2" w:rsidRPr="00E74A1C">
        <w:rPr>
          <w:rFonts w:asciiTheme="majorHAnsi" w:hAnsiTheme="majorHAnsi" w:cstheme="majorHAnsi"/>
          <w:color w:val="2C2D5B"/>
        </w:rPr>
        <w:t xml:space="preserve"> </w:t>
      </w:r>
      <w:r w:rsidR="00850341" w:rsidRPr="00E74A1C">
        <w:rPr>
          <w:rFonts w:asciiTheme="majorHAnsi" w:hAnsiTheme="majorHAnsi" w:cstheme="majorHAnsi"/>
          <w:color w:val="2C2D5B"/>
        </w:rPr>
        <w:t>instance</w:t>
      </w:r>
      <w:r w:rsidR="00E15CD2" w:rsidRPr="00E74A1C">
        <w:rPr>
          <w:rFonts w:asciiTheme="majorHAnsi" w:hAnsiTheme="majorHAnsi" w:cstheme="majorHAnsi"/>
          <w:color w:val="2C2D5B"/>
        </w:rPr>
        <w:t xml:space="preserve"> that highlights the</w:t>
      </w:r>
      <w:r w:rsidR="00850341" w:rsidRPr="00E74A1C">
        <w:rPr>
          <w:rFonts w:asciiTheme="majorHAnsi" w:hAnsiTheme="majorHAnsi" w:cstheme="majorHAnsi"/>
          <w:color w:val="2C2D5B"/>
        </w:rPr>
        <w:t xml:space="preserve"> EChFR’s</w:t>
      </w:r>
      <w:r w:rsidR="00E15CD2" w:rsidRPr="00E74A1C">
        <w:rPr>
          <w:rFonts w:asciiTheme="majorHAnsi" w:hAnsiTheme="majorHAnsi" w:cstheme="majorHAnsi"/>
          <w:color w:val="2C2D5B"/>
        </w:rPr>
        <w:t xml:space="preserve"> potential </w:t>
      </w:r>
      <w:r w:rsidR="00850341" w:rsidRPr="00E74A1C">
        <w:rPr>
          <w:rFonts w:asciiTheme="majorHAnsi" w:hAnsiTheme="majorHAnsi" w:cstheme="majorHAnsi"/>
          <w:color w:val="2C2D5B"/>
        </w:rPr>
        <w:t xml:space="preserve">relevance </w:t>
      </w:r>
      <w:r w:rsidR="00E15CD2" w:rsidRPr="00E74A1C">
        <w:rPr>
          <w:rFonts w:asciiTheme="majorHAnsi" w:hAnsiTheme="majorHAnsi" w:cstheme="majorHAnsi"/>
          <w:color w:val="2C2D5B"/>
        </w:rPr>
        <w:t xml:space="preserve">is the ongoing court proceedings concerning the </w:t>
      </w:r>
      <w:r w:rsidR="00E15CD2" w:rsidRPr="00E74A1C">
        <w:rPr>
          <w:rFonts w:asciiTheme="majorHAnsi" w:hAnsiTheme="majorHAnsi" w:cstheme="majorHAnsi"/>
          <w:b/>
          <w:bCs/>
          <w:color w:val="2C2D5B"/>
        </w:rPr>
        <w:t>granting of temporary protection</w:t>
      </w:r>
      <w:r w:rsidR="00850341" w:rsidRPr="00E74A1C">
        <w:rPr>
          <w:rFonts w:asciiTheme="majorHAnsi" w:hAnsiTheme="majorHAnsi" w:cstheme="majorHAnsi"/>
          <w:color w:val="2C2D5B"/>
        </w:rPr>
        <w:t xml:space="preserve"> for Ukrainian citizens fleeing and seeking refuge </w:t>
      </w:r>
      <w:r w:rsidR="00E15CD2" w:rsidRPr="00E74A1C">
        <w:rPr>
          <w:rFonts w:asciiTheme="majorHAnsi" w:hAnsiTheme="majorHAnsi" w:cstheme="majorHAnsi"/>
          <w:color w:val="2C2D5B"/>
        </w:rPr>
        <w:t xml:space="preserve">in EU Member States after February 24, 2022, to escape Russian aggression in their homeland. </w:t>
      </w:r>
    </w:p>
    <w:p w14:paraId="48BF1627" w14:textId="4D92D339" w:rsidR="00516387" w:rsidRPr="00E74A1C" w:rsidRDefault="006235FE" w:rsidP="00F37B27">
      <w:pPr>
        <w:spacing w:after="120" w:line="276" w:lineRule="auto"/>
        <w:jc w:val="both"/>
        <w:rPr>
          <w:rFonts w:asciiTheme="majorHAnsi" w:hAnsiTheme="majorHAnsi" w:cstheme="majorHAnsi"/>
          <w:color w:val="2C2D5B"/>
        </w:rPr>
      </w:pPr>
      <w:r w:rsidRPr="00E74A1C">
        <w:rPr>
          <w:rFonts w:asciiTheme="majorHAnsi" w:hAnsiTheme="majorHAnsi" w:cstheme="majorHAnsi"/>
          <w:noProof/>
          <w:color w:val="2C2D5B"/>
        </w:rPr>
        <mc:AlternateContent>
          <mc:Choice Requires="wps">
            <w:drawing>
              <wp:anchor distT="45720" distB="45720" distL="114300" distR="114300" simplePos="0" relativeHeight="251754496" behindDoc="0" locked="0" layoutInCell="1" allowOverlap="1" wp14:anchorId="395FE01C" wp14:editId="5C68AD87">
                <wp:simplePos x="0" y="0"/>
                <wp:positionH relativeFrom="margin">
                  <wp:posOffset>3728720</wp:posOffset>
                </wp:positionH>
                <wp:positionV relativeFrom="paragraph">
                  <wp:posOffset>224790</wp:posOffset>
                </wp:positionV>
                <wp:extent cx="2055495" cy="1162685"/>
                <wp:effectExtent l="0" t="0" r="1905" b="0"/>
                <wp:wrapSquare wrapText="bothSides"/>
                <wp:docPr id="8055955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5495" cy="1162685"/>
                        </a:xfrm>
                        <a:prstGeom prst="roundRect">
                          <a:avLst/>
                        </a:prstGeom>
                        <a:solidFill>
                          <a:schemeClr val="accent4">
                            <a:lumMod val="20000"/>
                            <a:lumOff val="80000"/>
                          </a:schemeClr>
                        </a:solidFill>
                        <a:ln w="9525">
                          <a:noFill/>
                          <a:miter lim="800000"/>
                          <a:headEnd/>
                          <a:tailEnd/>
                        </a:ln>
                      </wps:spPr>
                      <wps:txbx>
                        <w:txbxContent>
                          <w:p w14:paraId="4BD76461" w14:textId="6AC1EF8E" w:rsidR="00964F65" w:rsidRPr="00E74A1C" w:rsidRDefault="00964F65" w:rsidP="00E74A1C">
                            <w:pPr>
                              <w:jc w:val="center"/>
                              <w:rPr>
                                <w:rFonts w:asciiTheme="minorHAnsi" w:hAnsiTheme="minorHAnsi" w:cstheme="minorHAnsi"/>
                                <w:b/>
                                <w:bCs/>
                                <w:color w:val="2C2D5B"/>
                                <w:sz w:val="20"/>
                                <w:szCs w:val="20"/>
                              </w:rPr>
                            </w:pPr>
                            <w:r w:rsidRPr="00E74A1C">
                              <w:rPr>
                                <w:rFonts w:asciiTheme="minorHAnsi" w:hAnsiTheme="minorHAnsi" w:cstheme="minorHAnsi"/>
                                <w:b/>
                                <w:bCs/>
                                <w:color w:val="2C2D5B"/>
                                <w:sz w:val="20"/>
                                <w:szCs w:val="20"/>
                              </w:rPr>
                              <w:t>Article 51 EChFR</w:t>
                            </w:r>
                            <w:r w:rsidR="00E74A1C" w:rsidRPr="00E74A1C">
                              <w:rPr>
                                <w:rFonts w:asciiTheme="minorHAnsi" w:hAnsiTheme="minorHAnsi" w:cstheme="minorHAnsi"/>
                                <w:b/>
                                <w:bCs/>
                                <w:color w:val="2C2D5B"/>
                                <w:sz w:val="20"/>
                                <w:szCs w:val="20"/>
                              </w:rPr>
                              <w:t xml:space="preserve"> </w:t>
                            </w:r>
                            <w:r w:rsidRPr="00E74A1C">
                              <w:rPr>
                                <w:rFonts w:asciiTheme="minorHAnsi" w:hAnsiTheme="minorHAnsi" w:cstheme="minorHAnsi"/>
                                <w:b/>
                                <w:bCs/>
                                <w:color w:val="2C2D5B"/>
                                <w:sz w:val="20"/>
                                <w:szCs w:val="20"/>
                              </w:rPr>
                              <w:t>:</w:t>
                            </w:r>
                          </w:p>
                          <w:p w14:paraId="56AFE63A" w14:textId="67E800B2" w:rsidR="00964F65" w:rsidRPr="00327D5A" w:rsidRDefault="00964F65">
                            <w:pPr>
                              <w:rPr>
                                <w:rFonts w:asciiTheme="minorHAnsi" w:hAnsiTheme="minorHAnsi" w:cstheme="minorHAnsi"/>
                                <w:sz w:val="20"/>
                                <w:szCs w:val="20"/>
                              </w:rPr>
                            </w:pPr>
                            <w:r w:rsidRPr="00E74A1C">
                              <w:rPr>
                                <w:rFonts w:asciiTheme="minorHAnsi" w:hAnsiTheme="minorHAnsi" w:cstheme="minorHAnsi"/>
                                <w:color w:val="2C2D5B"/>
                                <w:sz w:val="20"/>
                                <w:szCs w:val="20"/>
                              </w:rPr>
                              <w:t xml:space="preserve">Specifies that the EChFR applies only in cases involving </w:t>
                            </w:r>
                            <w:r w:rsidRPr="00E74A1C">
                              <w:rPr>
                                <w:rFonts w:asciiTheme="minorHAnsi" w:hAnsiTheme="minorHAnsi" w:cstheme="minorHAnsi"/>
                                <w:b/>
                                <w:bCs/>
                                <w:color w:val="2C2D5B"/>
                                <w:sz w:val="20"/>
                                <w:szCs w:val="20"/>
                              </w:rPr>
                              <w:t>the implementation of EU law</w:t>
                            </w:r>
                            <w:r w:rsidRPr="00E74A1C">
                              <w:rPr>
                                <w:rFonts w:asciiTheme="minorHAnsi" w:hAnsiTheme="minorHAnsi" w:cstheme="minorHAnsi"/>
                                <w:color w:val="2C2D5B"/>
                                <w:sz w:val="20"/>
                                <w:szCs w:val="20"/>
                              </w:rPr>
                              <w:t xml:space="preserve">, making its rights binding on EU institutions </w:t>
                            </w:r>
                            <w:r w:rsidRPr="00C32062">
                              <w:rPr>
                                <w:rFonts w:asciiTheme="minorHAnsi" w:hAnsiTheme="minorHAnsi" w:cstheme="minorHAnsi"/>
                                <w:color w:val="2C2D5B"/>
                                <w:sz w:val="20"/>
                                <w:szCs w:val="20"/>
                              </w:rPr>
                              <w:t xml:space="preserve">and Member States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395FE01C" id="_x0000_s1059" style="position:absolute;left:0;text-align:left;margin-left:293.6pt;margin-top:17.7pt;width:161.85pt;height:91.55pt;z-index:2517544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JMgIAAEIEAAAOAAAAZHJzL2Uyb0RvYy54bWysU9uO0zAQfUfiHyy/01y2KW3UdLV0WYS0&#10;XMTCB7iO01g4HmO7TcrXM3bSboE3xItlj+1zZs6cWd8OnSJHYZ0EXdFsllIiNIda6n1Fv319eLWk&#10;xHmma6ZAi4qehKO3m5cv1r0pRQ4tqFpYgiDalb2paOu9KZPE8VZ0zM3ACI2XDdiOeTzafVJb1iN6&#10;p5I8TRdJD7Y2FrhwDqP34yXdRPymEdx/ahonPFEVxdx8XG1cd2FNNmtW7i0zreRTGuwfsuiY1Eh6&#10;gbpnnpGDlX9BdZJbcND4GYcugaaRXMQasJos/aOap5YZEWtBcZy5yOT+Hyz/eHwyny3xwxsYsIGx&#10;CGcegX93RMO2ZXov7qyFvhWsRuIsSJb0xpXT1yC1K10A2fUfoMYms4OHCDQ0tguqYJ0E0bEBp4vo&#10;YvCEYzBPi2K+KijheJdli3yxLCIHK8/fjXX+nYCOhE1FLRx0/QVbGznY8dH5kBMrz+8CpQMl6wep&#10;VDwEO4mtsuTI0AiMc6H9PH5Xhw6THuNoqHSyBIbROGN4eQ4jRTRmQIqEv5EoTfqKroq8iMAaAnv0&#10;Vyc9mlzJrqIRa+IIir7VdXzimVTjHkmUniQOqo76+mE3EFlX9OYmiBMk30F9QtEtjKbGIcRNC/Yn&#10;JT0auqLux4FZQYl6r7Fxq2w+DxMQD/PidY4He32zu75hmiNURT0l43br49QENTXcYYMbGVV/zmTK&#10;GY0atZmGKkzC9Tm+eh79zS8AAAD//wMAUEsDBBQABgAIAAAAIQC98lca3QAAAAoBAAAPAAAAZHJz&#10;L2Rvd25yZXYueG1sTI9BT4QwEIXvJv6HZky8uaUoyiLDxmzixZu4ideWjoDSlrRdwH9vPelx8r68&#10;90192MzEFvJhdBZB7DJgZDunR9sjnN6eb0pgIUqr5eQsIXxTgENzeVHLSrvVvtLSxp6lEhsqiTDE&#10;OFech24gI8POzWRT9uG8kTGdvufayzWVm4nnWXbPjRxtWhjkTMeBuq/2bBDex00cu+X02c7CKyXU&#10;Gl7Minh9tT09Aou0xT8YfvWTOjTJSbmz1YFNCEX5kCcU4ba4A5aAvcj2wBRCLsoCeFPz/y80PwAA&#10;AP//AwBQSwECLQAUAAYACAAAACEAtoM4kv4AAADhAQAAEwAAAAAAAAAAAAAAAAAAAAAAW0NvbnRl&#10;bnRfVHlwZXNdLnhtbFBLAQItABQABgAIAAAAIQA4/SH/1gAAAJQBAAALAAAAAAAAAAAAAAAAAC8B&#10;AABfcmVscy8ucmVsc1BLAQItABQABgAIAAAAIQDE++1JMgIAAEIEAAAOAAAAAAAAAAAAAAAAAC4C&#10;AABkcnMvZTJvRG9jLnhtbFBLAQItABQABgAIAAAAIQC98lca3QAAAAoBAAAPAAAAAAAAAAAAAAAA&#10;AIwEAABkcnMvZG93bnJldi54bWxQSwUGAAAAAAQABADzAAAAlgUAAAAA&#10;" fillcolor="#fff2cc [663]" stroked="f">
                <v:stroke joinstyle="miter"/>
                <v:textbox>
                  <w:txbxContent>
                    <w:p w14:paraId="4BD76461" w14:textId="6AC1EF8E" w:rsidR="00964F65" w:rsidRPr="00E74A1C" w:rsidRDefault="00964F65" w:rsidP="00E74A1C">
                      <w:pPr>
                        <w:jc w:val="center"/>
                        <w:rPr>
                          <w:rFonts w:asciiTheme="minorHAnsi" w:hAnsiTheme="minorHAnsi" w:cstheme="minorHAnsi"/>
                          <w:b/>
                          <w:bCs/>
                          <w:color w:val="2C2D5B"/>
                          <w:sz w:val="20"/>
                          <w:szCs w:val="20"/>
                        </w:rPr>
                      </w:pPr>
                      <w:r w:rsidRPr="00E74A1C">
                        <w:rPr>
                          <w:rFonts w:asciiTheme="minorHAnsi" w:hAnsiTheme="minorHAnsi" w:cstheme="minorHAnsi"/>
                          <w:b/>
                          <w:bCs/>
                          <w:color w:val="2C2D5B"/>
                          <w:sz w:val="20"/>
                          <w:szCs w:val="20"/>
                        </w:rPr>
                        <w:t>Article 51 EChFR</w:t>
                      </w:r>
                      <w:r w:rsidR="00E74A1C" w:rsidRPr="00E74A1C">
                        <w:rPr>
                          <w:rFonts w:asciiTheme="minorHAnsi" w:hAnsiTheme="minorHAnsi" w:cstheme="minorHAnsi"/>
                          <w:b/>
                          <w:bCs/>
                          <w:color w:val="2C2D5B"/>
                          <w:sz w:val="20"/>
                          <w:szCs w:val="20"/>
                        </w:rPr>
                        <w:t xml:space="preserve"> </w:t>
                      </w:r>
                      <w:r w:rsidRPr="00E74A1C">
                        <w:rPr>
                          <w:rFonts w:asciiTheme="minorHAnsi" w:hAnsiTheme="minorHAnsi" w:cstheme="minorHAnsi"/>
                          <w:b/>
                          <w:bCs/>
                          <w:color w:val="2C2D5B"/>
                          <w:sz w:val="20"/>
                          <w:szCs w:val="20"/>
                        </w:rPr>
                        <w:t>:</w:t>
                      </w:r>
                    </w:p>
                    <w:p w14:paraId="56AFE63A" w14:textId="67E800B2" w:rsidR="00964F65" w:rsidRPr="00327D5A" w:rsidRDefault="00964F65">
                      <w:pPr>
                        <w:rPr>
                          <w:rFonts w:asciiTheme="minorHAnsi" w:hAnsiTheme="minorHAnsi" w:cstheme="minorHAnsi"/>
                          <w:sz w:val="20"/>
                          <w:szCs w:val="20"/>
                        </w:rPr>
                      </w:pPr>
                      <w:r w:rsidRPr="00E74A1C">
                        <w:rPr>
                          <w:rFonts w:asciiTheme="minorHAnsi" w:hAnsiTheme="minorHAnsi" w:cstheme="minorHAnsi"/>
                          <w:color w:val="2C2D5B"/>
                          <w:sz w:val="20"/>
                          <w:szCs w:val="20"/>
                        </w:rPr>
                        <w:t xml:space="preserve">Specifies that the EChFR applies only in cases involving </w:t>
                      </w:r>
                      <w:r w:rsidRPr="00E74A1C">
                        <w:rPr>
                          <w:rFonts w:asciiTheme="minorHAnsi" w:hAnsiTheme="minorHAnsi" w:cstheme="minorHAnsi"/>
                          <w:b/>
                          <w:bCs/>
                          <w:color w:val="2C2D5B"/>
                          <w:sz w:val="20"/>
                          <w:szCs w:val="20"/>
                        </w:rPr>
                        <w:t>the implementation of EU law</w:t>
                      </w:r>
                      <w:r w:rsidRPr="00E74A1C">
                        <w:rPr>
                          <w:rFonts w:asciiTheme="minorHAnsi" w:hAnsiTheme="minorHAnsi" w:cstheme="minorHAnsi"/>
                          <w:color w:val="2C2D5B"/>
                          <w:sz w:val="20"/>
                          <w:szCs w:val="20"/>
                        </w:rPr>
                        <w:t xml:space="preserve">, making its rights binding on EU institutions </w:t>
                      </w:r>
                      <w:r w:rsidRPr="00C32062">
                        <w:rPr>
                          <w:rFonts w:asciiTheme="minorHAnsi" w:hAnsiTheme="minorHAnsi" w:cstheme="minorHAnsi"/>
                          <w:color w:val="2C2D5B"/>
                          <w:sz w:val="20"/>
                          <w:szCs w:val="20"/>
                        </w:rPr>
                        <w:t xml:space="preserve">and Member States </w:t>
                      </w:r>
                    </w:p>
                  </w:txbxContent>
                </v:textbox>
                <w10:wrap type="square" anchorx="margin"/>
              </v:roundrect>
            </w:pict>
          </mc:Fallback>
        </mc:AlternateContent>
      </w:r>
      <w:r w:rsidR="00516387" w:rsidRPr="00E74A1C">
        <w:rPr>
          <w:rFonts w:asciiTheme="majorHAnsi" w:hAnsiTheme="majorHAnsi" w:cstheme="majorHAnsi"/>
          <w:color w:val="2C2D5B"/>
        </w:rPr>
        <w:t xml:space="preserve">Temporary protection is an exceptional protection status and </w:t>
      </w:r>
      <w:r w:rsidR="00516387" w:rsidRPr="00E74A1C">
        <w:rPr>
          <w:rFonts w:asciiTheme="majorHAnsi" w:hAnsiTheme="majorHAnsi" w:cstheme="majorHAnsi"/>
          <w:i/>
          <w:iCs/>
          <w:color w:val="2C2D5B"/>
        </w:rPr>
        <w:t>sui generis</w:t>
      </w:r>
      <w:r w:rsidR="00516387" w:rsidRPr="00E74A1C">
        <w:rPr>
          <w:rFonts w:asciiTheme="majorHAnsi" w:hAnsiTheme="majorHAnsi" w:cstheme="majorHAnsi"/>
          <w:color w:val="2C2D5B"/>
        </w:rPr>
        <w:t xml:space="preserve"> group-protection proceedings, regulated in EU law by the 2001 </w:t>
      </w:r>
      <w:r w:rsidR="00516387" w:rsidRPr="00E74A1C">
        <w:rPr>
          <w:rFonts w:asciiTheme="majorHAnsi" w:hAnsiTheme="majorHAnsi" w:cstheme="majorHAnsi"/>
          <w:b/>
          <w:bCs/>
          <w:color w:val="2C2D5B"/>
        </w:rPr>
        <w:t>Temporary Protection Directive (Directive 2001/55/EC).</w:t>
      </w:r>
      <w:r w:rsidR="00516387" w:rsidRPr="00E74A1C">
        <w:rPr>
          <w:rFonts w:asciiTheme="majorHAnsi" w:hAnsiTheme="majorHAnsi" w:cstheme="majorHAnsi"/>
          <w:color w:val="2C2D5B"/>
        </w:rPr>
        <w:t xml:space="preserve"> When granting temporary protection, the Member States implement EU law, which renders EChFR applicable</w:t>
      </w:r>
      <w:r w:rsidR="00ED05AB" w:rsidRPr="00E74A1C">
        <w:rPr>
          <w:rFonts w:asciiTheme="majorHAnsi" w:hAnsiTheme="majorHAnsi" w:cstheme="majorHAnsi"/>
          <w:color w:val="2C2D5B"/>
        </w:rPr>
        <w:t xml:space="preserve">. </w:t>
      </w:r>
    </w:p>
    <w:p w14:paraId="0877185A" w14:textId="77777777" w:rsidR="00516387" w:rsidRDefault="00516387" w:rsidP="00F37B27">
      <w:pPr>
        <w:spacing w:after="120" w:line="276" w:lineRule="auto"/>
        <w:jc w:val="both"/>
        <w:rPr>
          <w:rFonts w:asciiTheme="majorHAnsi" w:hAnsiTheme="majorHAnsi" w:cstheme="majorHAnsi"/>
        </w:rPr>
      </w:pPr>
    </w:p>
    <w:p w14:paraId="4DBBBE2A" w14:textId="77777777" w:rsidR="00ED05AB" w:rsidRDefault="00ED05AB" w:rsidP="00F37B27">
      <w:pPr>
        <w:spacing w:after="120" w:line="276" w:lineRule="auto"/>
        <w:jc w:val="both"/>
        <w:rPr>
          <w:rFonts w:asciiTheme="majorHAnsi" w:hAnsiTheme="majorHAnsi" w:cstheme="majorHAnsi"/>
        </w:rPr>
      </w:pPr>
    </w:p>
    <w:p w14:paraId="68474127" w14:textId="77777777" w:rsidR="00D57A72" w:rsidRDefault="00D57A72" w:rsidP="00F37B27">
      <w:pPr>
        <w:spacing w:after="120" w:line="276" w:lineRule="auto"/>
        <w:jc w:val="both"/>
        <w:rPr>
          <w:rFonts w:asciiTheme="majorHAnsi" w:hAnsiTheme="majorHAnsi" w:cstheme="majorHAnsi"/>
        </w:rPr>
      </w:pPr>
    </w:p>
    <w:p w14:paraId="32E4DDDF" w14:textId="77777777" w:rsidR="00D57A72" w:rsidRDefault="00D57A72" w:rsidP="00F37B27">
      <w:pPr>
        <w:spacing w:after="120" w:line="276" w:lineRule="auto"/>
        <w:jc w:val="both"/>
        <w:rPr>
          <w:rFonts w:asciiTheme="majorHAnsi" w:hAnsiTheme="majorHAnsi" w:cstheme="majorHAnsi"/>
        </w:rPr>
      </w:pPr>
    </w:p>
    <w:p w14:paraId="2798A542" w14:textId="77777777" w:rsidR="00D57A72" w:rsidRDefault="00D57A72" w:rsidP="00F37B27">
      <w:pPr>
        <w:spacing w:after="120" w:line="276" w:lineRule="auto"/>
        <w:jc w:val="both"/>
        <w:rPr>
          <w:rFonts w:asciiTheme="majorHAnsi" w:hAnsiTheme="majorHAnsi" w:cstheme="majorHAnsi"/>
        </w:rPr>
      </w:pPr>
    </w:p>
    <w:p w14:paraId="34D708BB" w14:textId="77777777" w:rsidR="00D57A72" w:rsidRDefault="00D57A72" w:rsidP="00F37B27">
      <w:pPr>
        <w:spacing w:after="120" w:line="276" w:lineRule="auto"/>
        <w:jc w:val="both"/>
        <w:rPr>
          <w:rFonts w:asciiTheme="majorHAnsi" w:hAnsiTheme="majorHAnsi" w:cstheme="majorHAnsi"/>
        </w:rPr>
      </w:pPr>
    </w:p>
    <w:p w14:paraId="3D4E45F6" w14:textId="77777777" w:rsidR="00D57A72" w:rsidRDefault="00D57A72" w:rsidP="00F37B27">
      <w:pPr>
        <w:spacing w:after="120" w:line="276" w:lineRule="auto"/>
        <w:jc w:val="both"/>
        <w:rPr>
          <w:rFonts w:asciiTheme="majorHAnsi" w:hAnsiTheme="majorHAnsi" w:cstheme="majorHAnsi"/>
        </w:rPr>
      </w:pPr>
    </w:p>
    <w:p w14:paraId="66F362B8" w14:textId="3876B6C4" w:rsidR="00E15CD2" w:rsidRPr="00D57A72" w:rsidRDefault="00E15CD2" w:rsidP="00F37B27">
      <w:pPr>
        <w:spacing w:after="120" w:line="276" w:lineRule="auto"/>
        <w:jc w:val="both"/>
        <w:rPr>
          <w:rFonts w:asciiTheme="majorHAnsi" w:hAnsiTheme="majorHAnsi" w:cstheme="majorHAnsi"/>
          <w:color w:val="2C2D5B"/>
        </w:rPr>
      </w:pPr>
      <w:r w:rsidRPr="00D57A72">
        <w:rPr>
          <w:rFonts w:asciiTheme="majorHAnsi" w:hAnsiTheme="majorHAnsi" w:cstheme="majorHAnsi"/>
          <w:color w:val="2C2D5B"/>
        </w:rPr>
        <w:t>At the core of the ongoing dispute before the Czech courts is the legal assessment of a specific aspect of Czech legislation</w:t>
      </w:r>
      <w:r w:rsidR="00CB0F71" w:rsidRPr="00D57A72">
        <w:rPr>
          <w:rFonts w:asciiTheme="majorHAnsi" w:hAnsiTheme="majorHAnsi" w:cstheme="majorHAnsi"/>
          <w:color w:val="2C2D5B"/>
        </w:rPr>
        <w:t>:</w:t>
      </w:r>
      <w:r w:rsidR="000C6804" w:rsidRPr="00D57A72">
        <w:rPr>
          <w:rFonts w:asciiTheme="majorHAnsi" w:hAnsiTheme="majorHAnsi" w:cstheme="majorHAnsi"/>
          <w:color w:val="2C2D5B"/>
        </w:rPr>
        <w:t xml:space="preserve"> </w:t>
      </w:r>
      <w:r w:rsidRPr="00D57A72">
        <w:rPr>
          <w:rFonts w:asciiTheme="majorHAnsi" w:hAnsiTheme="majorHAnsi" w:cstheme="majorHAnsi"/>
          <w:color w:val="2C2D5B"/>
        </w:rPr>
        <w:t xml:space="preserve">the provision that prohibits unsuccessful seekers of temporary protection from challenging negative decisions in court. </w:t>
      </w:r>
      <w:r w:rsidR="00CB0F71" w:rsidRPr="00D57A72">
        <w:rPr>
          <w:rFonts w:asciiTheme="majorHAnsi" w:hAnsiTheme="majorHAnsi" w:cstheme="majorHAnsi"/>
          <w:color w:val="2C2D5B"/>
        </w:rPr>
        <w:t>Specifically</w:t>
      </w:r>
      <w:r w:rsidRPr="00D57A72">
        <w:rPr>
          <w:rFonts w:asciiTheme="majorHAnsi" w:hAnsiTheme="majorHAnsi" w:cstheme="majorHAnsi"/>
          <w:color w:val="2C2D5B"/>
        </w:rPr>
        <w:t xml:space="preserve">, individuals who have applied for or received temporary protection in another EU Member State and are unsuccessful in the Czech Republic cannot contest the rejection of their application. Instead, </w:t>
      </w:r>
      <w:r w:rsidR="00CB0F71" w:rsidRPr="00D57A72">
        <w:rPr>
          <w:rFonts w:asciiTheme="majorHAnsi" w:hAnsiTheme="majorHAnsi" w:cstheme="majorHAnsi"/>
          <w:color w:val="2C2D5B"/>
        </w:rPr>
        <w:t xml:space="preserve">under </w:t>
      </w:r>
      <w:r w:rsidRPr="00D57A72">
        <w:rPr>
          <w:rFonts w:asciiTheme="majorHAnsi" w:hAnsiTheme="majorHAnsi" w:cstheme="majorHAnsi"/>
          <w:color w:val="2C2D5B"/>
        </w:rPr>
        <w:t>Czech</w:t>
      </w:r>
      <w:r w:rsidR="00CB0F71" w:rsidRPr="00D57A72">
        <w:rPr>
          <w:rFonts w:asciiTheme="majorHAnsi" w:hAnsiTheme="majorHAnsi" w:cstheme="majorHAnsi"/>
          <w:color w:val="2C2D5B"/>
        </w:rPr>
        <w:t xml:space="preserve"> law,</w:t>
      </w:r>
      <w:r w:rsidRPr="00D57A72">
        <w:rPr>
          <w:rFonts w:asciiTheme="majorHAnsi" w:hAnsiTheme="majorHAnsi" w:cstheme="majorHAnsi"/>
          <w:color w:val="2C2D5B"/>
        </w:rPr>
        <w:t xml:space="preserve"> </w:t>
      </w:r>
      <w:r w:rsidR="00CB0F71" w:rsidRPr="00D57A72">
        <w:rPr>
          <w:rFonts w:asciiTheme="majorHAnsi" w:hAnsiTheme="majorHAnsi" w:cstheme="majorHAnsi"/>
          <w:color w:val="2C2D5B"/>
        </w:rPr>
        <w:t xml:space="preserve">such </w:t>
      </w:r>
      <w:r w:rsidRPr="00D57A72">
        <w:rPr>
          <w:rFonts w:asciiTheme="majorHAnsi" w:hAnsiTheme="majorHAnsi" w:cstheme="majorHAnsi"/>
          <w:color w:val="2C2D5B"/>
        </w:rPr>
        <w:t>applications</w:t>
      </w:r>
      <w:r w:rsidR="00CB0F71" w:rsidRPr="00D57A72">
        <w:rPr>
          <w:rFonts w:asciiTheme="majorHAnsi" w:hAnsiTheme="majorHAnsi" w:cstheme="majorHAnsi"/>
          <w:color w:val="2C2D5B"/>
        </w:rPr>
        <w:t xml:space="preserve"> are considered</w:t>
      </w:r>
      <w:r w:rsidRPr="00D57A72">
        <w:rPr>
          <w:rFonts w:asciiTheme="majorHAnsi" w:hAnsiTheme="majorHAnsi" w:cstheme="majorHAnsi"/>
          <w:color w:val="2C2D5B"/>
        </w:rPr>
        <w:t xml:space="preserve"> inadmissible, and the applicants are only provided with oral reasons for the refusal. </w:t>
      </w:r>
    </w:p>
    <w:p w14:paraId="1D97BEFF" w14:textId="030E2556" w:rsidR="00E15CD2" w:rsidRPr="00D57A72" w:rsidRDefault="00E15CD2" w:rsidP="00F37B27">
      <w:pPr>
        <w:spacing w:after="120" w:line="276" w:lineRule="auto"/>
        <w:jc w:val="both"/>
        <w:rPr>
          <w:rFonts w:asciiTheme="majorHAnsi" w:hAnsiTheme="majorHAnsi" w:cstheme="majorHAnsi"/>
          <w:color w:val="2C2D5B"/>
        </w:rPr>
      </w:pPr>
      <w:r w:rsidRPr="00D57A72">
        <w:rPr>
          <w:rFonts w:asciiTheme="majorHAnsi" w:hAnsiTheme="majorHAnsi" w:cstheme="majorHAnsi"/>
          <w:color w:val="2C2D5B"/>
        </w:rPr>
        <w:t xml:space="preserve">The Czech temporary protection regime continues to raise several legal </w:t>
      </w:r>
      <w:r w:rsidR="00314086" w:rsidRPr="00D57A72">
        <w:rPr>
          <w:rFonts w:asciiTheme="majorHAnsi" w:hAnsiTheme="majorHAnsi" w:cstheme="majorHAnsi"/>
          <w:color w:val="2C2D5B"/>
        </w:rPr>
        <w:t>concerns</w:t>
      </w:r>
      <w:r w:rsidRPr="00D57A72">
        <w:rPr>
          <w:rFonts w:asciiTheme="majorHAnsi" w:hAnsiTheme="majorHAnsi" w:cstheme="majorHAnsi"/>
          <w:color w:val="2C2D5B"/>
        </w:rPr>
        <w:t xml:space="preserve"> on this point and considerably impacts the applications of many Ukrainian citizens </w:t>
      </w:r>
      <w:r w:rsidR="00314086" w:rsidRPr="00D57A72">
        <w:rPr>
          <w:rFonts w:asciiTheme="majorHAnsi" w:hAnsiTheme="majorHAnsi" w:cstheme="majorHAnsi"/>
          <w:color w:val="2C2D5B"/>
        </w:rPr>
        <w:t xml:space="preserve">who have been denied </w:t>
      </w:r>
      <w:r w:rsidRPr="00D57A72">
        <w:rPr>
          <w:rFonts w:asciiTheme="majorHAnsi" w:hAnsiTheme="majorHAnsi" w:cstheme="majorHAnsi"/>
          <w:color w:val="2C2D5B"/>
        </w:rPr>
        <w:t>temporary protection. Article 29 of the Temporary Protection Directive</w:t>
      </w:r>
      <w:r w:rsidR="00314086" w:rsidRPr="00D57A72">
        <w:rPr>
          <w:rFonts w:asciiTheme="majorHAnsi" w:hAnsiTheme="majorHAnsi" w:cstheme="majorHAnsi"/>
          <w:color w:val="2C2D5B"/>
        </w:rPr>
        <w:t xml:space="preserve"> mandates that individuals </w:t>
      </w:r>
      <w:r w:rsidRPr="00D57A72">
        <w:rPr>
          <w:rFonts w:asciiTheme="majorHAnsi" w:hAnsiTheme="majorHAnsi" w:cstheme="majorHAnsi"/>
          <w:color w:val="2C2D5B"/>
        </w:rPr>
        <w:t xml:space="preserve">excluded from temporary protection </w:t>
      </w:r>
      <w:r w:rsidR="00314086" w:rsidRPr="00D57A72">
        <w:rPr>
          <w:rFonts w:asciiTheme="majorHAnsi" w:hAnsiTheme="majorHAnsi" w:cstheme="majorHAnsi"/>
          <w:color w:val="2C2D5B"/>
        </w:rPr>
        <w:t xml:space="preserve">should have the right </w:t>
      </w:r>
      <w:r w:rsidRPr="00D57A72">
        <w:rPr>
          <w:rFonts w:asciiTheme="majorHAnsi" w:hAnsiTheme="majorHAnsi" w:cstheme="majorHAnsi"/>
          <w:color w:val="2C2D5B"/>
        </w:rPr>
        <w:t>to legally challenge such a decision</w:t>
      </w:r>
      <w:r w:rsidR="00022693" w:rsidRPr="00D57A72">
        <w:rPr>
          <w:rFonts w:asciiTheme="majorHAnsi" w:hAnsiTheme="majorHAnsi" w:cstheme="majorHAnsi"/>
          <w:color w:val="2C2D5B"/>
        </w:rPr>
        <w:t xml:space="preserve">. The Czech legislation, however, appears to conflict directly with this part of the Directive. </w:t>
      </w:r>
    </w:p>
    <w:p w14:paraId="2006B707" w14:textId="0CA65696" w:rsidR="00E15CD2" w:rsidRPr="00D57A72" w:rsidRDefault="00E15CD2" w:rsidP="005425BA">
      <w:pPr>
        <w:spacing w:after="120" w:line="276" w:lineRule="auto"/>
        <w:jc w:val="both"/>
        <w:rPr>
          <w:rFonts w:asciiTheme="majorHAnsi" w:hAnsiTheme="majorHAnsi" w:cstheme="majorHAnsi"/>
          <w:color w:val="2C2D5B"/>
        </w:rPr>
      </w:pPr>
      <w:r w:rsidRPr="00D57A72">
        <w:rPr>
          <w:rFonts w:asciiTheme="majorHAnsi" w:hAnsiTheme="majorHAnsi" w:cstheme="majorHAnsi"/>
          <w:color w:val="2C2D5B"/>
        </w:rPr>
        <w:t xml:space="preserve">Not surprisingly, the Czech Supreme Administrative Court promptly examined the legal conformity of this exclusion of judicial review. In its inaugural ruling on the issue of temporary protection, the Supreme Administrative Court concluded that </w:t>
      </w:r>
      <w:r w:rsidRPr="00D57A72">
        <w:rPr>
          <w:rFonts w:asciiTheme="majorHAnsi" w:hAnsiTheme="majorHAnsi" w:cstheme="majorHAnsi"/>
          <w:b/>
          <w:bCs/>
          <w:color w:val="2C2D5B"/>
        </w:rPr>
        <w:t>Czech legislation aligns with the Czech Charter of Fundamental Rights and Freedoms</w:t>
      </w:r>
      <w:r w:rsidRPr="00D57A72">
        <w:rPr>
          <w:rFonts w:asciiTheme="majorHAnsi" w:hAnsiTheme="majorHAnsi" w:cstheme="majorHAnsi"/>
          <w:color w:val="2C2D5B"/>
        </w:rPr>
        <w:t>. Nonetheless, the judgment failed to persuade not only practicing lawyers but also other courts</w:t>
      </w:r>
      <w:r w:rsidR="005425BA" w:rsidRPr="00D57A72">
        <w:rPr>
          <w:rFonts w:asciiTheme="majorHAnsi" w:hAnsiTheme="majorHAnsi" w:cstheme="majorHAnsi"/>
          <w:color w:val="2C2D5B"/>
        </w:rPr>
        <w:t xml:space="preserve"> as it di</w:t>
      </w:r>
      <w:r w:rsidR="006235FE" w:rsidRPr="00D57A72">
        <w:rPr>
          <w:rFonts w:asciiTheme="majorHAnsi" w:hAnsiTheme="majorHAnsi" w:cstheme="majorHAnsi"/>
          <w:color w:val="2C2D5B"/>
        </w:rPr>
        <w:t xml:space="preserve">d </w:t>
      </w:r>
      <w:r w:rsidR="005425BA" w:rsidRPr="00D57A72">
        <w:rPr>
          <w:rFonts w:asciiTheme="majorHAnsi" w:hAnsiTheme="majorHAnsi" w:cstheme="majorHAnsi"/>
          <w:color w:val="2C2D5B"/>
        </w:rPr>
        <w:t>not address the EU dimension, particularly the EChFR</w:t>
      </w:r>
      <w:r w:rsidRPr="00D57A72">
        <w:rPr>
          <w:rFonts w:asciiTheme="majorHAnsi" w:hAnsiTheme="majorHAnsi" w:cstheme="majorHAnsi"/>
          <w:color w:val="2C2D5B"/>
        </w:rPr>
        <w:t>.</w:t>
      </w:r>
      <w:r w:rsidR="000C6804" w:rsidRPr="00D57A72">
        <w:rPr>
          <w:rFonts w:asciiTheme="majorHAnsi" w:hAnsiTheme="majorHAnsi" w:cstheme="majorHAnsi"/>
          <w:color w:val="2C2D5B"/>
        </w:rPr>
        <w:t xml:space="preserve"> </w:t>
      </w:r>
      <w:r w:rsidR="005425BA" w:rsidRPr="00D57A72">
        <w:rPr>
          <w:rFonts w:asciiTheme="majorHAnsi" w:hAnsiTheme="majorHAnsi" w:cstheme="majorHAnsi"/>
          <w:color w:val="2C2D5B"/>
        </w:rPr>
        <w:t>While</w:t>
      </w:r>
      <w:r w:rsidR="00CB6313" w:rsidRPr="00D57A72">
        <w:rPr>
          <w:rFonts w:asciiTheme="majorHAnsi" w:hAnsiTheme="majorHAnsi" w:cstheme="majorHAnsi"/>
          <w:color w:val="2C2D5B"/>
        </w:rPr>
        <w:t xml:space="preserve"> </w:t>
      </w:r>
      <w:r w:rsidR="006235FE" w:rsidRPr="00D57A72">
        <w:rPr>
          <w:rFonts w:asciiTheme="majorHAnsi" w:hAnsiTheme="majorHAnsi" w:cstheme="majorHAnsi"/>
          <w:color w:val="2C2D5B"/>
        </w:rPr>
        <w:t xml:space="preserve">the </w:t>
      </w:r>
      <w:r w:rsidRPr="00D57A72">
        <w:rPr>
          <w:rFonts w:asciiTheme="majorHAnsi" w:hAnsiTheme="majorHAnsi" w:cstheme="majorHAnsi"/>
          <w:color w:val="2C2D5B"/>
        </w:rPr>
        <w:t>Supreme Administrative Court</w:t>
      </w:r>
      <w:r w:rsidR="005425BA" w:rsidRPr="00D57A72">
        <w:rPr>
          <w:rFonts w:asciiTheme="majorHAnsi" w:hAnsiTheme="majorHAnsi" w:cstheme="majorHAnsi"/>
          <w:color w:val="2C2D5B"/>
        </w:rPr>
        <w:t xml:space="preserve"> rulings</w:t>
      </w:r>
      <w:r w:rsidRPr="00D57A72">
        <w:rPr>
          <w:rFonts w:asciiTheme="majorHAnsi" w:hAnsiTheme="majorHAnsi" w:cstheme="majorHAnsi"/>
          <w:color w:val="2C2D5B"/>
        </w:rPr>
        <w:t xml:space="preserve"> are generally respected and followed by lower administrative courts</w:t>
      </w:r>
      <w:r w:rsidR="005425BA" w:rsidRPr="00D57A72">
        <w:rPr>
          <w:rFonts w:asciiTheme="majorHAnsi" w:hAnsiTheme="majorHAnsi" w:cstheme="majorHAnsi"/>
          <w:color w:val="2C2D5B"/>
        </w:rPr>
        <w:t>, this particular ruling faced resistance</w:t>
      </w:r>
      <w:r w:rsidRPr="00D57A72">
        <w:rPr>
          <w:rFonts w:asciiTheme="majorHAnsi" w:hAnsiTheme="majorHAnsi" w:cstheme="majorHAnsi"/>
          <w:color w:val="2C2D5B"/>
        </w:rPr>
        <w:t xml:space="preserve">. </w:t>
      </w:r>
    </w:p>
    <w:p w14:paraId="764CA4A1" w14:textId="73D813A7" w:rsidR="00E15CD2" w:rsidRPr="00D57A72" w:rsidRDefault="003E61CE" w:rsidP="00F37B27">
      <w:pPr>
        <w:spacing w:after="120" w:line="276" w:lineRule="auto"/>
        <w:jc w:val="both"/>
        <w:rPr>
          <w:rFonts w:asciiTheme="majorHAnsi" w:hAnsiTheme="majorHAnsi" w:cstheme="majorHAnsi"/>
          <w:color w:val="2C2D5B"/>
        </w:rPr>
      </w:pPr>
      <w:r w:rsidRPr="00D57A72">
        <w:rPr>
          <w:rFonts w:asciiTheme="majorHAnsi" w:hAnsiTheme="majorHAnsi" w:cstheme="majorHAnsi"/>
          <w:color w:val="2C2D5B"/>
        </w:rPr>
        <w:t>In a marked departure,</w:t>
      </w:r>
      <w:r w:rsidR="006235FE" w:rsidRPr="00D57A72">
        <w:rPr>
          <w:rFonts w:asciiTheme="majorHAnsi" w:hAnsiTheme="majorHAnsi" w:cstheme="majorHAnsi"/>
          <w:color w:val="2C2D5B"/>
        </w:rPr>
        <w:t xml:space="preserve"> </w:t>
      </w:r>
      <w:r w:rsidR="00E15CD2" w:rsidRPr="00D57A72">
        <w:rPr>
          <w:rFonts w:asciiTheme="majorHAnsi" w:hAnsiTheme="majorHAnsi" w:cstheme="majorHAnsi"/>
          <w:b/>
          <w:bCs/>
          <w:color w:val="2C2D5B"/>
        </w:rPr>
        <w:t xml:space="preserve">lower courts </w:t>
      </w:r>
      <w:r w:rsidRPr="00D57A72">
        <w:rPr>
          <w:rFonts w:asciiTheme="majorHAnsi" w:hAnsiTheme="majorHAnsi" w:cstheme="majorHAnsi"/>
          <w:b/>
          <w:bCs/>
          <w:color w:val="2C2D5B"/>
        </w:rPr>
        <w:t>openly critici</w:t>
      </w:r>
      <w:r w:rsidR="00816E41" w:rsidRPr="00D57A72">
        <w:rPr>
          <w:rFonts w:asciiTheme="majorHAnsi" w:hAnsiTheme="majorHAnsi" w:cstheme="majorHAnsi"/>
          <w:b/>
          <w:bCs/>
          <w:color w:val="2C2D5B"/>
        </w:rPr>
        <w:t>s</w:t>
      </w:r>
      <w:r w:rsidRPr="00D57A72">
        <w:rPr>
          <w:rFonts w:asciiTheme="majorHAnsi" w:hAnsiTheme="majorHAnsi" w:cstheme="majorHAnsi"/>
          <w:b/>
          <w:bCs/>
          <w:color w:val="2C2D5B"/>
        </w:rPr>
        <w:t xml:space="preserve">ed the </w:t>
      </w:r>
      <w:r w:rsidR="00E15CD2" w:rsidRPr="00D57A72">
        <w:rPr>
          <w:rFonts w:asciiTheme="majorHAnsi" w:hAnsiTheme="majorHAnsi" w:cstheme="majorHAnsi"/>
          <w:b/>
          <w:bCs/>
          <w:color w:val="2C2D5B"/>
        </w:rPr>
        <w:t>Supreme Administrative Court</w:t>
      </w:r>
      <w:r w:rsidRPr="00D57A72">
        <w:rPr>
          <w:rFonts w:asciiTheme="majorHAnsi" w:hAnsiTheme="majorHAnsi" w:cstheme="majorHAnsi"/>
          <w:b/>
          <w:bCs/>
          <w:color w:val="2C2D5B"/>
        </w:rPr>
        <w:t>’s decision, pointing to its</w:t>
      </w:r>
      <w:r w:rsidR="000C6804" w:rsidRPr="00D57A72">
        <w:rPr>
          <w:rFonts w:asciiTheme="majorHAnsi" w:hAnsiTheme="majorHAnsi" w:cstheme="majorHAnsi"/>
          <w:b/>
          <w:bCs/>
          <w:color w:val="2C2D5B"/>
        </w:rPr>
        <w:t xml:space="preserve"> </w:t>
      </w:r>
      <w:r w:rsidR="00E15CD2" w:rsidRPr="00D57A72">
        <w:rPr>
          <w:rFonts w:asciiTheme="majorHAnsi" w:hAnsiTheme="majorHAnsi" w:cstheme="majorHAnsi"/>
          <w:b/>
          <w:bCs/>
          <w:color w:val="2C2D5B"/>
        </w:rPr>
        <w:t xml:space="preserve">lack of consideration </w:t>
      </w:r>
      <w:r w:rsidRPr="00D57A72">
        <w:rPr>
          <w:rFonts w:asciiTheme="majorHAnsi" w:hAnsiTheme="majorHAnsi" w:cstheme="majorHAnsi"/>
          <w:b/>
          <w:bCs/>
          <w:color w:val="2C2D5B"/>
        </w:rPr>
        <w:t>for</w:t>
      </w:r>
      <w:r w:rsidR="00E15CD2" w:rsidRPr="00D57A72">
        <w:rPr>
          <w:rFonts w:asciiTheme="majorHAnsi" w:hAnsiTheme="majorHAnsi" w:cstheme="majorHAnsi"/>
          <w:b/>
          <w:bCs/>
          <w:color w:val="2C2D5B"/>
        </w:rPr>
        <w:t xml:space="preserve"> the EChFR</w:t>
      </w:r>
      <w:r w:rsidR="00E15CD2" w:rsidRPr="00D57A72">
        <w:rPr>
          <w:rFonts w:asciiTheme="majorHAnsi" w:hAnsiTheme="majorHAnsi" w:cstheme="majorHAnsi"/>
          <w:color w:val="2C2D5B"/>
        </w:rPr>
        <w:t xml:space="preserve">. These lower courts have also highlighted the importance of the EChFR and its Article 47, which provides that everyone whose rights and freedoms guaranteed by </w:t>
      </w:r>
      <w:r w:rsidRPr="00D57A72">
        <w:rPr>
          <w:rFonts w:asciiTheme="majorHAnsi" w:hAnsiTheme="majorHAnsi" w:cstheme="majorHAnsi"/>
          <w:color w:val="2C2D5B"/>
        </w:rPr>
        <w:t>EU law</w:t>
      </w:r>
      <w:r w:rsidR="00E15CD2" w:rsidRPr="00D57A72">
        <w:rPr>
          <w:rFonts w:asciiTheme="majorHAnsi" w:hAnsiTheme="majorHAnsi" w:cstheme="majorHAnsi"/>
          <w:color w:val="2C2D5B"/>
        </w:rPr>
        <w:t xml:space="preserve"> are violated has the right to an effective remedy before an impartial tribunal.T</w:t>
      </w:r>
      <w:r w:rsidR="00F37B27" w:rsidRPr="00D57A72">
        <w:rPr>
          <w:rFonts w:asciiTheme="majorHAnsi" w:hAnsiTheme="majorHAnsi" w:cstheme="majorHAnsi"/>
          <w:color w:val="2C2D5B"/>
        </w:rPr>
        <w:t>h</w:t>
      </w:r>
      <w:r w:rsidR="00E15CD2" w:rsidRPr="00D57A72">
        <w:rPr>
          <w:rFonts w:asciiTheme="majorHAnsi" w:hAnsiTheme="majorHAnsi" w:cstheme="majorHAnsi"/>
          <w:color w:val="2C2D5B"/>
        </w:rPr>
        <w:t>e lower administrative courts also refer</w:t>
      </w:r>
      <w:r w:rsidRPr="00D57A72">
        <w:rPr>
          <w:rFonts w:asciiTheme="majorHAnsi" w:hAnsiTheme="majorHAnsi" w:cstheme="majorHAnsi"/>
          <w:color w:val="2C2D5B"/>
        </w:rPr>
        <w:t>enced</w:t>
      </w:r>
      <w:r w:rsidR="00E15CD2" w:rsidRPr="00D57A72">
        <w:rPr>
          <w:rFonts w:asciiTheme="majorHAnsi" w:hAnsiTheme="majorHAnsi" w:cstheme="majorHAnsi"/>
          <w:color w:val="2C2D5B"/>
        </w:rPr>
        <w:t xml:space="preserve">  the CJEU</w:t>
      </w:r>
      <w:r w:rsidRPr="00D57A72">
        <w:rPr>
          <w:rFonts w:asciiTheme="majorHAnsi" w:hAnsiTheme="majorHAnsi" w:cstheme="majorHAnsi"/>
          <w:color w:val="2C2D5B"/>
        </w:rPr>
        <w:t>’s ruling</w:t>
      </w:r>
      <w:r w:rsidR="00E15CD2" w:rsidRPr="00D57A72">
        <w:rPr>
          <w:rFonts w:asciiTheme="majorHAnsi" w:hAnsiTheme="majorHAnsi" w:cstheme="majorHAnsi"/>
          <w:color w:val="2C2D5B"/>
        </w:rPr>
        <w:t xml:space="preserve"> in </w:t>
      </w:r>
      <w:r w:rsidR="00E15CD2" w:rsidRPr="00D57A72">
        <w:rPr>
          <w:rFonts w:asciiTheme="majorHAnsi" w:hAnsiTheme="majorHAnsi" w:cstheme="majorHAnsi"/>
          <w:i/>
          <w:iCs/>
          <w:color w:val="2C2D5B"/>
        </w:rPr>
        <w:t>Soufiane El Hassani v Minister Spraw Zagranicznych (C-403/16),</w:t>
      </w:r>
      <w:r w:rsidR="00E15CD2" w:rsidRPr="00D57A72">
        <w:rPr>
          <w:rFonts w:asciiTheme="majorHAnsi" w:hAnsiTheme="majorHAnsi" w:cstheme="majorHAnsi"/>
          <w:color w:val="2C2D5B"/>
        </w:rPr>
        <w:t xml:space="preserve"> in which the CJEU, referring to Article 47 EChFR, established the obligation of the Member States to allow access to judicial remedy to applicants for short-stay visas.</w:t>
      </w:r>
    </w:p>
    <w:p w14:paraId="4018B471" w14:textId="77777777" w:rsidR="00D57A72" w:rsidRPr="00D57A72" w:rsidRDefault="00456D48" w:rsidP="00F37B27">
      <w:pPr>
        <w:spacing w:after="120" w:line="276" w:lineRule="auto"/>
        <w:jc w:val="both"/>
        <w:rPr>
          <w:rFonts w:asciiTheme="majorHAnsi" w:hAnsiTheme="majorHAnsi" w:cstheme="majorHAnsi"/>
          <w:color w:val="2C2D5B"/>
        </w:rPr>
      </w:pPr>
      <w:r w:rsidRPr="00D57A72">
        <w:rPr>
          <w:rFonts w:asciiTheme="majorHAnsi" w:hAnsiTheme="majorHAnsi" w:cstheme="majorHAnsi"/>
          <w:color w:val="2C2D5B"/>
        </w:rPr>
        <w:t>Following</w:t>
      </w:r>
      <w:r w:rsidR="000D260F" w:rsidRPr="00D57A72">
        <w:rPr>
          <w:rFonts w:asciiTheme="majorHAnsi" w:hAnsiTheme="majorHAnsi" w:cstheme="majorHAnsi"/>
          <w:color w:val="2C2D5B"/>
        </w:rPr>
        <w:t xml:space="preserve"> </w:t>
      </w:r>
      <w:r w:rsidR="00E15CD2" w:rsidRPr="00D57A72">
        <w:rPr>
          <w:rFonts w:asciiTheme="majorHAnsi" w:hAnsiTheme="majorHAnsi" w:cstheme="majorHAnsi"/>
          <w:color w:val="2C2D5B"/>
        </w:rPr>
        <w:t>this case</w:t>
      </w:r>
      <w:r w:rsidRPr="00D57A72">
        <w:rPr>
          <w:rFonts w:asciiTheme="majorHAnsi" w:hAnsiTheme="majorHAnsi" w:cstheme="majorHAnsi"/>
          <w:color w:val="2C2D5B"/>
        </w:rPr>
        <w:t>,</w:t>
      </w:r>
      <w:r w:rsidR="00E15CD2" w:rsidRPr="00D57A72">
        <w:rPr>
          <w:rFonts w:asciiTheme="majorHAnsi" w:hAnsiTheme="majorHAnsi" w:cstheme="majorHAnsi"/>
          <w:color w:val="2C2D5B"/>
        </w:rPr>
        <w:t xml:space="preserve"> </w:t>
      </w:r>
      <w:r w:rsidR="006235FE" w:rsidRPr="00D57A72">
        <w:rPr>
          <w:rFonts w:asciiTheme="majorHAnsi" w:hAnsiTheme="majorHAnsi" w:cstheme="majorHAnsi"/>
          <w:color w:val="2C2D5B"/>
        </w:rPr>
        <w:t xml:space="preserve"> </w:t>
      </w:r>
      <w:r w:rsidRPr="00D57A72">
        <w:rPr>
          <w:rFonts w:asciiTheme="majorHAnsi" w:hAnsiTheme="majorHAnsi" w:cstheme="majorHAnsi"/>
          <w:color w:val="2C2D5B"/>
        </w:rPr>
        <w:t>Czech</w:t>
      </w:r>
      <w:r w:rsidR="00E15CD2" w:rsidRPr="00D57A72">
        <w:rPr>
          <w:rFonts w:asciiTheme="majorHAnsi" w:hAnsiTheme="majorHAnsi" w:cstheme="majorHAnsi"/>
          <w:color w:val="2C2D5B"/>
        </w:rPr>
        <w:t xml:space="preserve"> administrative courts began to examine the case in the context of the EChFR and its Article 47. This article served as the legal foundation for the courts' conclusions that </w:t>
      </w:r>
      <w:r w:rsidR="00E15CD2" w:rsidRPr="00D57A72">
        <w:rPr>
          <w:rFonts w:asciiTheme="majorHAnsi" w:hAnsiTheme="majorHAnsi" w:cstheme="majorHAnsi"/>
          <w:b/>
          <w:bCs/>
          <w:color w:val="2C2D5B"/>
        </w:rPr>
        <w:t>the Czech implementation of the Temporary Protection Directive violates EU law and therefore also breaches the Czech Republic's obligations</w:t>
      </w:r>
      <w:r w:rsidR="00E15CD2" w:rsidRPr="00D57A72">
        <w:rPr>
          <w:rFonts w:asciiTheme="majorHAnsi" w:hAnsiTheme="majorHAnsi" w:cstheme="majorHAnsi"/>
          <w:color w:val="2C2D5B"/>
        </w:rPr>
        <w:t xml:space="preserve">. </w:t>
      </w:r>
    </w:p>
    <w:p w14:paraId="39F1DB6B" w14:textId="77777777" w:rsidR="00D57A72" w:rsidRDefault="00D57A72" w:rsidP="00F37B27">
      <w:pPr>
        <w:spacing w:after="120" w:line="276" w:lineRule="auto"/>
        <w:jc w:val="both"/>
        <w:rPr>
          <w:rFonts w:asciiTheme="majorHAnsi" w:hAnsiTheme="majorHAnsi" w:cstheme="majorHAnsi"/>
        </w:rPr>
      </w:pPr>
    </w:p>
    <w:p w14:paraId="30BAA54F" w14:textId="6EAE7809" w:rsidR="00D57A72" w:rsidRDefault="00D57A72" w:rsidP="00F37B27">
      <w:pPr>
        <w:spacing w:after="120" w:line="276" w:lineRule="auto"/>
        <w:jc w:val="both"/>
        <w:rPr>
          <w:rFonts w:asciiTheme="majorHAnsi" w:hAnsiTheme="majorHAnsi" w:cstheme="majorHAnsi"/>
        </w:rPr>
      </w:pPr>
    </w:p>
    <w:p w14:paraId="433D6358" w14:textId="77777777" w:rsidR="00D57A72" w:rsidRDefault="00D57A72" w:rsidP="00F37B27">
      <w:pPr>
        <w:spacing w:after="120" w:line="276" w:lineRule="auto"/>
        <w:jc w:val="both"/>
        <w:rPr>
          <w:rFonts w:asciiTheme="majorHAnsi" w:hAnsiTheme="majorHAnsi" w:cstheme="majorHAnsi"/>
        </w:rPr>
      </w:pPr>
    </w:p>
    <w:p w14:paraId="4B40D6DF" w14:textId="77777777" w:rsidR="00D57A72" w:rsidRDefault="00D57A72" w:rsidP="00F37B27">
      <w:pPr>
        <w:spacing w:after="120" w:line="276" w:lineRule="auto"/>
        <w:jc w:val="both"/>
        <w:rPr>
          <w:rFonts w:asciiTheme="majorHAnsi" w:hAnsiTheme="majorHAnsi" w:cstheme="majorHAnsi"/>
        </w:rPr>
      </w:pPr>
    </w:p>
    <w:p w14:paraId="76E8F7A4" w14:textId="1C04B64A" w:rsidR="00D57A72" w:rsidRDefault="00D57A72" w:rsidP="00F37B27">
      <w:pPr>
        <w:spacing w:after="120" w:line="276" w:lineRule="auto"/>
        <w:jc w:val="both"/>
        <w:rPr>
          <w:rFonts w:asciiTheme="majorHAnsi" w:hAnsiTheme="majorHAnsi" w:cstheme="majorHAnsi"/>
        </w:rPr>
      </w:pPr>
    </w:p>
    <w:p w14:paraId="7AA38A98" w14:textId="11800268" w:rsidR="00456D48" w:rsidRPr="00D57A72" w:rsidRDefault="00E15CD2" w:rsidP="00F37B27">
      <w:pPr>
        <w:spacing w:after="120" w:line="276" w:lineRule="auto"/>
        <w:jc w:val="both"/>
        <w:rPr>
          <w:rFonts w:asciiTheme="majorHAnsi" w:hAnsiTheme="majorHAnsi" w:cstheme="majorHAnsi"/>
          <w:color w:val="2C2D5B"/>
        </w:rPr>
      </w:pPr>
      <w:r w:rsidRPr="00D57A72">
        <w:rPr>
          <w:rFonts w:asciiTheme="majorHAnsi" w:hAnsiTheme="majorHAnsi" w:cstheme="majorHAnsi"/>
          <w:color w:val="2C2D5B"/>
        </w:rPr>
        <w:t>Eventually, the case returned to the Supreme Administrative Court, which revisited its earlier conclusions</w:t>
      </w:r>
      <w:r w:rsidR="00456D48" w:rsidRPr="00D57A72">
        <w:rPr>
          <w:rFonts w:asciiTheme="majorHAnsi" w:hAnsiTheme="majorHAnsi" w:cstheme="majorHAnsi"/>
          <w:color w:val="2C2D5B"/>
        </w:rPr>
        <w:t xml:space="preserve">, based </w:t>
      </w:r>
      <w:r w:rsidRPr="00D57A72">
        <w:rPr>
          <w:rFonts w:asciiTheme="majorHAnsi" w:hAnsiTheme="majorHAnsi" w:cstheme="majorHAnsi"/>
          <w:color w:val="2C2D5B"/>
        </w:rPr>
        <w:t>on the rights protected by the EChFR</w:t>
      </w:r>
      <w:r w:rsidR="000D260F" w:rsidRPr="00D57A72">
        <w:rPr>
          <w:rFonts w:asciiTheme="majorHAnsi" w:hAnsiTheme="majorHAnsi" w:cstheme="majorHAnsi"/>
          <w:color w:val="2C2D5B"/>
        </w:rPr>
        <w:t>.</w:t>
      </w:r>
    </w:p>
    <w:p w14:paraId="6D558FE3" w14:textId="491D9D1C" w:rsidR="00F272D8" w:rsidRPr="00D57A72" w:rsidRDefault="00E15CD2" w:rsidP="00F37B27">
      <w:pPr>
        <w:spacing w:after="120" w:line="276" w:lineRule="auto"/>
        <w:jc w:val="both"/>
        <w:rPr>
          <w:rFonts w:asciiTheme="majorHAnsi" w:hAnsiTheme="majorHAnsi" w:cstheme="majorHAnsi"/>
          <w:color w:val="2C2D5B"/>
        </w:rPr>
      </w:pPr>
      <w:r w:rsidRPr="00D57A72">
        <w:rPr>
          <w:rFonts w:asciiTheme="majorHAnsi" w:hAnsiTheme="majorHAnsi" w:cstheme="majorHAnsi"/>
          <w:color w:val="2C2D5B"/>
        </w:rPr>
        <w:t xml:space="preserve">The case is set to be adjudicated by the </w:t>
      </w:r>
      <w:r w:rsidR="00F272D8" w:rsidRPr="00D57A72">
        <w:rPr>
          <w:rFonts w:asciiTheme="majorHAnsi" w:hAnsiTheme="majorHAnsi" w:cstheme="majorHAnsi"/>
          <w:color w:val="2C2D5B"/>
        </w:rPr>
        <w:t>CJEU</w:t>
      </w:r>
      <w:r w:rsidR="000D260F" w:rsidRPr="00D57A72">
        <w:rPr>
          <w:rFonts w:asciiTheme="majorHAnsi" w:hAnsiTheme="majorHAnsi" w:cstheme="majorHAnsi"/>
          <w:color w:val="2C2D5B"/>
        </w:rPr>
        <w:t xml:space="preserve"> </w:t>
      </w:r>
      <w:r w:rsidR="00F272D8" w:rsidRPr="00D57A72">
        <w:rPr>
          <w:rFonts w:asciiTheme="majorHAnsi" w:hAnsiTheme="majorHAnsi" w:cstheme="majorHAnsi"/>
          <w:color w:val="2C2D5B"/>
        </w:rPr>
        <w:t>following a request for a preliminary ruling by t</w:t>
      </w:r>
      <w:r w:rsidRPr="00D57A72">
        <w:rPr>
          <w:rFonts w:asciiTheme="majorHAnsi" w:hAnsiTheme="majorHAnsi" w:cstheme="majorHAnsi"/>
          <w:color w:val="2C2D5B"/>
        </w:rPr>
        <w:t>he Czech Supreme Administrative Court</w:t>
      </w:r>
      <w:r w:rsidR="00F272D8" w:rsidRPr="00D57A72">
        <w:rPr>
          <w:rFonts w:asciiTheme="majorHAnsi" w:hAnsiTheme="majorHAnsi" w:cstheme="majorHAnsi"/>
          <w:color w:val="2C2D5B"/>
        </w:rPr>
        <w:t xml:space="preserve">. Due to the novel or unresolved nature of this issue in CJEU case law, the Czech Court exercised its duty </w:t>
      </w:r>
      <w:r w:rsidR="003147AD" w:rsidRPr="00D57A72">
        <w:rPr>
          <w:rFonts w:asciiTheme="majorHAnsi" w:hAnsiTheme="majorHAnsi" w:cstheme="majorHAnsi"/>
          <w:color w:val="2C2D5B"/>
        </w:rPr>
        <w:t xml:space="preserve">under Article 267 TFEU to refer the case for interpretation. </w:t>
      </w:r>
    </w:p>
    <w:p w14:paraId="79A391B0" w14:textId="1FACD700" w:rsidR="00E15CD2" w:rsidRPr="00D57A72" w:rsidRDefault="00E15CD2" w:rsidP="00F37B27">
      <w:pPr>
        <w:spacing w:after="120" w:line="276" w:lineRule="auto"/>
        <w:jc w:val="both"/>
        <w:rPr>
          <w:rFonts w:asciiTheme="majorHAnsi" w:hAnsiTheme="majorHAnsi" w:cstheme="majorHAnsi"/>
          <w:color w:val="2C2D5B"/>
        </w:rPr>
      </w:pPr>
      <w:r w:rsidRPr="00D57A72">
        <w:rPr>
          <w:rFonts w:asciiTheme="majorHAnsi" w:hAnsiTheme="majorHAnsi" w:cstheme="majorHAnsi"/>
          <w:color w:val="2C2D5B"/>
        </w:rPr>
        <w:t>Even if the CJEU were to find the Czech temporary protection legislation compatible with the EChFR, the example outlined above serves an important purpose: it highlights that the EChFR can offer a solution in areas where other instruments or national constitutional legislation fail to provide a clear and positive answer to the issue at hand. Simultaneously, the example underscores that the EChFR is often unjustly overlooked, even by Member States with more than 20 years of EU membership..</w:t>
      </w:r>
    </w:p>
    <w:p w14:paraId="410BE76B" w14:textId="22634EAB" w:rsidR="00E15CD2" w:rsidRPr="00D57A72" w:rsidRDefault="00C32062" w:rsidP="00F37B27">
      <w:pPr>
        <w:spacing w:after="120" w:line="276" w:lineRule="auto"/>
        <w:jc w:val="both"/>
        <w:rPr>
          <w:rFonts w:asciiTheme="majorHAnsi" w:hAnsiTheme="majorHAnsi" w:cstheme="majorHAnsi"/>
          <w:color w:val="2C2D5B"/>
        </w:rPr>
      </w:pPr>
      <w:r>
        <w:rPr>
          <w:rFonts w:asciiTheme="majorHAnsi" w:hAnsiTheme="majorHAnsi" w:cstheme="majorHAnsi"/>
          <w:noProof/>
          <w:color w:val="000000"/>
          <w14:ligatures w14:val="standardContextual"/>
        </w:rPr>
        <mc:AlternateContent>
          <mc:Choice Requires="wps">
            <w:drawing>
              <wp:anchor distT="0" distB="0" distL="114300" distR="114300" simplePos="0" relativeHeight="251960320" behindDoc="0" locked="0" layoutInCell="1" allowOverlap="1" wp14:anchorId="5C5807F0" wp14:editId="523F5555">
                <wp:simplePos x="0" y="0"/>
                <wp:positionH relativeFrom="column">
                  <wp:posOffset>4887595</wp:posOffset>
                </wp:positionH>
                <wp:positionV relativeFrom="paragraph">
                  <wp:posOffset>935355</wp:posOffset>
                </wp:positionV>
                <wp:extent cx="670560" cy="620395"/>
                <wp:effectExtent l="0" t="0" r="0" b="8255"/>
                <wp:wrapNone/>
                <wp:docPr id="1833655151" name="Ellipse 68"/>
                <wp:cNvGraphicFramePr/>
                <a:graphic xmlns:a="http://schemas.openxmlformats.org/drawingml/2006/main">
                  <a:graphicData uri="http://schemas.microsoft.com/office/word/2010/wordprocessingShape">
                    <wps:wsp>
                      <wps:cNvSpPr/>
                      <wps:spPr>
                        <a:xfrm>
                          <a:off x="0" y="0"/>
                          <a:ext cx="670560" cy="620395"/>
                        </a:xfrm>
                        <a:prstGeom prst="ellipse">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79E62EA0" id="Ellipse 68" o:spid="_x0000_s1026" style="position:absolute;margin-left:384.85pt;margin-top:73.65pt;width:52.8pt;height:48.85pt;z-index:2519603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urfAIAAGAFAAAOAAAAZHJzL2Uyb0RvYy54bWysVFFv2yAQfp+0/4B4X21nSbpGcaooVadJ&#10;VVutnfpMMMRImGNA4mS/fgd2nHSt9jDtBQN3993d5++YX+8bTXbCeQWmpMVFTokwHCplNiX98Xz7&#10;6QslPjBTMQ1GlPQgPL1efPwwb+1MjKAGXQlHEMT4WWtLWodgZ1nmeS0a5i/ACoNGCa5hAY9uk1WO&#10;tYje6GyU59OsBVdZB1x4j7c3nZEuEr6UgocHKb0IRJcUawtpdWldxzVbzNls45itFe/LYP9QRcOU&#10;waQD1A0LjGydegPVKO7AgwwXHJoMpFRcpB6wmyL/o5unmlmRekFyvB1o8v8Plt/vnuyjQxpa62ce&#10;t7GLvXRN/GJ9ZJ/IOgxkiX0gHC+nl/lkipRyNE1H+eerSSQzOwVb58NXAQ2Jm5IKrZX1sR02Y7s7&#10;Hzrvo1e89qBVdau0TocoAbHSjuwY/rz1pujxX3lpE30NxKgOMN5kp2bSLhy0iH7afBeSqArLH6VC&#10;ks5OSRjnwoSiM9WsEl3uYpLnSSrY3RCRek2AEVli/gG7B3jdwBG7q7L3j6EiyXQIzv9WWBc8RKTM&#10;YMIQ3CgD7j0AjV31mTv/I0kdNZGlNVSHR0ccdEPiLb9V+OfumA+PzOFU4M/GSQ8PuEgNbUmh31FS&#10;g/v13n30R7GilZIWp6yk/ueWOUGJ/mZQxlfFeBzHMh3Gk8sRHty5ZX1uMdtmBaiFAt8Uy9M2+gd9&#10;3EoHzQs+CMuYFU3McMxdUh7c8bAK3fTjk8LFcpnccBQtC3fmyfIIHlmNsnzevzBne/kG1P09HCfy&#10;jYQ73xhpYLkNIFXS94nXnm8c4ySc/smJ78T5OXmdHsbFbwAAAP//AwBQSwMEFAAGAAgAAAAhAHHR&#10;kwbjAAAACwEAAA8AAABkcnMvZG93bnJldi54bWxMj8tOwzAQRfdI/IM1SOyoTdM0JcSpEK9NeYiA&#10;hNi5sUmixuPIdpv07xlWsJvRPbpzplhPtmcH40PnUMLlTAAzWDvdYSPh4/3hYgUsRIVa9Q6NhKMJ&#10;sC5PTwqVazfimzlUsWFUgiFXEtoYh5zzULfGqjBzg0HKvp23KtLqG669Gqnc9nwuxJJb1SFdaNVg&#10;bltT76q9lfD0+bJLfPp49/p8vxkrkaRdtfmS8vxsurkGFs0U/2D41Sd1KMlp6/aoA+slZMurjFAK&#10;FlkCjIhVltKwlTBfpAJ4WfD/P5Q/AAAA//8DAFBLAQItABQABgAIAAAAIQC2gziS/gAAAOEBAAAT&#10;AAAAAAAAAAAAAAAAAAAAAABbQ29udGVudF9UeXBlc10ueG1sUEsBAi0AFAAGAAgAAAAhADj9If/W&#10;AAAAlAEAAAsAAAAAAAAAAAAAAAAALwEAAF9yZWxzLy5yZWxzUEsBAi0AFAAGAAgAAAAhAD9T26t8&#10;AgAAYAUAAA4AAAAAAAAAAAAAAAAALgIAAGRycy9lMm9Eb2MueG1sUEsBAi0AFAAGAAgAAAAhAHHR&#10;kwbjAAAACwEAAA8AAAAAAAAAAAAAAAAA1gQAAGRycy9kb3ducmV2LnhtbFBLBQYAAAAABAAEAPMA&#10;AADmBQAAAAA=&#10;" fillcolor="white [3212]" stroked="f" strokeweight="1pt">
                <v:stroke joinstyle="miter"/>
              </v:oval>
            </w:pict>
          </mc:Fallback>
        </mc:AlternateContent>
      </w:r>
      <w:r w:rsidRPr="007A6459">
        <w:rPr>
          <w:rFonts w:asciiTheme="majorHAnsi" w:hAnsiTheme="majorHAnsi" w:cstheme="majorHAnsi"/>
          <w:noProof/>
          <w:color w:val="000000"/>
        </w:rPr>
        <w:drawing>
          <wp:anchor distT="0" distB="0" distL="114300" distR="114300" simplePos="0" relativeHeight="251961344" behindDoc="0" locked="0" layoutInCell="1" allowOverlap="1" wp14:anchorId="75C43FEC" wp14:editId="11FDD775">
            <wp:simplePos x="0" y="0"/>
            <wp:positionH relativeFrom="column">
              <wp:posOffset>4957304</wp:posOffset>
            </wp:positionH>
            <wp:positionV relativeFrom="paragraph">
              <wp:posOffset>931051</wp:posOffset>
            </wp:positionV>
            <wp:extent cx="518795" cy="514350"/>
            <wp:effectExtent l="0" t="0" r="0" b="0"/>
            <wp:wrapNone/>
            <wp:docPr id="1375559363" name="Image 1" descr="Une image contenant dessin humoristique, Silhouette d’animal, clipart, coch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876948" name="Image 1" descr="Une image contenant dessin humoristique, Silhouette d’animal, clipart, cochon&#10;&#10;Description générée automatiquement"/>
                    <pic:cNvPicPr/>
                  </pic:nvPicPr>
                  <pic:blipFill>
                    <a:blip r:embed="rId21">
                      <a:extLst>
                        <a:ext uri="{28A0092B-C50C-407E-A947-70E740481C1C}">
                          <a14:useLocalDpi xmlns:a14="http://schemas.microsoft.com/office/drawing/2010/main" val="0"/>
                        </a:ext>
                      </a:extLst>
                    </a:blip>
                    <a:stretch>
                      <a:fillRect/>
                    </a:stretch>
                  </pic:blipFill>
                  <pic:spPr>
                    <a:xfrm>
                      <a:off x="0" y="0"/>
                      <a:ext cx="518795" cy="514350"/>
                    </a:xfrm>
                    <a:prstGeom prst="rect">
                      <a:avLst/>
                    </a:prstGeom>
                  </pic:spPr>
                </pic:pic>
              </a:graphicData>
            </a:graphic>
            <wp14:sizeRelH relativeFrom="page">
              <wp14:pctWidth>0</wp14:pctWidth>
            </wp14:sizeRelH>
            <wp14:sizeRelV relativeFrom="page">
              <wp14:pctHeight>0</wp14:pctHeight>
            </wp14:sizeRelV>
          </wp:anchor>
        </w:drawing>
      </w:r>
      <w:r w:rsidR="00E15CD2" w:rsidRPr="00D57A72">
        <w:rPr>
          <w:rFonts w:asciiTheme="majorHAnsi" w:hAnsiTheme="majorHAnsi" w:cstheme="majorHAnsi"/>
          <w:color w:val="2C2D5B"/>
        </w:rPr>
        <w:t>Furthermore, preliminary ruling</w:t>
      </w:r>
      <w:r w:rsidR="00A94CD6" w:rsidRPr="00D57A72">
        <w:rPr>
          <w:rFonts w:asciiTheme="majorHAnsi" w:hAnsiTheme="majorHAnsi" w:cstheme="majorHAnsi"/>
          <w:color w:val="2C2D5B"/>
        </w:rPr>
        <w:t>s</w:t>
      </w:r>
      <w:r w:rsidR="00E15CD2" w:rsidRPr="00D57A72">
        <w:rPr>
          <w:rFonts w:asciiTheme="majorHAnsi" w:hAnsiTheme="majorHAnsi" w:cstheme="majorHAnsi"/>
          <w:color w:val="2C2D5B"/>
        </w:rPr>
        <w:t xml:space="preserve"> under Article 267 TFEU also play</w:t>
      </w:r>
      <w:r w:rsidR="00A94CD6" w:rsidRPr="00D57A72">
        <w:rPr>
          <w:rFonts w:asciiTheme="majorHAnsi" w:hAnsiTheme="majorHAnsi" w:cstheme="majorHAnsi"/>
          <w:color w:val="2C2D5B"/>
        </w:rPr>
        <w:t>ed</w:t>
      </w:r>
      <w:r w:rsidR="000D260F" w:rsidRPr="00D57A72">
        <w:rPr>
          <w:rFonts w:asciiTheme="majorHAnsi" w:hAnsiTheme="majorHAnsi" w:cstheme="majorHAnsi"/>
          <w:color w:val="2C2D5B"/>
        </w:rPr>
        <w:t xml:space="preserve"> </w:t>
      </w:r>
      <w:r w:rsidR="00E15CD2" w:rsidRPr="00D57A72">
        <w:rPr>
          <w:rFonts w:asciiTheme="majorHAnsi" w:hAnsiTheme="majorHAnsi" w:cstheme="majorHAnsi"/>
          <w:color w:val="2C2D5B"/>
        </w:rPr>
        <w:t>a crucial role in th</w:t>
      </w:r>
      <w:r w:rsidR="00A94CD6" w:rsidRPr="00D57A72">
        <w:rPr>
          <w:rFonts w:asciiTheme="majorHAnsi" w:hAnsiTheme="majorHAnsi" w:cstheme="majorHAnsi"/>
          <w:color w:val="2C2D5B"/>
        </w:rPr>
        <w:t>is</w:t>
      </w:r>
      <w:r w:rsidR="00E15CD2" w:rsidRPr="00D57A72">
        <w:rPr>
          <w:rFonts w:asciiTheme="majorHAnsi" w:hAnsiTheme="majorHAnsi" w:cstheme="majorHAnsi"/>
          <w:color w:val="2C2D5B"/>
        </w:rPr>
        <w:t xml:space="preserve"> case. </w:t>
      </w:r>
      <w:r w:rsidR="00E15CD2" w:rsidRPr="00D57A72">
        <w:rPr>
          <w:rFonts w:asciiTheme="majorHAnsi" w:hAnsiTheme="majorHAnsi" w:cstheme="majorHAnsi"/>
          <w:b/>
          <w:bCs/>
          <w:color w:val="2C2D5B"/>
        </w:rPr>
        <w:t xml:space="preserve">National courts </w:t>
      </w:r>
      <w:r w:rsidR="00A94CD6" w:rsidRPr="00D57A72">
        <w:rPr>
          <w:rFonts w:asciiTheme="majorHAnsi" w:hAnsiTheme="majorHAnsi" w:cstheme="majorHAnsi"/>
          <w:b/>
          <w:bCs/>
          <w:color w:val="2C2D5B"/>
        </w:rPr>
        <w:t xml:space="preserve">of last </w:t>
      </w:r>
      <w:r w:rsidR="00E15CD2" w:rsidRPr="00D57A72">
        <w:rPr>
          <w:rFonts w:asciiTheme="majorHAnsi" w:hAnsiTheme="majorHAnsi" w:cstheme="majorHAnsi"/>
          <w:b/>
          <w:bCs/>
          <w:color w:val="2C2D5B"/>
        </w:rPr>
        <w:t>instance are obligated to refer a request for a preliminary ruling to the CJEU if the interpretation of EU law needs clarification or if a similar case has not yet been addressed in the CJEU's case law</w:t>
      </w:r>
      <w:r w:rsidR="00E15CD2" w:rsidRPr="00D57A72">
        <w:rPr>
          <w:rFonts w:asciiTheme="majorHAnsi" w:hAnsiTheme="majorHAnsi" w:cstheme="majorHAnsi"/>
          <w:color w:val="2C2D5B"/>
        </w:rPr>
        <w:t>. This important obligation should be utili</w:t>
      </w:r>
      <w:r w:rsidR="00816E41" w:rsidRPr="00D57A72">
        <w:rPr>
          <w:rFonts w:asciiTheme="majorHAnsi" w:hAnsiTheme="majorHAnsi" w:cstheme="majorHAnsi"/>
          <w:color w:val="2C2D5B"/>
        </w:rPr>
        <w:t>s</w:t>
      </w:r>
      <w:r w:rsidR="00E15CD2" w:rsidRPr="00D57A72">
        <w:rPr>
          <w:rFonts w:asciiTheme="majorHAnsi" w:hAnsiTheme="majorHAnsi" w:cstheme="majorHAnsi"/>
          <w:color w:val="2C2D5B"/>
        </w:rPr>
        <w:t>ed more frequently by Czech courts.</w:t>
      </w:r>
    </w:p>
    <w:p w14:paraId="31008F5B" w14:textId="32D3CAEC" w:rsidR="00A94CD6" w:rsidRPr="005A6959" w:rsidRDefault="00C32062" w:rsidP="00F37B27">
      <w:pPr>
        <w:spacing w:after="120" w:line="276" w:lineRule="auto"/>
        <w:jc w:val="both"/>
        <w:rPr>
          <w:rFonts w:ascii="Calibri" w:hAnsi="Calibri" w:cs="Calibri"/>
        </w:rPr>
      </w:pPr>
      <w:r w:rsidRPr="005A6959">
        <w:rPr>
          <w:rFonts w:ascii="Calibri" w:hAnsi="Calibri" w:cs="Calibri"/>
          <w:noProof/>
        </w:rPr>
        <mc:AlternateContent>
          <mc:Choice Requires="wps">
            <w:drawing>
              <wp:anchor distT="45720" distB="45720" distL="114300" distR="114300" simplePos="0" relativeHeight="251756544" behindDoc="0" locked="0" layoutInCell="1" allowOverlap="1" wp14:anchorId="6D5DDF82" wp14:editId="1BEC48B8">
                <wp:simplePos x="0" y="0"/>
                <wp:positionH relativeFrom="margin">
                  <wp:posOffset>387350</wp:posOffset>
                </wp:positionH>
                <wp:positionV relativeFrom="paragraph">
                  <wp:posOffset>59690</wp:posOffset>
                </wp:positionV>
                <wp:extent cx="4935220" cy="1038225"/>
                <wp:effectExtent l="0" t="0" r="17780" b="28575"/>
                <wp:wrapSquare wrapText="bothSides"/>
                <wp:docPr id="10844192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5220" cy="1038225"/>
                        </a:xfrm>
                        <a:prstGeom prst="roundRect">
                          <a:avLst/>
                        </a:prstGeom>
                        <a:solidFill>
                          <a:schemeClr val="accent4">
                            <a:lumMod val="20000"/>
                            <a:lumOff val="80000"/>
                          </a:schemeClr>
                        </a:solidFill>
                        <a:ln w="9525">
                          <a:solidFill>
                            <a:schemeClr val="accent4">
                              <a:lumMod val="20000"/>
                              <a:lumOff val="80000"/>
                            </a:schemeClr>
                          </a:solidFill>
                          <a:miter lim="800000"/>
                          <a:headEnd/>
                          <a:tailEnd/>
                        </a:ln>
                      </wps:spPr>
                      <wps:txbx>
                        <w:txbxContent>
                          <w:p w14:paraId="59DDC394" w14:textId="597CA22C" w:rsidR="00A94CD6" w:rsidRDefault="00A94CD6" w:rsidP="00793675">
                            <w:pPr>
                              <w:jc w:val="center"/>
                              <w:rPr>
                                <w:rFonts w:asciiTheme="minorHAnsi" w:hAnsiTheme="minorHAnsi" w:cstheme="minorHAnsi"/>
                                <w:b/>
                                <w:bCs/>
                                <w:color w:val="2C2D5B"/>
                                <w:sz w:val="20"/>
                                <w:szCs w:val="20"/>
                              </w:rPr>
                            </w:pPr>
                            <w:r w:rsidRPr="00793675">
                              <w:rPr>
                                <w:rFonts w:asciiTheme="minorHAnsi" w:hAnsiTheme="minorHAnsi" w:cstheme="minorHAnsi"/>
                                <w:b/>
                                <w:bCs/>
                                <w:color w:val="2C2D5B"/>
                                <w:sz w:val="20"/>
                                <w:szCs w:val="20"/>
                              </w:rPr>
                              <w:t>Preliminary Rulings under Art 267 TFEU</w:t>
                            </w:r>
                            <w:r w:rsidR="00793675" w:rsidRPr="00793675">
                              <w:rPr>
                                <w:rFonts w:asciiTheme="minorHAnsi" w:hAnsiTheme="minorHAnsi" w:cstheme="minorHAnsi"/>
                                <w:b/>
                                <w:bCs/>
                                <w:color w:val="2C2D5B"/>
                                <w:sz w:val="20"/>
                                <w:szCs w:val="20"/>
                              </w:rPr>
                              <w:t xml:space="preserve"> </w:t>
                            </w:r>
                            <w:r w:rsidRPr="00793675">
                              <w:rPr>
                                <w:rFonts w:asciiTheme="minorHAnsi" w:hAnsiTheme="minorHAnsi" w:cstheme="minorHAnsi"/>
                                <w:b/>
                                <w:bCs/>
                                <w:color w:val="2C2D5B"/>
                                <w:sz w:val="20"/>
                                <w:szCs w:val="20"/>
                              </w:rPr>
                              <w:t>: An underutili</w:t>
                            </w:r>
                            <w:r w:rsidR="00145404" w:rsidRPr="00793675">
                              <w:rPr>
                                <w:rFonts w:asciiTheme="minorHAnsi" w:hAnsiTheme="minorHAnsi" w:cstheme="minorHAnsi"/>
                                <w:b/>
                                <w:bCs/>
                                <w:color w:val="2C2D5B"/>
                                <w:sz w:val="20"/>
                                <w:szCs w:val="20"/>
                              </w:rPr>
                              <w:t>s</w:t>
                            </w:r>
                            <w:r w:rsidRPr="00793675">
                              <w:rPr>
                                <w:rFonts w:asciiTheme="minorHAnsi" w:hAnsiTheme="minorHAnsi" w:cstheme="minorHAnsi"/>
                                <w:b/>
                                <w:bCs/>
                                <w:color w:val="2C2D5B"/>
                                <w:sz w:val="20"/>
                                <w:szCs w:val="20"/>
                              </w:rPr>
                              <w:t>ed tool</w:t>
                            </w:r>
                          </w:p>
                          <w:p w14:paraId="6CAC99C9" w14:textId="77777777" w:rsidR="00C32062" w:rsidRPr="00793675" w:rsidRDefault="00C32062" w:rsidP="00793675">
                            <w:pPr>
                              <w:jc w:val="center"/>
                              <w:rPr>
                                <w:rFonts w:asciiTheme="minorHAnsi" w:hAnsiTheme="minorHAnsi" w:cstheme="minorHAnsi"/>
                                <w:b/>
                                <w:bCs/>
                                <w:color w:val="2C2D5B"/>
                                <w:sz w:val="20"/>
                                <w:szCs w:val="20"/>
                              </w:rPr>
                            </w:pPr>
                          </w:p>
                          <w:p w14:paraId="7BE3787D" w14:textId="24A8432E" w:rsidR="00A94CD6" w:rsidRPr="00793675" w:rsidRDefault="00A94CD6" w:rsidP="00A94CD6">
                            <w:pPr>
                              <w:jc w:val="both"/>
                              <w:rPr>
                                <w:rFonts w:asciiTheme="minorHAnsi" w:hAnsiTheme="minorHAnsi" w:cstheme="minorHAnsi"/>
                                <w:color w:val="2C2D5B"/>
                                <w:sz w:val="20"/>
                                <w:szCs w:val="20"/>
                              </w:rPr>
                            </w:pPr>
                            <w:r w:rsidRPr="00793675">
                              <w:rPr>
                                <w:rFonts w:asciiTheme="minorHAnsi" w:hAnsiTheme="minorHAnsi" w:cstheme="minorHAnsi"/>
                                <w:color w:val="2C2D5B"/>
                                <w:sz w:val="20"/>
                                <w:szCs w:val="20"/>
                              </w:rPr>
                              <w:t>Art 267 TFEU mandates that national courts of last instances must refer to the CJEU</w:t>
                            </w:r>
                            <w:r w:rsidR="00C32062">
                              <w:rPr>
                                <w:rFonts w:asciiTheme="minorHAnsi" w:hAnsiTheme="minorHAnsi" w:cstheme="minorHAnsi"/>
                                <w:color w:val="2C2D5B"/>
                                <w:sz w:val="20"/>
                                <w:szCs w:val="20"/>
                              </w:rPr>
                              <w:t xml:space="preserve"> </w:t>
                            </w:r>
                            <w:r w:rsidRPr="00793675">
                              <w:rPr>
                                <w:rFonts w:asciiTheme="minorHAnsi" w:hAnsiTheme="minorHAnsi" w:cstheme="minorHAnsi"/>
                                <w:color w:val="2C2D5B"/>
                                <w:sz w:val="20"/>
                                <w:szCs w:val="20"/>
                              </w:rPr>
                              <w:t xml:space="preserve">: </w:t>
                            </w:r>
                          </w:p>
                          <w:p w14:paraId="23C7810C" w14:textId="410230F3" w:rsidR="00A94CD6" w:rsidRPr="00793675" w:rsidRDefault="00A94CD6" w:rsidP="00253E61">
                            <w:pPr>
                              <w:pStyle w:val="Odstavecseseznamem"/>
                              <w:numPr>
                                <w:ilvl w:val="0"/>
                                <w:numId w:val="17"/>
                              </w:numPr>
                              <w:jc w:val="both"/>
                              <w:rPr>
                                <w:rFonts w:asciiTheme="minorHAnsi" w:hAnsiTheme="minorHAnsi" w:cstheme="minorHAnsi"/>
                                <w:color w:val="2C2D5B"/>
                                <w:sz w:val="20"/>
                                <w:szCs w:val="20"/>
                              </w:rPr>
                            </w:pPr>
                            <w:r w:rsidRPr="00793675">
                              <w:rPr>
                                <w:rFonts w:asciiTheme="minorHAnsi" w:hAnsiTheme="minorHAnsi" w:cstheme="minorHAnsi"/>
                                <w:color w:val="2C2D5B"/>
                                <w:sz w:val="20"/>
                                <w:szCs w:val="20"/>
                              </w:rPr>
                              <w:t xml:space="preserve"> If clarification on how to interpret EU law is required or </w:t>
                            </w:r>
                          </w:p>
                          <w:p w14:paraId="3BB80229" w14:textId="29D1CA59" w:rsidR="00A94CD6" w:rsidRPr="00793675" w:rsidRDefault="00A94CD6" w:rsidP="00253E61">
                            <w:pPr>
                              <w:pStyle w:val="Odstavecseseznamem"/>
                              <w:numPr>
                                <w:ilvl w:val="0"/>
                                <w:numId w:val="17"/>
                              </w:numPr>
                              <w:jc w:val="both"/>
                              <w:rPr>
                                <w:rFonts w:asciiTheme="minorHAnsi" w:hAnsiTheme="minorHAnsi" w:cstheme="minorHAnsi"/>
                                <w:color w:val="2C2D5B"/>
                                <w:sz w:val="20"/>
                                <w:szCs w:val="20"/>
                              </w:rPr>
                            </w:pPr>
                            <w:r w:rsidRPr="00793675">
                              <w:rPr>
                                <w:rFonts w:asciiTheme="minorHAnsi" w:hAnsiTheme="minorHAnsi" w:cstheme="minorHAnsi"/>
                                <w:color w:val="2C2D5B"/>
                                <w:sz w:val="20"/>
                                <w:szCs w:val="20"/>
                              </w:rPr>
                              <w:t>If a similar case has not been yet addressed by the CJEU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6D5DDF82" id="_x0000_s1060" style="position:absolute;left:0;text-align:left;margin-left:30.5pt;margin-top:4.7pt;width:388.6pt;height:81.75pt;z-index:2517565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XEPMQIAAKkEAAAOAAAAZHJzL2Uyb0RvYy54bWzEVNuO0zAQfUfiHyy/06RpC23UdLV0WYS0&#10;XMTCB7i201g4HmO7TcrXM3bSboE3hMSLNZ6Jz5yZM5P1Td9qcpTOKzAVnU5ySqThIJTZV/Trl/sX&#10;S0p8YEYwDUZW9CQ9vdk8f7bubCkLaEAL6QiCGF92tqJNCLbMMs8b2TI/ASsNBmtwLQt4dftMONYh&#10;equzIs9fZh04YR1w6T1674Yg3ST8upY8fKxrLwPRFUVuIZ0unbt4Zps1K/eO2UbxkQb7CxYtUwaT&#10;XqDuWGDk4NQfUK3iDjzUYcKhzaCuFZepBqxmmv9WzWPDrEy1YHO8vbTJ/ztY/uH4aD85EvrX0KOA&#10;qQhvH4B/88TAtmFmL2+dg66RTGDiaWxZ1llfjk9jq33pI8iuew8CRWaHAAmor10bu4J1EkRHAU6X&#10;pss+EI7O+Wq2KAoMcYxN89myKBYpByvPz63z4a2ElkSjog4ORnxGaVMOdnzwIXJi5fm7mNKDVuJe&#10;aZ0ucZzkVjtyZDgIjHNpwjw914cWSQ9+HKh8HAl04+AM7uXZjSnSYEaklPCXJNqQrqKrBdL/PwRa&#10;FXCXtGormiiPpUTh3hiRJj0wpQcba9FmVDKKN8gY+l1PlKjobB41iMruQJxQWwfD7uCuo9GA+0FJ&#10;h3tTUf/9wJykRL8zOB+r6XweFy1d5otXUVl3HdldR5jhCFXRQMlgbkNazthAA7c4R7VK4j4xGTnj&#10;PiQJxt2NC3d9T189/WE2PwEAAP//AwBQSwMEFAAGAAgAAAAhAFuLDePhAAAACAEAAA8AAABkcnMv&#10;ZG93bnJldi54bWxMj8FOwzAQRO9I/IO1SNyo04BKGuJUBZQDqAdoK7VHN1niiHgdYrcJ/XqWExxH&#10;M5p5ky1G24oT9r5xpGA6iUAgla5qqFaw3RQ3CQgfNFW6dYQKvtHDIr+8yHRauYHe8bQOteAS8qlW&#10;YELoUil9adBqP3EdEnsfrrc6sOxrWfV64HLbyjiKZtLqhnjB6A6fDJaf66NVsPdfW7McHs/Pu925&#10;ePWrl9Vb0Sl1fTUuH0AEHMNfGH7xGR1yZjq4I1VetApmU74SFMzvQLCd3CYxiAPn7uM5yDyT/w/k&#10;PwAAAP//AwBQSwECLQAUAAYACAAAACEAtoM4kv4AAADhAQAAEwAAAAAAAAAAAAAAAAAAAAAAW0Nv&#10;bnRlbnRfVHlwZXNdLnhtbFBLAQItABQABgAIAAAAIQA4/SH/1gAAAJQBAAALAAAAAAAAAAAAAAAA&#10;AC8BAABfcmVscy8ucmVsc1BLAQItABQABgAIAAAAIQCIyXEPMQIAAKkEAAAOAAAAAAAAAAAAAAAA&#10;AC4CAABkcnMvZTJvRG9jLnhtbFBLAQItABQABgAIAAAAIQBbiw3j4QAAAAgBAAAPAAAAAAAAAAAA&#10;AAAAAIsEAABkcnMvZG93bnJldi54bWxQSwUGAAAAAAQABADzAAAAmQUAAAAA&#10;" fillcolor="#fff2cc [663]" strokecolor="#fff2cc [663]">
                <v:stroke joinstyle="miter"/>
                <v:textbox>
                  <w:txbxContent>
                    <w:p w14:paraId="59DDC394" w14:textId="597CA22C" w:rsidR="00A94CD6" w:rsidRDefault="00A94CD6" w:rsidP="00793675">
                      <w:pPr>
                        <w:jc w:val="center"/>
                        <w:rPr>
                          <w:rFonts w:asciiTheme="minorHAnsi" w:hAnsiTheme="minorHAnsi" w:cstheme="minorHAnsi"/>
                          <w:b/>
                          <w:bCs/>
                          <w:color w:val="2C2D5B"/>
                          <w:sz w:val="20"/>
                          <w:szCs w:val="20"/>
                        </w:rPr>
                      </w:pPr>
                      <w:r w:rsidRPr="00793675">
                        <w:rPr>
                          <w:rFonts w:asciiTheme="minorHAnsi" w:hAnsiTheme="minorHAnsi" w:cstheme="minorHAnsi"/>
                          <w:b/>
                          <w:bCs/>
                          <w:color w:val="2C2D5B"/>
                          <w:sz w:val="20"/>
                          <w:szCs w:val="20"/>
                        </w:rPr>
                        <w:t>Preliminary Rulings under Art 267 TFEU</w:t>
                      </w:r>
                      <w:r w:rsidR="00793675" w:rsidRPr="00793675">
                        <w:rPr>
                          <w:rFonts w:asciiTheme="minorHAnsi" w:hAnsiTheme="minorHAnsi" w:cstheme="minorHAnsi"/>
                          <w:b/>
                          <w:bCs/>
                          <w:color w:val="2C2D5B"/>
                          <w:sz w:val="20"/>
                          <w:szCs w:val="20"/>
                        </w:rPr>
                        <w:t xml:space="preserve"> </w:t>
                      </w:r>
                      <w:r w:rsidRPr="00793675">
                        <w:rPr>
                          <w:rFonts w:asciiTheme="minorHAnsi" w:hAnsiTheme="minorHAnsi" w:cstheme="minorHAnsi"/>
                          <w:b/>
                          <w:bCs/>
                          <w:color w:val="2C2D5B"/>
                          <w:sz w:val="20"/>
                          <w:szCs w:val="20"/>
                        </w:rPr>
                        <w:t>: An underutili</w:t>
                      </w:r>
                      <w:r w:rsidR="00145404" w:rsidRPr="00793675">
                        <w:rPr>
                          <w:rFonts w:asciiTheme="minorHAnsi" w:hAnsiTheme="minorHAnsi" w:cstheme="minorHAnsi"/>
                          <w:b/>
                          <w:bCs/>
                          <w:color w:val="2C2D5B"/>
                          <w:sz w:val="20"/>
                          <w:szCs w:val="20"/>
                        </w:rPr>
                        <w:t>s</w:t>
                      </w:r>
                      <w:r w:rsidRPr="00793675">
                        <w:rPr>
                          <w:rFonts w:asciiTheme="minorHAnsi" w:hAnsiTheme="minorHAnsi" w:cstheme="minorHAnsi"/>
                          <w:b/>
                          <w:bCs/>
                          <w:color w:val="2C2D5B"/>
                          <w:sz w:val="20"/>
                          <w:szCs w:val="20"/>
                        </w:rPr>
                        <w:t>ed tool</w:t>
                      </w:r>
                    </w:p>
                    <w:p w14:paraId="6CAC99C9" w14:textId="77777777" w:rsidR="00C32062" w:rsidRPr="00793675" w:rsidRDefault="00C32062" w:rsidP="00793675">
                      <w:pPr>
                        <w:jc w:val="center"/>
                        <w:rPr>
                          <w:rFonts w:asciiTheme="minorHAnsi" w:hAnsiTheme="minorHAnsi" w:cstheme="minorHAnsi"/>
                          <w:b/>
                          <w:bCs/>
                          <w:color w:val="2C2D5B"/>
                          <w:sz w:val="20"/>
                          <w:szCs w:val="20"/>
                        </w:rPr>
                      </w:pPr>
                    </w:p>
                    <w:p w14:paraId="7BE3787D" w14:textId="24A8432E" w:rsidR="00A94CD6" w:rsidRPr="00793675" w:rsidRDefault="00A94CD6" w:rsidP="00A94CD6">
                      <w:pPr>
                        <w:jc w:val="both"/>
                        <w:rPr>
                          <w:rFonts w:asciiTheme="minorHAnsi" w:hAnsiTheme="minorHAnsi" w:cstheme="minorHAnsi"/>
                          <w:color w:val="2C2D5B"/>
                          <w:sz w:val="20"/>
                          <w:szCs w:val="20"/>
                        </w:rPr>
                      </w:pPr>
                      <w:r w:rsidRPr="00793675">
                        <w:rPr>
                          <w:rFonts w:asciiTheme="minorHAnsi" w:hAnsiTheme="minorHAnsi" w:cstheme="minorHAnsi"/>
                          <w:color w:val="2C2D5B"/>
                          <w:sz w:val="20"/>
                          <w:szCs w:val="20"/>
                        </w:rPr>
                        <w:t>Art 267 TFEU mandates that national courts of last instances must refer to the CJEU</w:t>
                      </w:r>
                      <w:r w:rsidR="00C32062">
                        <w:rPr>
                          <w:rFonts w:asciiTheme="minorHAnsi" w:hAnsiTheme="minorHAnsi" w:cstheme="minorHAnsi"/>
                          <w:color w:val="2C2D5B"/>
                          <w:sz w:val="20"/>
                          <w:szCs w:val="20"/>
                        </w:rPr>
                        <w:t xml:space="preserve"> </w:t>
                      </w:r>
                      <w:r w:rsidRPr="00793675">
                        <w:rPr>
                          <w:rFonts w:asciiTheme="minorHAnsi" w:hAnsiTheme="minorHAnsi" w:cstheme="minorHAnsi"/>
                          <w:color w:val="2C2D5B"/>
                          <w:sz w:val="20"/>
                          <w:szCs w:val="20"/>
                        </w:rPr>
                        <w:t xml:space="preserve">: </w:t>
                      </w:r>
                    </w:p>
                    <w:p w14:paraId="23C7810C" w14:textId="410230F3" w:rsidR="00A94CD6" w:rsidRPr="00793675" w:rsidRDefault="00A94CD6" w:rsidP="00253E61">
                      <w:pPr>
                        <w:pStyle w:val="Paragraphedeliste"/>
                        <w:numPr>
                          <w:ilvl w:val="0"/>
                          <w:numId w:val="17"/>
                        </w:numPr>
                        <w:jc w:val="both"/>
                        <w:rPr>
                          <w:rFonts w:asciiTheme="minorHAnsi" w:hAnsiTheme="minorHAnsi" w:cstheme="minorHAnsi"/>
                          <w:color w:val="2C2D5B"/>
                          <w:sz w:val="20"/>
                          <w:szCs w:val="20"/>
                        </w:rPr>
                      </w:pPr>
                      <w:r w:rsidRPr="00793675">
                        <w:rPr>
                          <w:rFonts w:asciiTheme="minorHAnsi" w:hAnsiTheme="minorHAnsi" w:cstheme="minorHAnsi"/>
                          <w:color w:val="2C2D5B"/>
                          <w:sz w:val="20"/>
                          <w:szCs w:val="20"/>
                        </w:rPr>
                        <w:t xml:space="preserve"> If clarification on how to interpret EU law is required or </w:t>
                      </w:r>
                    </w:p>
                    <w:p w14:paraId="3BB80229" w14:textId="29D1CA59" w:rsidR="00A94CD6" w:rsidRPr="00793675" w:rsidRDefault="00A94CD6" w:rsidP="00253E61">
                      <w:pPr>
                        <w:pStyle w:val="Paragraphedeliste"/>
                        <w:numPr>
                          <w:ilvl w:val="0"/>
                          <w:numId w:val="17"/>
                        </w:numPr>
                        <w:jc w:val="both"/>
                        <w:rPr>
                          <w:rFonts w:asciiTheme="minorHAnsi" w:hAnsiTheme="minorHAnsi" w:cstheme="minorHAnsi"/>
                          <w:color w:val="2C2D5B"/>
                          <w:sz w:val="20"/>
                          <w:szCs w:val="20"/>
                        </w:rPr>
                      </w:pPr>
                      <w:r w:rsidRPr="00793675">
                        <w:rPr>
                          <w:rFonts w:asciiTheme="minorHAnsi" w:hAnsiTheme="minorHAnsi" w:cstheme="minorHAnsi"/>
                          <w:color w:val="2C2D5B"/>
                          <w:sz w:val="20"/>
                          <w:szCs w:val="20"/>
                        </w:rPr>
                        <w:t>If a similar case has not been yet addressed by the CJEU</w:t>
                      </w:r>
                    </w:p>
                  </w:txbxContent>
                </v:textbox>
                <w10:wrap type="square" anchorx="margin"/>
              </v:roundrect>
            </w:pict>
          </mc:Fallback>
        </mc:AlternateContent>
      </w:r>
    </w:p>
    <w:p w14:paraId="1A72E970" w14:textId="2E826AD5" w:rsidR="00A94CD6" w:rsidRPr="005A6959" w:rsidRDefault="00A94CD6" w:rsidP="00B6326F">
      <w:pPr>
        <w:pStyle w:val="Normlnweb"/>
        <w:spacing w:line="276" w:lineRule="auto"/>
        <w:jc w:val="both"/>
        <w:rPr>
          <w:rFonts w:ascii="Calibri" w:hAnsi="Calibri" w:cs="Calibri"/>
        </w:rPr>
      </w:pPr>
    </w:p>
    <w:p w14:paraId="56777ECA" w14:textId="77186C18" w:rsidR="00A94CD6" w:rsidRPr="005A6959" w:rsidRDefault="00A94CD6" w:rsidP="00B6326F">
      <w:pPr>
        <w:pStyle w:val="Normlnweb"/>
        <w:spacing w:line="276" w:lineRule="auto"/>
        <w:jc w:val="both"/>
        <w:rPr>
          <w:rFonts w:ascii="Calibri" w:hAnsi="Calibri" w:cs="Calibri"/>
        </w:rPr>
      </w:pPr>
    </w:p>
    <w:p w14:paraId="530586DE" w14:textId="77777777" w:rsidR="005067A3" w:rsidRPr="005067A3" w:rsidRDefault="005067A3" w:rsidP="00B6326F">
      <w:pPr>
        <w:pStyle w:val="Normlnweb"/>
        <w:spacing w:line="276" w:lineRule="auto"/>
        <w:jc w:val="both"/>
        <w:rPr>
          <w:rFonts w:ascii="Calibri" w:hAnsi="Calibri" w:cs="Calibri"/>
        </w:rPr>
      </w:pPr>
    </w:p>
    <w:p w14:paraId="7B85DABD" w14:textId="42DC8914" w:rsidR="00097ACC" w:rsidRPr="00C32062" w:rsidRDefault="009249B2" w:rsidP="00253E61">
      <w:pPr>
        <w:pStyle w:val="Normlnweb"/>
        <w:numPr>
          <w:ilvl w:val="1"/>
          <w:numId w:val="32"/>
        </w:numPr>
        <w:spacing w:line="276" w:lineRule="auto"/>
        <w:jc w:val="both"/>
        <w:rPr>
          <w:rFonts w:ascii="Calibri" w:hAnsi="Calibri" w:cs="Calibri"/>
          <w:b/>
          <w:bCs/>
          <w:color w:val="2F5496" w:themeColor="accent1" w:themeShade="BF"/>
          <w:sz w:val="32"/>
          <w:szCs w:val="32"/>
        </w:rPr>
      </w:pPr>
      <w:r w:rsidRPr="00C32062">
        <w:rPr>
          <w:rFonts w:ascii="Calibri" w:hAnsi="Calibri" w:cs="Calibri"/>
          <w:b/>
          <w:bCs/>
          <w:color w:val="2F5496" w:themeColor="accent1" w:themeShade="BF"/>
          <w:sz w:val="32"/>
          <w:szCs w:val="32"/>
        </w:rPr>
        <w:t>Case study – application of the EChFR in Czech national la</w:t>
      </w:r>
      <w:r w:rsidR="005067A3" w:rsidRPr="00C32062">
        <w:rPr>
          <w:rFonts w:ascii="Calibri" w:hAnsi="Calibri" w:cs="Calibri"/>
          <w:b/>
          <w:bCs/>
          <w:color w:val="2F5496" w:themeColor="accent1" w:themeShade="BF"/>
          <w:sz w:val="32"/>
          <w:szCs w:val="32"/>
        </w:rPr>
        <w:t>w</w:t>
      </w:r>
      <w:r w:rsidR="00C32062">
        <w:rPr>
          <w:rFonts w:ascii="Calibri" w:hAnsi="Calibri" w:cs="Calibri"/>
          <w:b/>
          <w:bCs/>
          <w:color w:val="2F5496" w:themeColor="accent1" w:themeShade="BF"/>
          <w:sz w:val="32"/>
          <w:szCs w:val="32"/>
        </w:rPr>
        <w:t xml:space="preserve"> </w:t>
      </w:r>
      <w:r w:rsidR="00097ACC" w:rsidRPr="00C32062">
        <w:rPr>
          <w:rFonts w:ascii="Calibri" w:hAnsi="Calibri" w:cs="Calibri"/>
          <w:b/>
          <w:bCs/>
          <w:color w:val="2F5496" w:themeColor="accent1" w:themeShade="BF"/>
          <w:sz w:val="32"/>
          <w:szCs w:val="32"/>
        </w:rPr>
        <w:t xml:space="preserve">: </w:t>
      </w:r>
      <w:r w:rsidR="00097ACC" w:rsidRPr="00C32062">
        <w:rPr>
          <w:rFonts w:ascii="Calibri" w:hAnsi="Calibri" w:cs="Calibri"/>
          <w:b/>
          <w:bCs/>
          <w:i/>
          <w:iCs/>
          <w:color w:val="2F5496" w:themeColor="accent1" w:themeShade="BF"/>
          <w:sz w:val="32"/>
          <w:szCs w:val="32"/>
        </w:rPr>
        <w:t>The Torubarov case</w:t>
      </w:r>
      <w:r w:rsidR="00793675" w:rsidRPr="00C32062">
        <w:rPr>
          <w:rFonts w:ascii="Calibri" w:hAnsi="Calibri" w:cs="Calibri"/>
          <w:b/>
          <w:bCs/>
          <w:i/>
          <w:iCs/>
          <w:color w:val="2F5496" w:themeColor="accent1" w:themeShade="BF"/>
          <w:sz w:val="32"/>
          <w:szCs w:val="32"/>
        </w:rPr>
        <w:t xml:space="preserve"> </w:t>
      </w:r>
      <w:r w:rsidR="00097ACC" w:rsidRPr="00C32062">
        <w:rPr>
          <w:rFonts w:ascii="Calibri" w:hAnsi="Calibri" w:cs="Calibri"/>
          <w:b/>
          <w:bCs/>
          <w:color w:val="2F5496" w:themeColor="accent1" w:themeShade="BF"/>
          <w:sz w:val="32"/>
          <w:szCs w:val="32"/>
        </w:rPr>
        <w:t xml:space="preserve">: </w:t>
      </w:r>
    </w:p>
    <w:p w14:paraId="3AEE7982" w14:textId="77777777" w:rsidR="007F72A5" w:rsidRDefault="007F72A5" w:rsidP="00B6326F">
      <w:pPr>
        <w:pStyle w:val="Normlnweb"/>
        <w:spacing w:line="276" w:lineRule="auto"/>
        <w:jc w:val="both"/>
        <w:rPr>
          <w:rFonts w:asciiTheme="majorHAnsi" w:hAnsiTheme="majorHAnsi" w:cstheme="majorHAnsi"/>
          <w:color w:val="2C2D5B"/>
        </w:rPr>
      </w:pPr>
      <w:r w:rsidRPr="00793675">
        <w:rPr>
          <w:rFonts w:asciiTheme="majorHAnsi" w:hAnsiTheme="majorHAnsi" w:cstheme="majorHAnsi"/>
          <w:color w:val="2C2D5B"/>
        </w:rPr>
        <w:t>Beyond temporary protection, Czech courts have consistently recognised the value of the EChFR in national judicial context. A key example of the EChFR’s application at the national level is the application of the CJEU’s judgment in the</w:t>
      </w:r>
      <w:r w:rsidRPr="00793675">
        <w:rPr>
          <w:rFonts w:asciiTheme="majorHAnsi" w:hAnsiTheme="majorHAnsi" w:cstheme="majorHAnsi"/>
          <w:i/>
          <w:iCs/>
          <w:color w:val="2C2D5B"/>
        </w:rPr>
        <w:t xml:space="preserve"> Torubarov</w:t>
      </w:r>
      <w:r w:rsidRPr="00793675">
        <w:rPr>
          <w:rFonts w:asciiTheme="majorHAnsi" w:hAnsiTheme="majorHAnsi" w:cstheme="majorHAnsi"/>
          <w:color w:val="2C2D5B"/>
        </w:rPr>
        <w:t xml:space="preserve"> case (C-556/17), which, although arising from another Member State, holds significant relevance for the Czech Republic. This case illustrates the EChFR’s potential to shape core national legal principles. </w:t>
      </w:r>
    </w:p>
    <w:p w14:paraId="3ABBEB54" w14:textId="77777777" w:rsidR="00793675" w:rsidRDefault="00793675" w:rsidP="00B6326F">
      <w:pPr>
        <w:pStyle w:val="Normlnweb"/>
        <w:spacing w:line="276" w:lineRule="auto"/>
        <w:jc w:val="both"/>
        <w:rPr>
          <w:rFonts w:asciiTheme="majorHAnsi" w:hAnsiTheme="majorHAnsi" w:cstheme="majorHAnsi"/>
          <w:color w:val="2C2D5B"/>
        </w:rPr>
      </w:pPr>
    </w:p>
    <w:p w14:paraId="68A98BBD" w14:textId="7F0C5609" w:rsidR="00793675" w:rsidRDefault="00793675" w:rsidP="00B6326F">
      <w:pPr>
        <w:pStyle w:val="Normlnweb"/>
        <w:spacing w:line="276" w:lineRule="auto"/>
        <w:jc w:val="both"/>
        <w:rPr>
          <w:rFonts w:asciiTheme="majorHAnsi" w:hAnsiTheme="majorHAnsi" w:cstheme="majorHAnsi"/>
          <w:color w:val="2C2D5B"/>
        </w:rPr>
      </w:pPr>
    </w:p>
    <w:p w14:paraId="252EAA18" w14:textId="05A85901" w:rsidR="00793675" w:rsidRPr="00793675" w:rsidRDefault="00793675" w:rsidP="00B6326F">
      <w:pPr>
        <w:pStyle w:val="Normlnweb"/>
        <w:spacing w:line="276" w:lineRule="auto"/>
        <w:jc w:val="both"/>
        <w:rPr>
          <w:rFonts w:asciiTheme="majorHAnsi" w:hAnsiTheme="majorHAnsi" w:cstheme="majorHAnsi"/>
          <w:color w:val="2C2D5B"/>
        </w:rPr>
      </w:pPr>
    </w:p>
    <w:p w14:paraId="5CD0E8EA" w14:textId="249E697A" w:rsidR="00ED05AB" w:rsidRPr="007F72A5" w:rsidRDefault="00C32062" w:rsidP="00B6326F">
      <w:pPr>
        <w:pStyle w:val="Normlnweb"/>
        <w:spacing w:line="276" w:lineRule="auto"/>
        <w:jc w:val="both"/>
        <w:rPr>
          <w:rFonts w:asciiTheme="majorHAnsi" w:hAnsiTheme="majorHAnsi" w:cstheme="majorHAnsi"/>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63392" behindDoc="0" locked="0" layoutInCell="1" allowOverlap="1" wp14:anchorId="6C435B24" wp14:editId="744058A9">
            <wp:simplePos x="0" y="0"/>
            <wp:positionH relativeFrom="column">
              <wp:posOffset>4865158</wp:posOffset>
            </wp:positionH>
            <wp:positionV relativeFrom="paragraph">
              <wp:posOffset>185632</wp:posOffset>
            </wp:positionV>
            <wp:extent cx="713105" cy="575310"/>
            <wp:effectExtent l="0" t="0" r="0" b="0"/>
            <wp:wrapNone/>
            <wp:docPr id="708210154"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Pr="005067A3">
        <w:rPr>
          <w:rFonts w:asciiTheme="majorHAnsi" w:hAnsiTheme="majorHAnsi" w:cstheme="majorHAnsi"/>
          <w:noProof/>
        </w:rPr>
        <mc:AlternateContent>
          <mc:Choice Requires="wps">
            <w:drawing>
              <wp:anchor distT="45720" distB="45720" distL="114300" distR="114300" simplePos="0" relativeHeight="251788288" behindDoc="0" locked="0" layoutInCell="1" allowOverlap="1" wp14:anchorId="239D13DB" wp14:editId="2D339021">
                <wp:simplePos x="0" y="0"/>
                <wp:positionH relativeFrom="margin">
                  <wp:posOffset>3175</wp:posOffset>
                </wp:positionH>
                <wp:positionV relativeFrom="paragraph">
                  <wp:posOffset>359339</wp:posOffset>
                </wp:positionV>
                <wp:extent cx="5384800" cy="5463540"/>
                <wp:effectExtent l="0" t="0" r="25400" b="22860"/>
                <wp:wrapSquare wrapText="bothSides"/>
                <wp:docPr id="128278252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4800" cy="5463540"/>
                        </a:xfrm>
                        <a:prstGeom prst="roundRect">
                          <a:avLst/>
                        </a:prstGeom>
                        <a:solidFill>
                          <a:schemeClr val="bg1"/>
                        </a:solidFill>
                        <a:ln w="19050">
                          <a:solidFill>
                            <a:srgbClr val="B6A04C"/>
                          </a:solidFill>
                          <a:miter lim="800000"/>
                          <a:headEnd/>
                          <a:tailEnd/>
                        </a:ln>
                      </wps:spPr>
                      <wps:txbx>
                        <w:txbxContent>
                          <w:p w14:paraId="6FDA88EF" w14:textId="5C0DD698" w:rsidR="00783E74" w:rsidRDefault="00783E74" w:rsidP="00793675">
                            <w:pPr>
                              <w:jc w:val="center"/>
                              <w:rPr>
                                <w:rFonts w:ascii="Calibri" w:hAnsi="Calibri" w:cs="Calibri"/>
                                <w:b/>
                                <w:bCs/>
                                <w:sz w:val="20"/>
                                <w:szCs w:val="20"/>
                              </w:rPr>
                            </w:pPr>
                            <w:hyperlink r:id="rId61" w:history="1">
                              <w:r w:rsidRPr="00793675">
                                <w:rPr>
                                  <w:rStyle w:val="Hypertextovodkaz"/>
                                  <w:rFonts w:ascii="Calibri" w:hAnsi="Calibri" w:cs="Calibri"/>
                                  <w:b/>
                                  <w:bCs/>
                                  <w:color w:val="B6A04C"/>
                                  <w:sz w:val="20"/>
                                  <w:szCs w:val="20"/>
                                </w:rPr>
                                <w:t>CJEU, 30 April 2019, Alekszij Torubarov v Bevándorlási és Menekültügyi Hivatal,  C-556/17, ECLI:EU:C:2019:33</w:t>
                              </w:r>
                              <w:r w:rsidRPr="0092558F">
                                <w:rPr>
                                  <w:rStyle w:val="Hypertextovodkaz"/>
                                  <w:rFonts w:ascii="Calibri" w:hAnsi="Calibri" w:cs="Calibri"/>
                                  <w:b/>
                                  <w:bCs/>
                                  <w:sz w:val="20"/>
                                  <w:szCs w:val="20"/>
                                </w:rPr>
                                <w:t>9</w:t>
                              </w:r>
                            </w:hyperlink>
                          </w:p>
                          <w:p w14:paraId="1D94AA05" w14:textId="77777777" w:rsidR="0092558F" w:rsidRDefault="0092558F" w:rsidP="00783E74">
                            <w:pPr>
                              <w:jc w:val="right"/>
                              <w:rPr>
                                <w:rFonts w:ascii="Calibri" w:hAnsi="Calibri" w:cs="Calibri"/>
                                <w:b/>
                                <w:bCs/>
                                <w:sz w:val="20"/>
                                <w:szCs w:val="20"/>
                              </w:rPr>
                            </w:pPr>
                          </w:p>
                          <w:p w14:paraId="76584DB3" w14:textId="5C857EB6" w:rsidR="0092558F" w:rsidRPr="00793675" w:rsidRDefault="0092558F" w:rsidP="0092558F">
                            <w:pPr>
                              <w:rPr>
                                <w:rFonts w:ascii="Calibri" w:hAnsi="Calibri" w:cs="Calibri"/>
                                <w:color w:val="2C2D5B"/>
                                <w:sz w:val="20"/>
                                <w:szCs w:val="20"/>
                              </w:rPr>
                            </w:pPr>
                            <w:r w:rsidRPr="00793675">
                              <w:rPr>
                                <w:rFonts w:ascii="Calibri" w:hAnsi="Calibri" w:cs="Calibri"/>
                                <w:b/>
                                <w:bCs/>
                                <w:color w:val="2C2D5B"/>
                                <w:sz w:val="20"/>
                                <w:szCs w:val="20"/>
                              </w:rPr>
                              <w:t>Facts</w:t>
                            </w:r>
                            <w:r w:rsidR="00793675" w:rsidRPr="00793675">
                              <w:rPr>
                                <w:rFonts w:ascii="Calibri" w:hAnsi="Calibri" w:cs="Calibri"/>
                                <w:b/>
                                <w:bCs/>
                                <w:color w:val="2C2D5B"/>
                                <w:sz w:val="20"/>
                                <w:szCs w:val="20"/>
                              </w:rPr>
                              <w:t xml:space="preserve"> </w:t>
                            </w:r>
                            <w:r w:rsidRPr="00793675">
                              <w:rPr>
                                <w:rFonts w:ascii="Calibri" w:hAnsi="Calibri" w:cs="Calibri"/>
                                <w:b/>
                                <w:bCs/>
                                <w:color w:val="2C2D5B"/>
                                <w:sz w:val="20"/>
                                <w:szCs w:val="20"/>
                              </w:rPr>
                              <w:t>:</w:t>
                            </w:r>
                            <w:r w:rsidRPr="00793675">
                              <w:rPr>
                                <w:rFonts w:ascii="Calibri" w:hAnsi="Calibri" w:cs="Calibri"/>
                                <w:color w:val="2C2D5B"/>
                                <w:sz w:val="20"/>
                                <w:szCs w:val="20"/>
                              </w:rPr>
                              <w:t xml:space="preserve"> The case of </w:t>
                            </w:r>
                            <w:r w:rsidRPr="00793675">
                              <w:rPr>
                                <w:rFonts w:ascii="Calibri" w:hAnsi="Calibri" w:cs="Calibri"/>
                                <w:i/>
                                <w:iCs/>
                                <w:color w:val="2C2D5B"/>
                                <w:sz w:val="20"/>
                                <w:szCs w:val="20"/>
                              </w:rPr>
                              <w:t>Torubarov</w:t>
                            </w:r>
                            <w:r w:rsidRPr="00793675">
                              <w:rPr>
                                <w:rFonts w:ascii="Calibri" w:hAnsi="Calibri" w:cs="Calibri"/>
                                <w:color w:val="2C2D5B"/>
                                <w:sz w:val="20"/>
                                <w:szCs w:val="20"/>
                              </w:rPr>
                              <w:t xml:space="preserve"> before CJEU involved Mr. Torubarov, an applicant for international protection in Hungary. His application was repeatedly rejected by Hungarian administrative authorities. While this situation might typically fall within the expected parameters of asylum procedures, Mr. Torubarov's case was marked by a significant conflict between judicial and administrative decisions. Mr Torubarov contested these refusals on several occasions through legal action before courts. Nevertheless, his efforts and the subsequent court decisions have had a limited impact. Under Hungarian national law , the courts were only entitled to annul the administrative authorities' decisions rather than to substitute them with their own decision granting international protection. </w:t>
                            </w:r>
                          </w:p>
                          <w:p w14:paraId="72E45EB0" w14:textId="017C467B" w:rsidR="0092558F" w:rsidRPr="00793675" w:rsidRDefault="0092558F" w:rsidP="0092558F">
                            <w:pPr>
                              <w:jc w:val="both"/>
                              <w:rPr>
                                <w:rFonts w:ascii="Calibri" w:hAnsi="Calibri" w:cs="Calibri"/>
                                <w:color w:val="2C2D5B"/>
                                <w:sz w:val="20"/>
                                <w:szCs w:val="20"/>
                              </w:rPr>
                            </w:pPr>
                            <w:r w:rsidRPr="00793675">
                              <w:rPr>
                                <w:rFonts w:ascii="Calibri" w:hAnsi="Calibri" w:cs="Calibri"/>
                                <w:color w:val="2C2D5B"/>
                                <w:sz w:val="20"/>
                                <w:szCs w:val="20"/>
                              </w:rPr>
                              <w:t xml:space="preserve">This limitation, known as the cassation principle, means that a court can either dismiss an action or uphold it and remit the matter to the administrative authority for further proceedings. This procedural limitation led to a cycle of repeated annulments and remittals in Mr. Torubarov's case. Courts annulled administrative rejections and referred the matter back to the authorities for re-examination. However, administrative authorities persisted in rejecting his application without providing adequate reasoning for their contradictory decisions. This dynamic resulted in an "administrative ping-pong" or a vicious circle of unresolved decisions.  </w:t>
                            </w:r>
                          </w:p>
                          <w:p w14:paraId="7B750F3F" w14:textId="77777777" w:rsidR="00E96BA2" w:rsidRPr="00793675" w:rsidRDefault="00E96BA2" w:rsidP="0092558F">
                            <w:pPr>
                              <w:jc w:val="both"/>
                              <w:rPr>
                                <w:rFonts w:ascii="Calibri" w:hAnsi="Calibri" w:cs="Calibri"/>
                                <w:color w:val="2C2D5B"/>
                                <w:sz w:val="20"/>
                                <w:szCs w:val="20"/>
                              </w:rPr>
                            </w:pPr>
                          </w:p>
                          <w:p w14:paraId="055D40AF" w14:textId="085AF565" w:rsidR="00E96BA2" w:rsidRPr="00793675" w:rsidRDefault="00E96BA2" w:rsidP="0092558F">
                            <w:pPr>
                              <w:jc w:val="both"/>
                              <w:rPr>
                                <w:rFonts w:ascii="Calibri" w:hAnsi="Calibri" w:cs="Calibri"/>
                                <w:b/>
                                <w:bCs/>
                                <w:color w:val="2C2D5B"/>
                                <w:sz w:val="20"/>
                                <w:szCs w:val="20"/>
                              </w:rPr>
                            </w:pPr>
                            <w:r w:rsidRPr="00793675">
                              <w:rPr>
                                <w:rFonts w:ascii="Calibri" w:hAnsi="Calibri" w:cs="Calibri"/>
                                <w:b/>
                                <w:bCs/>
                                <w:color w:val="2C2D5B"/>
                                <w:sz w:val="20"/>
                                <w:szCs w:val="20"/>
                              </w:rPr>
                              <w:t>Ruling</w:t>
                            </w:r>
                            <w:r w:rsidR="00793675" w:rsidRPr="00793675">
                              <w:rPr>
                                <w:rFonts w:ascii="Calibri" w:hAnsi="Calibri" w:cs="Calibri"/>
                                <w:b/>
                                <w:bCs/>
                                <w:color w:val="2C2D5B"/>
                                <w:sz w:val="20"/>
                                <w:szCs w:val="20"/>
                              </w:rPr>
                              <w:t xml:space="preserve"> </w:t>
                            </w:r>
                            <w:r w:rsidRPr="00793675">
                              <w:rPr>
                                <w:rFonts w:ascii="Calibri" w:hAnsi="Calibri" w:cs="Calibri"/>
                                <w:b/>
                                <w:bCs/>
                                <w:color w:val="2C2D5B"/>
                                <w:sz w:val="20"/>
                                <w:szCs w:val="20"/>
                              </w:rPr>
                              <w:t xml:space="preserve">: </w:t>
                            </w:r>
                          </w:p>
                          <w:p w14:paraId="30DD81A5" w14:textId="50B8627E" w:rsidR="00E96BA2" w:rsidRPr="00793675" w:rsidRDefault="00E96BA2" w:rsidP="0092558F">
                            <w:pPr>
                              <w:jc w:val="both"/>
                              <w:rPr>
                                <w:rFonts w:ascii="Calibri" w:hAnsi="Calibri" w:cs="Calibri"/>
                                <w:color w:val="2C2D5B"/>
                                <w:sz w:val="20"/>
                                <w:szCs w:val="20"/>
                              </w:rPr>
                            </w:pPr>
                            <w:r w:rsidRPr="00793675">
                              <w:rPr>
                                <w:rFonts w:ascii="Calibri" w:hAnsi="Calibri" w:cs="Calibri"/>
                                <w:color w:val="2C2D5B"/>
                                <w:sz w:val="20"/>
                                <w:szCs w:val="20"/>
                              </w:rPr>
                              <w:t xml:space="preserve">The </w:t>
                            </w:r>
                            <w:r w:rsidRPr="00793675">
                              <w:rPr>
                                <w:rFonts w:ascii="Calibri" w:hAnsi="Calibri" w:cs="Calibri"/>
                                <w:i/>
                                <w:iCs/>
                                <w:color w:val="2C2D5B"/>
                                <w:sz w:val="20"/>
                                <w:szCs w:val="20"/>
                              </w:rPr>
                              <w:t>Torubarov</w:t>
                            </w:r>
                            <w:r w:rsidRPr="00793675">
                              <w:rPr>
                                <w:rFonts w:ascii="Calibri" w:hAnsi="Calibri" w:cs="Calibri"/>
                                <w:color w:val="2C2D5B"/>
                                <w:sz w:val="20"/>
                                <w:szCs w:val="20"/>
                              </w:rPr>
                              <w:t xml:space="preserve"> case was ultimately referred to the CJEU. </w:t>
                            </w:r>
                          </w:p>
                          <w:p w14:paraId="69E4ACFE" w14:textId="4A64BB5D" w:rsidR="00E96BA2" w:rsidRPr="00793675" w:rsidRDefault="00E96BA2" w:rsidP="00E96BA2">
                            <w:pPr>
                              <w:jc w:val="both"/>
                              <w:rPr>
                                <w:rFonts w:ascii="Calibri" w:hAnsi="Calibri" w:cs="Calibri"/>
                                <w:color w:val="2C2D5B"/>
                                <w:sz w:val="20"/>
                                <w:szCs w:val="20"/>
                              </w:rPr>
                            </w:pPr>
                            <w:r w:rsidRPr="00793675">
                              <w:rPr>
                                <w:rFonts w:ascii="Calibri" w:hAnsi="Calibri" w:cs="Calibri"/>
                                <w:color w:val="2C2D5B"/>
                                <w:sz w:val="20"/>
                                <w:szCs w:val="20"/>
                              </w:rPr>
                              <w:t xml:space="preserve">The CJEU examined the matter under the framework of EU asylum law and the </w:t>
                            </w:r>
                            <w:r w:rsidRPr="00793675">
                              <w:rPr>
                                <w:rFonts w:ascii="Calibri" w:hAnsi="Calibri" w:cs="Calibri"/>
                                <w:b/>
                                <w:bCs/>
                                <w:color w:val="2C2D5B"/>
                                <w:sz w:val="20"/>
                                <w:szCs w:val="20"/>
                              </w:rPr>
                              <w:t>right to an effective remedy</w:t>
                            </w:r>
                            <w:r w:rsidRPr="00793675">
                              <w:rPr>
                                <w:rFonts w:ascii="Calibri" w:hAnsi="Calibri" w:cs="Calibri"/>
                                <w:color w:val="2C2D5B"/>
                                <w:sz w:val="20"/>
                                <w:szCs w:val="20"/>
                              </w:rPr>
                              <w:t xml:space="preserve">, as enshrined in </w:t>
                            </w:r>
                            <w:r w:rsidRPr="00793675">
                              <w:rPr>
                                <w:rFonts w:ascii="Calibri" w:hAnsi="Calibri" w:cs="Calibri"/>
                                <w:b/>
                                <w:bCs/>
                                <w:color w:val="2C2D5B"/>
                                <w:sz w:val="20"/>
                                <w:szCs w:val="20"/>
                              </w:rPr>
                              <w:t xml:space="preserve">Article 47 EChFR. </w:t>
                            </w:r>
                          </w:p>
                          <w:p w14:paraId="04CD69B7" w14:textId="77777777" w:rsidR="00E96BA2" w:rsidRPr="00793675" w:rsidRDefault="00E96BA2" w:rsidP="00E96BA2">
                            <w:pPr>
                              <w:jc w:val="both"/>
                              <w:rPr>
                                <w:rFonts w:ascii="Calibri" w:hAnsi="Calibri" w:cs="Calibri"/>
                                <w:color w:val="2C2D5B"/>
                                <w:sz w:val="20"/>
                                <w:szCs w:val="20"/>
                              </w:rPr>
                            </w:pPr>
                            <w:r w:rsidRPr="00793675">
                              <w:rPr>
                                <w:rFonts w:ascii="Calibri" w:hAnsi="Calibri" w:cs="Calibri"/>
                                <w:color w:val="2C2D5B"/>
                                <w:sz w:val="20"/>
                                <w:szCs w:val="20"/>
                              </w:rPr>
                              <w:t>In its judgment, the CJEU held that:</w:t>
                            </w:r>
                          </w:p>
                          <w:p w14:paraId="575D3200" w14:textId="77777777" w:rsidR="00E96BA2" w:rsidRPr="00793675" w:rsidRDefault="00E96BA2" w:rsidP="00253E61">
                            <w:pPr>
                              <w:numPr>
                                <w:ilvl w:val="0"/>
                                <w:numId w:val="24"/>
                              </w:numPr>
                              <w:jc w:val="both"/>
                              <w:rPr>
                                <w:rFonts w:ascii="Calibri" w:hAnsi="Calibri" w:cs="Calibri"/>
                                <w:color w:val="2C2D5B"/>
                                <w:sz w:val="20"/>
                                <w:szCs w:val="20"/>
                              </w:rPr>
                            </w:pPr>
                            <w:r w:rsidRPr="00793675">
                              <w:rPr>
                                <w:rFonts w:ascii="Calibri" w:hAnsi="Calibri" w:cs="Calibri"/>
                                <w:color w:val="2C2D5B"/>
                                <w:sz w:val="20"/>
                                <w:szCs w:val="20"/>
                              </w:rPr>
                              <w:t xml:space="preserve">To ensure an effective remedy under EU asylum law, national courts must, in </w:t>
                            </w:r>
                            <w:r w:rsidRPr="00793675">
                              <w:rPr>
                                <w:rFonts w:ascii="Calibri" w:hAnsi="Calibri" w:cs="Calibri"/>
                                <w:b/>
                                <w:bCs/>
                                <w:color w:val="2C2D5B"/>
                                <w:sz w:val="20"/>
                                <w:szCs w:val="20"/>
                              </w:rPr>
                              <w:t>exceptional cases</w:t>
                            </w:r>
                            <w:r w:rsidRPr="00793675">
                              <w:rPr>
                                <w:rFonts w:ascii="Calibri" w:hAnsi="Calibri" w:cs="Calibri"/>
                                <w:color w:val="2C2D5B"/>
                                <w:sz w:val="20"/>
                                <w:szCs w:val="20"/>
                              </w:rPr>
                              <w:t>, have the power to substitute their decision for that of the administrative authority.</w:t>
                            </w:r>
                          </w:p>
                          <w:p w14:paraId="2D53FD66" w14:textId="77777777" w:rsidR="00E96BA2" w:rsidRPr="00793675" w:rsidRDefault="00E96BA2" w:rsidP="00253E61">
                            <w:pPr>
                              <w:numPr>
                                <w:ilvl w:val="0"/>
                                <w:numId w:val="24"/>
                              </w:numPr>
                              <w:jc w:val="both"/>
                              <w:rPr>
                                <w:rFonts w:ascii="Calibri" w:hAnsi="Calibri" w:cs="Calibri"/>
                                <w:color w:val="2C2D5B"/>
                                <w:sz w:val="20"/>
                                <w:szCs w:val="20"/>
                              </w:rPr>
                            </w:pPr>
                            <w:r w:rsidRPr="00793675">
                              <w:rPr>
                                <w:rFonts w:ascii="Calibri" w:hAnsi="Calibri" w:cs="Calibri"/>
                                <w:color w:val="2C2D5B"/>
                                <w:sz w:val="20"/>
                                <w:szCs w:val="20"/>
                              </w:rPr>
                              <w:t>Even where national legislation prohibits such substitution, this prohibition cannot be upheld if it undermines the right to an effective remedy.</w:t>
                            </w:r>
                          </w:p>
                          <w:p w14:paraId="0A2CEBE7" w14:textId="77777777" w:rsidR="00E96BA2" w:rsidRPr="00793675" w:rsidRDefault="00E96BA2" w:rsidP="00253E61">
                            <w:pPr>
                              <w:numPr>
                                <w:ilvl w:val="0"/>
                                <w:numId w:val="24"/>
                              </w:numPr>
                              <w:jc w:val="both"/>
                              <w:rPr>
                                <w:rFonts w:ascii="Calibri" w:hAnsi="Calibri" w:cs="Calibri"/>
                                <w:color w:val="2C2D5B"/>
                                <w:sz w:val="20"/>
                                <w:szCs w:val="20"/>
                              </w:rPr>
                            </w:pPr>
                            <w:r w:rsidRPr="00793675">
                              <w:rPr>
                                <w:rFonts w:ascii="Calibri" w:hAnsi="Calibri" w:cs="Calibri"/>
                                <w:color w:val="2C2D5B"/>
                                <w:sz w:val="20"/>
                                <w:szCs w:val="20"/>
                              </w:rPr>
                              <w:t>The CJEU emphasized that the principle of effectiveness and the right to judicial protection obligate courts to ensure a final resolution, particularly in cases where administrative authorities fail to comply with judicial decisions.</w:t>
                            </w:r>
                          </w:p>
                          <w:p w14:paraId="1E5F3957" w14:textId="7862B915" w:rsidR="00E96BA2" w:rsidRPr="00E96BA2" w:rsidRDefault="00E96BA2" w:rsidP="00327D5A">
                            <w:pPr>
                              <w:jc w:val="both"/>
                              <w:rPr>
                                <w:rFonts w:ascii="Calibri" w:hAnsi="Calibri" w:cs="Calibri"/>
                                <w:b/>
                                <w:bCs/>
                                <w:sz w:val="20"/>
                                <w:szCs w:val="20"/>
                              </w:rPr>
                            </w:pPr>
                          </w:p>
                          <w:p w14:paraId="0460F541" w14:textId="77777777" w:rsidR="00783E74" w:rsidRPr="00327D5A" w:rsidRDefault="00783E74" w:rsidP="00327D5A">
                            <w:pPr>
                              <w:jc w:val="right"/>
                              <w:rPr>
                                <w:rFonts w:ascii="Calibri" w:hAnsi="Calibri" w:cs="Calibri"/>
                                <w:b/>
                                <w:bCs/>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239D13DB" id="_x0000_s1061" style="position:absolute;left:0;text-align:left;margin-left:.25pt;margin-top:28.3pt;width:424pt;height:430.2pt;z-index:251788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qFleJAIAAC0EAAAOAAAAZHJzL2Uyb0RvYy54bWysU9uO2yAQfa/Uf0C8N3YSJ81acVbZbLeq&#10;tL2o234ABmyjYsYFEjv9+g44m03Tt6p+QIwHDnPOnFnfDq0mB2mdAlPQ6SSlRBoOQpm6oN+/PbxZ&#10;UeI8M4JpMLKgR+no7eb1q3Xf5XIGDWghLUEQ4/K+K2jjfZcnieONbJmbQCcNJiuwLfMY2joRlvWI&#10;3upklqbLpAcrOgtcOod/78ck3UT8qpLcf64qJz3RBcXafFxtXMuwJps1y2vLukbxUxnsH6pomTL4&#10;6BnqnnlG9lb9BdUqbsFB5Scc2gSqSnEZOSCbaXrF5qlhnYxcUBzXnWVy/w+Wfzo8dV8s8cMdDNjA&#10;SMJ1j8B/OGJg1zBTy6210DeSCXx4GiRL+s7lp6tBape7AFL2H0Fgk9neQwQaKtsGVZAnQXRswPEs&#10;uhw84fhzMV9lqxRTHHOLbDlfZLEtCcufr3fW+fcSWhI2BbWwN+Irtja+wQ6PzoeaWP58LjzpQCvx&#10;oLSOQbCT3GlLDgyNUNYji6tT2pAeCd6ki3SU4Q8IW5dngLvlNs12UYkrjFZ59LNWbUGRFH6jw4J4&#10;74yIbvNM6XGPJWtzUjMIOErph3IgShR0vgiXg7oliCPqa2H0L84bbhqwvyjp0bsFdT/3zEpK9AeD&#10;PbqZZqgh8THIFm9nGNjLTHmZYYYjVEE9JeN25+OABOEMbLGXlYoCv1Ryqhk9GXU/zU8w/WUcT71M&#10;+eY3AAAA//8DAFBLAwQUAAYACAAAACEA3WYx4twAAAAHAQAADwAAAGRycy9kb3ducmV2LnhtbEyO&#10;wU7DMBBE70j8g7VI3KhT1AY3xKmiSly4NbQHbk68JIF4HcVuGv6e5QSXkXZmNPvy/eIGMeMUek8a&#10;1qsEBFLjbU+thtPby4MCEaIhawZPqOEbA+yL25vcZNZf6YhzFVvBIxQyo6GLccykDE2HzoSVH5E4&#10;+/CTM5HPqZV2Mlced4N8TJJUOtMTf+jMiIcOm6/q4jTMp+O2VIf3TdWd5efutVS1ckrr+7ulfAYR&#10;cYl/ZfjFZ3QomKn2F7JBDBq23GNNUxCcqo1io9awWz8lIItc/ucvfgAAAP//AwBQSwECLQAUAAYA&#10;CAAAACEAtoM4kv4AAADhAQAAEwAAAAAAAAAAAAAAAAAAAAAAW0NvbnRlbnRfVHlwZXNdLnhtbFBL&#10;AQItABQABgAIAAAAIQA4/SH/1gAAAJQBAAALAAAAAAAAAAAAAAAAAC8BAABfcmVscy8ucmVsc1BL&#10;AQItABQABgAIAAAAIQDUqFleJAIAAC0EAAAOAAAAAAAAAAAAAAAAAC4CAABkcnMvZTJvRG9jLnht&#10;bFBLAQItABQABgAIAAAAIQDdZjHi3AAAAAcBAAAPAAAAAAAAAAAAAAAAAH4EAABkcnMvZG93bnJl&#10;di54bWxQSwUGAAAAAAQABADzAAAAhwUAAAAA&#10;" fillcolor="white [3212]" strokecolor="#b6a04c" strokeweight="1.5pt">
                <v:stroke joinstyle="miter"/>
                <v:textbox>
                  <w:txbxContent>
                    <w:p w14:paraId="6FDA88EF" w14:textId="5C0DD698" w:rsidR="00783E74" w:rsidRDefault="00783E74" w:rsidP="00793675">
                      <w:pPr>
                        <w:jc w:val="center"/>
                        <w:rPr>
                          <w:rFonts w:ascii="Calibri" w:hAnsi="Calibri" w:cs="Calibri"/>
                          <w:b/>
                          <w:bCs/>
                          <w:sz w:val="20"/>
                          <w:szCs w:val="20"/>
                        </w:rPr>
                      </w:pPr>
                      <w:hyperlink r:id="rId62" w:history="1">
                        <w:r w:rsidRPr="00793675">
                          <w:rPr>
                            <w:rStyle w:val="Lienhypertexte"/>
                            <w:rFonts w:ascii="Calibri" w:hAnsi="Calibri" w:cs="Calibri"/>
                            <w:b/>
                            <w:bCs/>
                            <w:color w:val="B6A04C"/>
                            <w:sz w:val="20"/>
                            <w:szCs w:val="20"/>
                          </w:rPr>
                          <w:t xml:space="preserve">CJEU, 30 April 2019, </w:t>
                        </w:r>
                        <w:proofErr w:type="spellStart"/>
                        <w:r w:rsidRPr="00793675">
                          <w:rPr>
                            <w:rStyle w:val="Lienhypertexte"/>
                            <w:rFonts w:ascii="Calibri" w:hAnsi="Calibri" w:cs="Calibri"/>
                            <w:b/>
                            <w:bCs/>
                            <w:color w:val="B6A04C"/>
                            <w:sz w:val="20"/>
                            <w:szCs w:val="20"/>
                          </w:rPr>
                          <w:t>Alekszij</w:t>
                        </w:r>
                        <w:proofErr w:type="spellEnd"/>
                        <w:r w:rsidRPr="00793675">
                          <w:rPr>
                            <w:rStyle w:val="Lienhypertexte"/>
                            <w:rFonts w:ascii="Calibri" w:hAnsi="Calibri" w:cs="Calibri"/>
                            <w:b/>
                            <w:bCs/>
                            <w:color w:val="B6A04C"/>
                            <w:sz w:val="20"/>
                            <w:szCs w:val="20"/>
                          </w:rPr>
                          <w:t xml:space="preserve"> </w:t>
                        </w:r>
                        <w:proofErr w:type="spellStart"/>
                        <w:r w:rsidRPr="00793675">
                          <w:rPr>
                            <w:rStyle w:val="Lienhypertexte"/>
                            <w:rFonts w:ascii="Calibri" w:hAnsi="Calibri" w:cs="Calibri"/>
                            <w:b/>
                            <w:bCs/>
                            <w:color w:val="B6A04C"/>
                            <w:sz w:val="20"/>
                            <w:szCs w:val="20"/>
                          </w:rPr>
                          <w:t>Torubarov</w:t>
                        </w:r>
                        <w:proofErr w:type="spellEnd"/>
                        <w:r w:rsidRPr="00793675">
                          <w:rPr>
                            <w:rStyle w:val="Lienhypertexte"/>
                            <w:rFonts w:ascii="Calibri" w:hAnsi="Calibri" w:cs="Calibri"/>
                            <w:b/>
                            <w:bCs/>
                            <w:color w:val="B6A04C"/>
                            <w:sz w:val="20"/>
                            <w:szCs w:val="20"/>
                          </w:rPr>
                          <w:t xml:space="preserve"> v </w:t>
                        </w:r>
                        <w:proofErr w:type="spellStart"/>
                        <w:r w:rsidRPr="00793675">
                          <w:rPr>
                            <w:rStyle w:val="Lienhypertexte"/>
                            <w:rFonts w:ascii="Calibri" w:hAnsi="Calibri" w:cs="Calibri"/>
                            <w:b/>
                            <w:bCs/>
                            <w:color w:val="B6A04C"/>
                            <w:sz w:val="20"/>
                            <w:szCs w:val="20"/>
                          </w:rPr>
                          <w:t>Bevándorlási</w:t>
                        </w:r>
                        <w:proofErr w:type="spellEnd"/>
                        <w:r w:rsidRPr="00793675">
                          <w:rPr>
                            <w:rStyle w:val="Lienhypertexte"/>
                            <w:rFonts w:ascii="Calibri" w:hAnsi="Calibri" w:cs="Calibri"/>
                            <w:b/>
                            <w:bCs/>
                            <w:color w:val="B6A04C"/>
                            <w:sz w:val="20"/>
                            <w:szCs w:val="20"/>
                          </w:rPr>
                          <w:t xml:space="preserve"> </w:t>
                        </w:r>
                        <w:proofErr w:type="spellStart"/>
                        <w:r w:rsidRPr="00793675">
                          <w:rPr>
                            <w:rStyle w:val="Lienhypertexte"/>
                            <w:rFonts w:ascii="Calibri" w:hAnsi="Calibri" w:cs="Calibri"/>
                            <w:b/>
                            <w:bCs/>
                            <w:color w:val="B6A04C"/>
                            <w:sz w:val="20"/>
                            <w:szCs w:val="20"/>
                          </w:rPr>
                          <w:t>és</w:t>
                        </w:r>
                        <w:proofErr w:type="spellEnd"/>
                        <w:r w:rsidRPr="00793675">
                          <w:rPr>
                            <w:rStyle w:val="Lienhypertexte"/>
                            <w:rFonts w:ascii="Calibri" w:hAnsi="Calibri" w:cs="Calibri"/>
                            <w:b/>
                            <w:bCs/>
                            <w:color w:val="B6A04C"/>
                            <w:sz w:val="20"/>
                            <w:szCs w:val="20"/>
                          </w:rPr>
                          <w:t xml:space="preserve"> </w:t>
                        </w:r>
                        <w:proofErr w:type="spellStart"/>
                        <w:r w:rsidRPr="00793675">
                          <w:rPr>
                            <w:rStyle w:val="Lienhypertexte"/>
                            <w:rFonts w:ascii="Calibri" w:hAnsi="Calibri" w:cs="Calibri"/>
                            <w:b/>
                            <w:bCs/>
                            <w:color w:val="B6A04C"/>
                            <w:sz w:val="20"/>
                            <w:szCs w:val="20"/>
                          </w:rPr>
                          <w:t>Menekültügyi</w:t>
                        </w:r>
                        <w:proofErr w:type="spellEnd"/>
                        <w:r w:rsidRPr="00793675">
                          <w:rPr>
                            <w:rStyle w:val="Lienhypertexte"/>
                            <w:rFonts w:ascii="Calibri" w:hAnsi="Calibri" w:cs="Calibri"/>
                            <w:b/>
                            <w:bCs/>
                            <w:color w:val="B6A04C"/>
                            <w:sz w:val="20"/>
                            <w:szCs w:val="20"/>
                          </w:rPr>
                          <w:t xml:space="preserve"> Hivatal,  C-556/17, ECLI:EU:C:2019:33</w:t>
                        </w:r>
                        <w:r w:rsidRPr="0092558F">
                          <w:rPr>
                            <w:rStyle w:val="Lienhypertexte"/>
                            <w:rFonts w:ascii="Calibri" w:hAnsi="Calibri" w:cs="Calibri"/>
                            <w:b/>
                            <w:bCs/>
                            <w:sz w:val="20"/>
                            <w:szCs w:val="20"/>
                          </w:rPr>
                          <w:t>9</w:t>
                        </w:r>
                      </w:hyperlink>
                    </w:p>
                    <w:p w14:paraId="1D94AA05" w14:textId="77777777" w:rsidR="0092558F" w:rsidRDefault="0092558F" w:rsidP="00783E74">
                      <w:pPr>
                        <w:jc w:val="right"/>
                        <w:rPr>
                          <w:rFonts w:ascii="Calibri" w:hAnsi="Calibri" w:cs="Calibri"/>
                          <w:b/>
                          <w:bCs/>
                          <w:sz w:val="20"/>
                          <w:szCs w:val="20"/>
                        </w:rPr>
                      </w:pPr>
                    </w:p>
                    <w:p w14:paraId="76584DB3" w14:textId="5C857EB6" w:rsidR="0092558F" w:rsidRPr="00793675" w:rsidRDefault="0092558F" w:rsidP="0092558F">
                      <w:pPr>
                        <w:rPr>
                          <w:rFonts w:ascii="Calibri" w:hAnsi="Calibri" w:cs="Calibri"/>
                          <w:color w:val="2C2D5B"/>
                          <w:sz w:val="20"/>
                          <w:szCs w:val="20"/>
                        </w:rPr>
                      </w:pPr>
                      <w:r w:rsidRPr="00793675">
                        <w:rPr>
                          <w:rFonts w:ascii="Calibri" w:hAnsi="Calibri" w:cs="Calibri"/>
                          <w:b/>
                          <w:bCs/>
                          <w:color w:val="2C2D5B"/>
                          <w:sz w:val="20"/>
                          <w:szCs w:val="20"/>
                        </w:rPr>
                        <w:t>Facts</w:t>
                      </w:r>
                      <w:r w:rsidR="00793675" w:rsidRPr="00793675">
                        <w:rPr>
                          <w:rFonts w:ascii="Calibri" w:hAnsi="Calibri" w:cs="Calibri"/>
                          <w:b/>
                          <w:bCs/>
                          <w:color w:val="2C2D5B"/>
                          <w:sz w:val="20"/>
                          <w:szCs w:val="20"/>
                        </w:rPr>
                        <w:t xml:space="preserve"> </w:t>
                      </w:r>
                      <w:r w:rsidRPr="00793675">
                        <w:rPr>
                          <w:rFonts w:ascii="Calibri" w:hAnsi="Calibri" w:cs="Calibri"/>
                          <w:b/>
                          <w:bCs/>
                          <w:color w:val="2C2D5B"/>
                          <w:sz w:val="20"/>
                          <w:szCs w:val="20"/>
                        </w:rPr>
                        <w:t>:</w:t>
                      </w:r>
                      <w:r w:rsidRPr="00793675">
                        <w:rPr>
                          <w:rFonts w:ascii="Calibri" w:hAnsi="Calibri" w:cs="Calibri"/>
                          <w:color w:val="2C2D5B"/>
                          <w:sz w:val="20"/>
                          <w:szCs w:val="20"/>
                        </w:rPr>
                        <w:t xml:space="preserve"> The case of </w:t>
                      </w:r>
                      <w:proofErr w:type="spellStart"/>
                      <w:r w:rsidRPr="00793675">
                        <w:rPr>
                          <w:rFonts w:ascii="Calibri" w:hAnsi="Calibri" w:cs="Calibri"/>
                          <w:i/>
                          <w:iCs/>
                          <w:color w:val="2C2D5B"/>
                          <w:sz w:val="20"/>
                          <w:szCs w:val="20"/>
                        </w:rPr>
                        <w:t>Torubarov</w:t>
                      </w:r>
                      <w:proofErr w:type="spellEnd"/>
                      <w:r w:rsidRPr="00793675">
                        <w:rPr>
                          <w:rFonts w:ascii="Calibri" w:hAnsi="Calibri" w:cs="Calibri"/>
                          <w:color w:val="2C2D5B"/>
                          <w:sz w:val="20"/>
                          <w:szCs w:val="20"/>
                        </w:rPr>
                        <w:t xml:space="preserve"> before CJEU involved Mr. </w:t>
                      </w:r>
                      <w:proofErr w:type="spellStart"/>
                      <w:r w:rsidRPr="00793675">
                        <w:rPr>
                          <w:rFonts w:ascii="Calibri" w:hAnsi="Calibri" w:cs="Calibri"/>
                          <w:color w:val="2C2D5B"/>
                          <w:sz w:val="20"/>
                          <w:szCs w:val="20"/>
                        </w:rPr>
                        <w:t>Torubarov</w:t>
                      </w:r>
                      <w:proofErr w:type="spellEnd"/>
                      <w:r w:rsidRPr="00793675">
                        <w:rPr>
                          <w:rFonts w:ascii="Calibri" w:hAnsi="Calibri" w:cs="Calibri"/>
                          <w:color w:val="2C2D5B"/>
                          <w:sz w:val="20"/>
                          <w:szCs w:val="20"/>
                        </w:rPr>
                        <w:t xml:space="preserve">, an applicant for international protection in Hungary. His application was repeatedly rejected by Hungarian administrative authorities. While this situation might typically fall within the expected parameters of asylum procedures, Mr. </w:t>
                      </w:r>
                      <w:proofErr w:type="spellStart"/>
                      <w:r w:rsidRPr="00793675">
                        <w:rPr>
                          <w:rFonts w:ascii="Calibri" w:hAnsi="Calibri" w:cs="Calibri"/>
                          <w:color w:val="2C2D5B"/>
                          <w:sz w:val="20"/>
                          <w:szCs w:val="20"/>
                        </w:rPr>
                        <w:t>Torubarov's</w:t>
                      </w:r>
                      <w:proofErr w:type="spellEnd"/>
                      <w:r w:rsidRPr="00793675">
                        <w:rPr>
                          <w:rFonts w:ascii="Calibri" w:hAnsi="Calibri" w:cs="Calibri"/>
                          <w:color w:val="2C2D5B"/>
                          <w:sz w:val="20"/>
                          <w:szCs w:val="20"/>
                        </w:rPr>
                        <w:t xml:space="preserve"> case was marked by a significant conflict between judicial and administrative decisions. Mr </w:t>
                      </w:r>
                      <w:proofErr w:type="spellStart"/>
                      <w:r w:rsidRPr="00793675">
                        <w:rPr>
                          <w:rFonts w:ascii="Calibri" w:hAnsi="Calibri" w:cs="Calibri"/>
                          <w:color w:val="2C2D5B"/>
                          <w:sz w:val="20"/>
                          <w:szCs w:val="20"/>
                        </w:rPr>
                        <w:t>Torubarov</w:t>
                      </w:r>
                      <w:proofErr w:type="spellEnd"/>
                      <w:r w:rsidRPr="00793675">
                        <w:rPr>
                          <w:rFonts w:ascii="Calibri" w:hAnsi="Calibri" w:cs="Calibri"/>
                          <w:color w:val="2C2D5B"/>
                          <w:sz w:val="20"/>
                          <w:szCs w:val="20"/>
                        </w:rPr>
                        <w:t xml:space="preserve"> contested these refusals on several occasions through legal action before courts. Nevertheless, his efforts and the subsequent court decisions have had a limited impact. Under Hungarian national law , the courts were only entitled to annul the administrative authorities' decisions rather than to substitute them with their own decision granting international protection. </w:t>
                      </w:r>
                    </w:p>
                    <w:p w14:paraId="72E45EB0" w14:textId="017C467B" w:rsidR="0092558F" w:rsidRPr="00793675" w:rsidRDefault="0092558F" w:rsidP="0092558F">
                      <w:pPr>
                        <w:jc w:val="both"/>
                        <w:rPr>
                          <w:rFonts w:ascii="Calibri" w:hAnsi="Calibri" w:cs="Calibri"/>
                          <w:color w:val="2C2D5B"/>
                          <w:sz w:val="20"/>
                          <w:szCs w:val="20"/>
                        </w:rPr>
                      </w:pPr>
                      <w:r w:rsidRPr="00793675">
                        <w:rPr>
                          <w:rFonts w:ascii="Calibri" w:hAnsi="Calibri" w:cs="Calibri"/>
                          <w:color w:val="2C2D5B"/>
                          <w:sz w:val="20"/>
                          <w:szCs w:val="20"/>
                        </w:rPr>
                        <w:t xml:space="preserve">This limitation, known as the cassation principle, means that a court can either dismiss an action or uphold it and remit the matter to the administrative authority for further proceedings. This procedural limitation led to a cycle of repeated annulments and remittals in Mr. </w:t>
                      </w:r>
                      <w:proofErr w:type="spellStart"/>
                      <w:r w:rsidRPr="00793675">
                        <w:rPr>
                          <w:rFonts w:ascii="Calibri" w:hAnsi="Calibri" w:cs="Calibri"/>
                          <w:color w:val="2C2D5B"/>
                          <w:sz w:val="20"/>
                          <w:szCs w:val="20"/>
                        </w:rPr>
                        <w:t>Torubarov's</w:t>
                      </w:r>
                      <w:proofErr w:type="spellEnd"/>
                      <w:r w:rsidRPr="00793675">
                        <w:rPr>
                          <w:rFonts w:ascii="Calibri" w:hAnsi="Calibri" w:cs="Calibri"/>
                          <w:color w:val="2C2D5B"/>
                          <w:sz w:val="20"/>
                          <w:szCs w:val="20"/>
                        </w:rPr>
                        <w:t xml:space="preserve"> case. Courts annulled administrative rejections and referred the matter back to the authorities for re-examination. However, administrative authorities persisted in rejecting his application without providing adequate reasoning for their contradictory decisions. This dynamic resulted in an "administrative ping-pong" or a vicious circle of unresolved decisions.  </w:t>
                      </w:r>
                    </w:p>
                    <w:p w14:paraId="7B750F3F" w14:textId="77777777" w:rsidR="00E96BA2" w:rsidRPr="00793675" w:rsidRDefault="00E96BA2" w:rsidP="0092558F">
                      <w:pPr>
                        <w:jc w:val="both"/>
                        <w:rPr>
                          <w:rFonts w:ascii="Calibri" w:hAnsi="Calibri" w:cs="Calibri"/>
                          <w:color w:val="2C2D5B"/>
                          <w:sz w:val="20"/>
                          <w:szCs w:val="20"/>
                        </w:rPr>
                      </w:pPr>
                    </w:p>
                    <w:p w14:paraId="055D40AF" w14:textId="085AF565" w:rsidR="00E96BA2" w:rsidRPr="00793675" w:rsidRDefault="00E96BA2" w:rsidP="0092558F">
                      <w:pPr>
                        <w:jc w:val="both"/>
                        <w:rPr>
                          <w:rFonts w:ascii="Calibri" w:hAnsi="Calibri" w:cs="Calibri"/>
                          <w:b/>
                          <w:bCs/>
                          <w:color w:val="2C2D5B"/>
                          <w:sz w:val="20"/>
                          <w:szCs w:val="20"/>
                        </w:rPr>
                      </w:pPr>
                      <w:r w:rsidRPr="00793675">
                        <w:rPr>
                          <w:rFonts w:ascii="Calibri" w:hAnsi="Calibri" w:cs="Calibri"/>
                          <w:b/>
                          <w:bCs/>
                          <w:color w:val="2C2D5B"/>
                          <w:sz w:val="20"/>
                          <w:szCs w:val="20"/>
                        </w:rPr>
                        <w:t>Ruling</w:t>
                      </w:r>
                      <w:r w:rsidR="00793675" w:rsidRPr="00793675">
                        <w:rPr>
                          <w:rFonts w:ascii="Calibri" w:hAnsi="Calibri" w:cs="Calibri"/>
                          <w:b/>
                          <w:bCs/>
                          <w:color w:val="2C2D5B"/>
                          <w:sz w:val="20"/>
                          <w:szCs w:val="20"/>
                        </w:rPr>
                        <w:t xml:space="preserve"> </w:t>
                      </w:r>
                      <w:r w:rsidRPr="00793675">
                        <w:rPr>
                          <w:rFonts w:ascii="Calibri" w:hAnsi="Calibri" w:cs="Calibri"/>
                          <w:b/>
                          <w:bCs/>
                          <w:color w:val="2C2D5B"/>
                          <w:sz w:val="20"/>
                          <w:szCs w:val="20"/>
                        </w:rPr>
                        <w:t xml:space="preserve">: </w:t>
                      </w:r>
                    </w:p>
                    <w:p w14:paraId="30DD81A5" w14:textId="50B8627E" w:rsidR="00E96BA2" w:rsidRPr="00793675" w:rsidRDefault="00E96BA2" w:rsidP="0092558F">
                      <w:pPr>
                        <w:jc w:val="both"/>
                        <w:rPr>
                          <w:rFonts w:ascii="Calibri" w:hAnsi="Calibri" w:cs="Calibri"/>
                          <w:color w:val="2C2D5B"/>
                          <w:sz w:val="20"/>
                          <w:szCs w:val="20"/>
                        </w:rPr>
                      </w:pPr>
                      <w:r w:rsidRPr="00793675">
                        <w:rPr>
                          <w:rFonts w:ascii="Calibri" w:hAnsi="Calibri" w:cs="Calibri"/>
                          <w:color w:val="2C2D5B"/>
                          <w:sz w:val="20"/>
                          <w:szCs w:val="20"/>
                        </w:rPr>
                        <w:t xml:space="preserve">The </w:t>
                      </w:r>
                      <w:proofErr w:type="spellStart"/>
                      <w:r w:rsidRPr="00793675">
                        <w:rPr>
                          <w:rFonts w:ascii="Calibri" w:hAnsi="Calibri" w:cs="Calibri"/>
                          <w:i/>
                          <w:iCs/>
                          <w:color w:val="2C2D5B"/>
                          <w:sz w:val="20"/>
                          <w:szCs w:val="20"/>
                        </w:rPr>
                        <w:t>Torubarov</w:t>
                      </w:r>
                      <w:proofErr w:type="spellEnd"/>
                      <w:r w:rsidRPr="00793675">
                        <w:rPr>
                          <w:rFonts w:ascii="Calibri" w:hAnsi="Calibri" w:cs="Calibri"/>
                          <w:color w:val="2C2D5B"/>
                          <w:sz w:val="20"/>
                          <w:szCs w:val="20"/>
                        </w:rPr>
                        <w:t xml:space="preserve"> case was ultimately referred to the CJEU. </w:t>
                      </w:r>
                    </w:p>
                    <w:p w14:paraId="69E4ACFE" w14:textId="4A64BB5D" w:rsidR="00E96BA2" w:rsidRPr="00793675" w:rsidRDefault="00E96BA2" w:rsidP="00E96BA2">
                      <w:pPr>
                        <w:jc w:val="both"/>
                        <w:rPr>
                          <w:rFonts w:ascii="Calibri" w:hAnsi="Calibri" w:cs="Calibri"/>
                          <w:color w:val="2C2D5B"/>
                          <w:sz w:val="20"/>
                          <w:szCs w:val="20"/>
                        </w:rPr>
                      </w:pPr>
                      <w:r w:rsidRPr="00793675">
                        <w:rPr>
                          <w:rFonts w:ascii="Calibri" w:hAnsi="Calibri" w:cs="Calibri"/>
                          <w:color w:val="2C2D5B"/>
                          <w:sz w:val="20"/>
                          <w:szCs w:val="20"/>
                        </w:rPr>
                        <w:t xml:space="preserve">The CJEU examined the matter under the framework of EU asylum law and the </w:t>
                      </w:r>
                      <w:r w:rsidRPr="00793675">
                        <w:rPr>
                          <w:rFonts w:ascii="Calibri" w:hAnsi="Calibri" w:cs="Calibri"/>
                          <w:b/>
                          <w:bCs/>
                          <w:color w:val="2C2D5B"/>
                          <w:sz w:val="20"/>
                          <w:szCs w:val="20"/>
                        </w:rPr>
                        <w:t>right to an effective remedy</w:t>
                      </w:r>
                      <w:r w:rsidRPr="00793675">
                        <w:rPr>
                          <w:rFonts w:ascii="Calibri" w:hAnsi="Calibri" w:cs="Calibri"/>
                          <w:color w:val="2C2D5B"/>
                          <w:sz w:val="20"/>
                          <w:szCs w:val="20"/>
                        </w:rPr>
                        <w:t xml:space="preserve">, as enshrined in </w:t>
                      </w:r>
                      <w:r w:rsidRPr="00793675">
                        <w:rPr>
                          <w:rFonts w:ascii="Calibri" w:hAnsi="Calibri" w:cs="Calibri"/>
                          <w:b/>
                          <w:bCs/>
                          <w:color w:val="2C2D5B"/>
                          <w:sz w:val="20"/>
                          <w:szCs w:val="20"/>
                        </w:rPr>
                        <w:t xml:space="preserve">Article 47 EChFR. </w:t>
                      </w:r>
                    </w:p>
                    <w:p w14:paraId="04CD69B7" w14:textId="77777777" w:rsidR="00E96BA2" w:rsidRPr="00793675" w:rsidRDefault="00E96BA2" w:rsidP="00E96BA2">
                      <w:pPr>
                        <w:jc w:val="both"/>
                        <w:rPr>
                          <w:rFonts w:ascii="Calibri" w:hAnsi="Calibri" w:cs="Calibri"/>
                          <w:color w:val="2C2D5B"/>
                          <w:sz w:val="20"/>
                          <w:szCs w:val="20"/>
                        </w:rPr>
                      </w:pPr>
                      <w:r w:rsidRPr="00793675">
                        <w:rPr>
                          <w:rFonts w:ascii="Calibri" w:hAnsi="Calibri" w:cs="Calibri"/>
                          <w:color w:val="2C2D5B"/>
                          <w:sz w:val="20"/>
                          <w:szCs w:val="20"/>
                        </w:rPr>
                        <w:t>In its judgment, the CJEU held that:</w:t>
                      </w:r>
                    </w:p>
                    <w:p w14:paraId="575D3200" w14:textId="77777777" w:rsidR="00E96BA2" w:rsidRPr="00793675" w:rsidRDefault="00E96BA2" w:rsidP="00253E61">
                      <w:pPr>
                        <w:numPr>
                          <w:ilvl w:val="0"/>
                          <w:numId w:val="24"/>
                        </w:numPr>
                        <w:jc w:val="both"/>
                        <w:rPr>
                          <w:rFonts w:ascii="Calibri" w:hAnsi="Calibri" w:cs="Calibri"/>
                          <w:color w:val="2C2D5B"/>
                          <w:sz w:val="20"/>
                          <w:szCs w:val="20"/>
                        </w:rPr>
                      </w:pPr>
                      <w:r w:rsidRPr="00793675">
                        <w:rPr>
                          <w:rFonts w:ascii="Calibri" w:hAnsi="Calibri" w:cs="Calibri"/>
                          <w:color w:val="2C2D5B"/>
                          <w:sz w:val="20"/>
                          <w:szCs w:val="20"/>
                        </w:rPr>
                        <w:t xml:space="preserve">To ensure an effective remedy under EU asylum law, national courts must, in </w:t>
                      </w:r>
                      <w:r w:rsidRPr="00793675">
                        <w:rPr>
                          <w:rFonts w:ascii="Calibri" w:hAnsi="Calibri" w:cs="Calibri"/>
                          <w:b/>
                          <w:bCs/>
                          <w:color w:val="2C2D5B"/>
                          <w:sz w:val="20"/>
                          <w:szCs w:val="20"/>
                        </w:rPr>
                        <w:t>exceptional cases</w:t>
                      </w:r>
                      <w:r w:rsidRPr="00793675">
                        <w:rPr>
                          <w:rFonts w:ascii="Calibri" w:hAnsi="Calibri" w:cs="Calibri"/>
                          <w:color w:val="2C2D5B"/>
                          <w:sz w:val="20"/>
                          <w:szCs w:val="20"/>
                        </w:rPr>
                        <w:t>, have the power to substitute their decision for that of the administrative authority.</w:t>
                      </w:r>
                    </w:p>
                    <w:p w14:paraId="2D53FD66" w14:textId="77777777" w:rsidR="00E96BA2" w:rsidRPr="00793675" w:rsidRDefault="00E96BA2" w:rsidP="00253E61">
                      <w:pPr>
                        <w:numPr>
                          <w:ilvl w:val="0"/>
                          <w:numId w:val="24"/>
                        </w:numPr>
                        <w:jc w:val="both"/>
                        <w:rPr>
                          <w:rFonts w:ascii="Calibri" w:hAnsi="Calibri" w:cs="Calibri"/>
                          <w:color w:val="2C2D5B"/>
                          <w:sz w:val="20"/>
                          <w:szCs w:val="20"/>
                        </w:rPr>
                      </w:pPr>
                      <w:r w:rsidRPr="00793675">
                        <w:rPr>
                          <w:rFonts w:ascii="Calibri" w:hAnsi="Calibri" w:cs="Calibri"/>
                          <w:color w:val="2C2D5B"/>
                          <w:sz w:val="20"/>
                          <w:szCs w:val="20"/>
                        </w:rPr>
                        <w:t>Even where national legislation prohibits such substitution, this prohibition cannot be upheld if it undermines the right to an effective remedy.</w:t>
                      </w:r>
                    </w:p>
                    <w:p w14:paraId="0A2CEBE7" w14:textId="77777777" w:rsidR="00E96BA2" w:rsidRPr="00793675" w:rsidRDefault="00E96BA2" w:rsidP="00253E61">
                      <w:pPr>
                        <w:numPr>
                          <w:ilvl w:val="0"/>
                          <w:numId w:val="24"/>
                        </w:numPr>
                        <w:jc w:val="both"/>
                        <w:rPr>
                          <w:rFonts w:ascii="Calibri" w:hAnsi="Calibri" w:cs="Calibri"/>
                          <w:color w:val="2C2D5B"/>
                          <w:sz w:val="20"/>
                          <w:szCs w:val="20"/>
                        </w:rPr>
                      </w:pPr>
                      <w:r w:rsidRPr="00793675">
                        <w:rPr>
                          <w:rFonts w:ascii="Calibri" w:hAnsi="Calibri" w:cs="Calibri"/>
                          <w:color w:val="2C2D5B"/>
                          <w:sz w:val="20"/>
                          <w:szCs w:val="20"/>
                        </w:rPr>
                        <w:t>The CJEU emphasized that the principle of effectiveness and the right to judicial protection obligate courts to ensure a final resolution, particularly in cases where administrative authorities fail to comply with judicial decisions.</w:t>
                      </w:r>
                    </w:p>
                    <w:p w14:paraId="1E5F3957" w14:textId="7862B915" w:rsidR="00E96BA2" w:rsidRPr="00E96BA2" w:rsidRDefault="00E96BA2" w:rsidP="00327D5A">
                      <w:pPr>
                        <w:jc w:val="both"/>
                        <w:rPr>
                          <w:rFonts w:ascii="Calibri" w:hAnsi="Calibri" w:cs="Calibri"/>
                          <w:b/>
                          <w:bCs/>
                          <w:sz w:val="20"/>
                          <w:szCs w:val="20"/>
                        </w:rPr>
                      </w:pPr>
                    </w:p>
                    <w:p w14:paraId="0460F541" w14:textId="77777777" w:rsidR="00783E74" w:rsidRPr="00327D5A" w:rsidRDefault="00783E74" w:rsidP="00327D5A">
                      <w:pPr>
                        <w:jc w:val="right"/>
                        <w:rPr>
                          <w:rFonts w:ascii="Calibri" w:hAnsi="Calibri" w:cs="Calibri"/>
                          <w:b/>
                          <w:bCs/>
                          <w:sz w:val="20"/>
                          <w:szCs w:val="20"/>
                        </w:rPr>
                      </w:pPr>
                    </w:p>
                  </w:txbxContent>
                </v:textbox>
                <w10:wrap type="square" anchorx="margin"/>
              </v:roundrect>
            </w:pict>
          </mc:Fallback>
        </mc:AlternateContent>
      </w:r>
    </w:p>
    <w:p w14:paraId="09962A91" w14:textId="452E2B38" w:rsidR="00C32062" w:rsidRDefault="00C32062" w:rsidP="00B6326F">
      <w:pPr>
        <w:pStyle w:val="Normlnweb"/>
        <w:spacing w:line="276" w:lineRule="auto"/>
        <w:jc w:val="both"/>
        <w:rPr>
          <w:rFonts w:asciiTheme="majorHAnsi" w:hAnsiTheme="majorHAnsi" w:cstheme="majorHAnsi"/>
          <w:color w:val="2C2D5B"/>
        </w:rPr>
      </w:pPr>
    </w:p>
    <w:p w14:paraId="33DB23EC" w14:textId="187A3DB8" w:rsidR="00B6326F" w:rsidRPr="00793675" w:rsidRDefault="00553AC6" w:rsidP="00B6326F">
      <w:pPr>
        <w:pStyle w:val="Normlnweb"/>
        <w:spacing w:line="276" w:lineRule="auto"/>
        <w:jc w:val="both"/>
        <w:rPr>
          <w:rFonts w:asciiTheme="majorHAnsi" w:hAnsiTheme="majorHAnsi" w:cstheme="majorHAnsi"/>
          <w:color w:val="2C2D5B"/>
        </w:rPr>
      </w:pPr>
      <w:r w:rsidRPr="00793675">
        <w:rPr>
          <w:rFonts w:asciiTheme="majorHAnsi" w:hAnsiTheme="majorHAnsi" w:cstheme="majorHAnsi"/>
          <w:color w:val="2C2D5B"/>
        </w:rPr>
        <w:t xml:space="preserve">Following the </w:t>
      </w:r>
      <w:r w:rsidRPr="00793675">
        <w:rPr>
          <w:rFonts w:asciiTheme="majorHAnsi" w:hAnsiTheme="majorHAnsi" w:cstheme="majorHAnsi"/>
          <w:i/>
          <w:iCs/>
          <w:color w:val="2C2D5B"/>
        </w:rPr>
        <w:t xml:space="preserve">Torubarov </w:t>
      </w:r>
      <w:r w:rsidRPr="00793675">
        <w:rPr>
          <w:rFonts w:asciiTheme="majorHAnsi" w:hAnsiTheme="majorHAnsi" w:cstheme="majorHAnsi"/>
          <w:color w:val="2C2D5B"/>
        </w:rPr>
        <w:t xml:space="preserve">judgment, </w:t>
      </w:r>
      <w:r w:rsidR="00B6326F" w:rsidRPr="00793675">
        <w:rPr>
          <w:rFonts w:asciiTheme="majorHAnsi" w:hAnsiTheme="majorHAnsi" w:cstheme="majorHAnsi"/>
          <w:color w:val="2C2D5B"/>
        </w:rPr>
        <w:t xml:space="preserve">Czech courts </w:t>
      </w:r>
      <w:r w:rsidRPr="00793675">
        <w:rPr>
          <w:rFonts w:asciiTheme="majorHAnsi" w:hAnsiTheme="majorHAnsi" w:cstheme="majorHAnsi"/>
          <w:color w:val="2C2D5B"/>
        </w:rPr>
        <w:t>quickly</w:t>
      </w:r>
      <w:r w:rsidR="006235FE" w:rsidRPr="00793675">
        <w:rPr>
          <w:rFonts w:asciiTheme="majorHAnsi" w:hAnsiTheme="majorHAnsi" w:cstheme="majorHAnsi"/>
          <w:color w:val="2C2D5B"/>
        </w:rPr>
        <w:t xml:space="preserve"> </w:t>
      </w:r>
      <w:r w:rsidRPr="00793675">
        <w:rPr>
          <w:rFonts w:asciiTheme="majorHAnsi" w:hAnsiTheme="majorHAnsi" w:cstheme="majorHAnsi"/>
          <w:color w:val="2C2D5B"/>
        </w:rPr>
        <w:t xml:space="preserve">integrated </w:t>
      </w:r>
      <w:r w:rsidR="00B6326F" w:rsidRPr="00793675">
        <w:rPr>
          <w:rFonts w:asciiTheme="majorHAnsi" w:hAnsiTheme="majorHAnsi" w:cstheme="majorHAnsi"/>
          <w:color w:val="2C2D5B"/>
        </w:rPr>
        <w:t>the</w:t>
      </w:r>
      <w:r w:rsidRPr="00793675">
        <w:rPr>
          <w:rFonts w:asciiTheme="majorHAnsi" w:hAnsiTheme="majorHAnsi" w:cstheme="majorHAnsi"/>
          <w:color w:val="2C2D5B"/>
        </w:rPr>
        <w:t>se</w:t>
      </w:r>
      <w:r w:rsidR="00B6326F" w:rsidRPr="00793675">
        <w:rPr>
          <w:rFonts w:asciiTheme="majorHAnsi" w:hAnsiTheme="majorHAnsi" w:cstheme="majorHAnsi"/>
          <w:color w:val="2C2D5B"/>
        </w:rPr>
        <w:t xml:space="preserve"> conclusions into their</w:t>
      </w:r>
      <w:r w:rsidRPr="00793675">
        <w:rPr>
          <w:rFonts w:asciiTheme="majorHAnsi" w:hAnsiTheme="majorHAnsi" w:cstheme="majorHAnsi"/>
          <w:color w:val="2C2D5B"/>
        </w:rPr>
        <w:t xml:space="preserve"> own</w:t>
      </w:r>
      <w:r w:rsidR="00B6326F" w:rsidRPr="00793675">
        <w:rPr>
          <w:rFonts w:asciiTheme="majorHAnsi" w:hAnsiTheme="majorHAnsi" w:cstheme="majorHAnsi"/>
          <w:color w:val="2C2D5B"/>
        </w:rPr>
        <w:t xml:space="preserve"> case law. They faced the same original problem of not being able to replace administrative authorities' decisions with their own decisions directly. For applicants for international protection, this </w:t>
      </w:r>
      <w:r w:rsidR="001B1A82" w:rsidRPr="00793675">
        <w:rPr>
          <w:rFonts w:asciiTheme="majorHAnsi" w:hAnsiTheme="majorHAnsi" w:cstheme="majorHAnsi"/>
          <w:color w:val="2C2D5B"/>
        </w:rPr>
        <w:t xml:space="preserve">represented </w:t>
      </w:r>
      <w:r w:rsidR="00B6326F" w:rsidRPr="00793675">
        <w:rPr>
          <w:rFonts w:asciiTheme="majorHAnsi" w:hAnsiTheme="majorHAnsi" w:cstheme="majorHAnsi"/>
          <w:color w:val="2C2D5B"/>
        </w:rPr>
        <w:t>a significant step</w:t>
      </w:r>
      <w:r w:rsidR="001B1A82" w:rsidRPr="00793675">
        <w:rPr>
          <w:rFonts w:asciiTheme="majorHAnsi" w:hAnsiTheme="majorHAnsi" w:cstheme="majorHAnsi"/>
          <w:color w:val="2C2D5B"/>
        </w:rPr>
        <w:t xml:space="preserve">, reinforcing </w:t>
      </w:r>
      <w:r w:rsidR="00B6326F" w:rsidRPr="00793675">
        <w:rPr>
          <w:rFonts w:asciiTheme="majorHAnsi" w:hAnsiTheme="majorHAnsi" w:cstheme="majorHAnsi"/>
          <w:color w:val="2C2D5B"/>
        </w:rPr>
        <w:t xml:space="preserve">their rights to an effective remedy. </w:t>
      </w:r>
      <w:r w:rsidR="001B1A82" w:rsidRPr="00793675">
        <w:rPr>
          <w:rFonts w:asciiTheme="majorHAnsi" w:hAnsiTheme="majorHAnsi" w:cstheme="majorHAnsi"/>
          <w:color w:val="2C2D5B"/>
        </w:rPr>
        <w:t>While Czech law, like Hungarian law</w:t>
      </w:r>
      <w:r w:rsidR="00B6326F" w:rsidRPr="00793675">
        <w:rPr>
          <w:rFonts w:asciiTheme="majorHAnsi" w:hAnsiTheme="majorHAnsi" w:cstheme="majorHAnsi"/>
          <w:color w:val="2C2D5B"/>
        </w:rPr>
        <w:t xml:space="preserve">, </w:t>
      </w:r>
      <w:r w:rsidR="001B1A82" w:rsidRPr="00793675">
        <w:rPr>
          <w:rFonts w:asciiTheme="majorHAnsi" w:hAnsiTheme="majorHAnsi" w:cstheme="majorHAnsi"/>
          <w:color w:val="2C2D5B"/>
        </w:rPr>
        <w:t xml:space="preserve">traditionally prevents </w:t>
      </w:r>
      <w:r w:rsidR="00B6326F" w:rsidRPr="00793675">
        <w:rPr>
          <w:rFonts w:asciiTheme="majorHAnsi" w:hAnsiTheme="majorHAnsi" w:cstheme="majorHAnsi"/>
          <w:color w:val="2C2D5B"/>
        </w:rPr>
        <w:t xml:space="preserve">administrative courts </w:t>
      </w:r>
      <w:r w:rsidR="001B1A82" w:rsidRPr="00793675">
        <w:rPr>
          <w:rFonts w:asciiTheme="majorHAnsi" w:hAnsiTheme="majorHAnsi" w:cstheme="majorHAnsi"/>
          <w:color w:val="2C2D5B"/>
        </w:rPr>
        <w:t xml:space="preserve">from </w:t>
      </w:r>
      <w:r w:rsidR="00B6326F" w:rsidRPr="00793675">
        <w:rPr>
          <w:rFonts w:asciiTheme="majorHAnsi" w:hAnsiTheme="majorHAnsi" w:cstheme="majorHAnsi"/>
          <w:color w:val="2C2D5B"/>
        </w:rPr>
        <w:t>substitut</w:t>
      </w:r>
      <w:r w:rsidR="001B1A82" w:rsidRPr="00793675">
        <w:rPr>
          <w:rFonts w:asciiTheme="majorHAnsi" w:hAnsiTheme="majorHAnsi" w:cstheme="majorHAnsi"/>
          <w:color w:val="2C2D5B"/>
        </w:rPr>
        <w:t>ing</w:t>
      </w:r>
      <w:r w:rsidR="00B6326F" w:rsidRPr="00793675">
        <w:rPr>
          <w:rFonts w:asciiTheme="majorHAnsi" w:hAnsiTheme="majorHAnsi" w:cstheme="majorHAnsi"/>
          <w:color w:val="2C2D5B"/>
        </w:rPr>
        <w:t xml:space="preserve"> their own decisions for those of administrative authorities</w:t>
      </w:r>
      <w:r w:rsidR="001B1A82" w:rsidRPr="00793675">
        <w:rPr>
          <w:rFonts w:asciiTheme="majorHAnsi" w:hAnsiTheme="majorHAnsi" w:cstheme="majorHAnsi"/>
          <w:color w:val="2C2D5B"/>
        </w:rPr>
        <w:t>, the Torubarov decision changed this.</w:t>
      </w:r>
      <w:r w:rsidR="00A73B02" w:rsidRPr="00793675">
        <w:rPr>
          <w:rFonts w:asciiTheme="majorHAnsi" w:hAnsiTheme="majorHAnsi" w:cstheme="majorHAnsi"/>
          <w:color w:val="2C2D5B"/>
        </w:rPr>
        <w:t xml:space="preserve"> </w:t>
      </w:r>
      <w:r w:rsidR="006C35F1" w:rsidRPr="00793675">
        <w:rPr>
          <w:rFonts w:asciiTheme="majorHAnsi" w:hAnsiTheme="majorHAnsi" w:cstheme="majorHAnsi"/>
          <w:color w:val="2C2D5B"/>
        </w:rPr>
        <w:t>Czech Courts have since recogni</w:t>
      </w:r>
      <w:r w:rsidR="00816E41" w:rsidRPr="00793675">
        <w:rPr>
          <w:rFonts w:asciiTheme="majorHAnsi" w:hAnsiTheme="majorHAnsi" w:cstheme="majorHAnsi"/>
          <w:color w:val="2C2D5B"/>
        </w:rPr>
        <w:t>s</w:t>
      </w:r>
      <w:r w:rsidR="006C35F1" w:rsidRPr="00793675">
        <w:rPr>
          <w:rFonts w:asciiTheme="majorHAnsi" w:hAnsiTheme="majorHAnsi" w:cstheme="majorHAnsi"/>
          <w:color w:val="2C2D5B"/>
        </w:rPr>
        <w:t xml:space="preserve">ed this </w:t>
      </w:r>
      <w:r w:rsidR="00B6326F" w:rsidRPr="00793675">
        <w:rPr>
          <w:rFonts w:asciiTheme="majorHAnsi" w:hAnsiTheme="majorHAnsi" w:cstheme="majorHAnsi"/>
          <w:color w:val="2C2D5B"/>
        </w:rPr>
        <w:t>"new power"</w:t>
      </w:r>
      <w:r w:rsidR="006C35F1" w:rsidRPr="00793675">
        <w:rPr>
          <w:rFonts w:asciiTheme="majorHAnsi" w:hAnsiTheme="majorHAnsi" w:cstheme="majorHAnsi"/>
          <w:color w:val="2C2D5B"/>
        </w:rPr>
        <w:t xml:space="preserve"> derived not from Czech law but directly from </w:t>
      </w:r>
      <w:r w:rsidR="00B6326F" w:rsidRPr="00793675">
        <w:rPr>
          <w:rFonts w:asciiTheme="majorHAnsi" w:hAnsiTheme="majorHAnsi" w:cstheme="majorHAnsi"/>
          <w:color w:val="2C2D5B"/>
        </w:rPr>
        <w:t xml:space="preserve"> Article 47 EChFR. </w:t>
      </w:r>
    </w:p>
    <w:p w14:paraId="1A7D7DDF" w14:textId="77777777" w:rsidR="00793675" w:rsidRDefault="00793675" w:rsidP="00B6326F">
      <w:pPr>
        <w:pStyle w:val="Normlnweb"/>
        <w:spacing w:line="276" w:lineRule="auto"/>
        <w:jc w:val="both"/>
        <w:rPr>
          <w:rFonts w:asciiTheme="majorHAnsi" w:hAnsiTheme="majorHAnsi" w:cstheme="majorHAnsi"/>
        </w:rPr>
      </w:pPr>
    </w:p>
    <w:p w14:paraId="09D0E4D1" w14:textId="77777777" w:rsidR="00793675" w:rsidRDefault="00793675" w:rsidP="00B6326F">
      <w:pPr>
        <w:pStyle w:val="Normlnweb"/>
        <w:spacing w:line="276" w:lineRule="auto"/>
        <w:jc w:val="both"/>
        <w:rPr>
          <w:rFonts w:asciiTheme="majorHAnsi" w:hAnsiTheme="majorHAnsi" w:cstheme="majorHAnsi"/>
        </w:rPr>
      </w:pPr>
    </w:p>
    <w:p w14:paraId="181E3B7D" w14:textId="77777777" w:rsidR="00C32062" w:rsidRDefault="00C32062" w:rsidP="00B6326F">
      <w:pPr>
        <w:pStyle w:val="Normlnweb"/>
        <w:spacing w:line="276" w:lineRule="auto"/>
        <w:jc w:val="both"/>
        <w:rPr>
          <w:rFonts w:asciiTheme="majorHAnsi" w:hAnsiTheme="majorHAnsi" w:cstheme="majorHAnsi"/>
        </w:rPr>
      </w:pPr>
    </w:p>
    <w:p w14:paraId="18EAB0FE" w14:textId="47FCAA77" w:rsidR="00ED05AB" w:rsidRPr="00793675" w:rsidRDefault="00B6326F" w:rsidP="00B6326F">
      <w:pPr>
        <w:pStyle w:val="Normlnweb"/>
        <w:spacing w:line="276" w:lineRule="auto"/>
        <w:jc w:val="both"/>
        <w:rPr>
          <w:rFonts w:asciiTheme="majorHAnsi" w:hAnsiTheme="majorHAnsi" w:cstheme="majorHAnsi"/>
          <w:color w:val="2C2D5B"/>
        </w:rPr>
      </w:pPr>
      <w:r w:rsidRPr="00793675">
        <w:rPr>
          <w:rFonts w:asciiTheme="majorHAnsi" w:hAnsiTheme="majorHAnsi" w:cstheme="majorHAnsi"/>
          <w:color w:val="2C2D5B"/>
        </w:rPr>
        <w:t xml:space="preserve">A </w:t>
      </w:r>
      <w:r w:rsidR="006C35F1" w:rsidRPr="00793675">
        <w:rPr>
          <w:rFonts w:asciiTheme="majorHAnsi" w:hAnsiTheme="majorHAnsi" w:cstheme="majorHAnsi"/>
          <w:color w:val="2C2D5B"/>
        </w:rPr>
        <w:t xml:space="preserve">growing body </w:t>
      </w:r>
      <w:r w:rsidRPr="00793675">
        <w:rPr>
          <w:rFonts w:asciiTheme="majorHAnsi" w:hAnsiTheme="majorHAnsi" w:cstheme="majorHAnsi"/>
          <w:color w:val="2C2D5B"/>
        </w:rPr>
        <w:t>of national case law</w:t>
      </w:r>
      <w:r w:rsidR="006C35F1" w:rsidRPr="00793675">
        <w:rPr>
          <w:rFonts w:asciiTheme="majorHAnsi" w:hAnsiTheme="majorHAnsi" w:cstheme="majorHAnsi"/>
          <w:color w:val="2C2D5B"/>
        </w:rPr>
        <w:t xml:space="preserve"> demonstrates that</w:t>
      </w:r>
      <w:r w:rsidRPr="00793675">
        <w:rPr>
          <w:rFonts w:asciiTheme="majorHAnsi" w:hAnsiTheme="majorHAnsi" w:cstheme="majorHAnsi"/>
          <w:color w:val="2C2D5B"/>
        </w:rPr>
        <w:t xml:space="preserve"> Czech courts</w:t>
      </w:r>
      <w:r w:rsidR="006C35F1" w:rsidRPr="00793675">
        <w:rPr>
          <w:rFonts w:asciiTheme="majorHAnsi" w:hAnsiTheme="majorHAnsi" w:cstheme="majorHAnsi"/>
          <w:color w:val="2C2D5B"/>
        </w:rPr>
        <w:t xml:space="preserve"> are prepared to use this</w:t>
      </w:r>
      <w:r w:rsidR="00E032ED" w:rsidRPr="00793675">
        <w:rPr>
          <w:rFonts w:asciiTheme="majorHAnsi" w:hAnsiTheme="majorHAnsi" w:cstheme="majorHAnsi"/>
          <w:color w:val="2C2D5B"/>
        </w:rPr>
        <w:t xml:space="preserve"> power, particularly where asylum authorities repeatedly ignore</w:t>
      </w:r>
      <w:r w:rsidRPr="00793675">
        <w:rPr>
          <w:rFonts w:asciiTheme="majorHAnsi" w:hAnsiTheme="majorHAnsi" w:cstheme="majorHAnsi"/>
          <w:color w:val="2C2D5B"/>
        </w:rPr>
        <w:t xml:space="preserve"> the courts' conclusions and </w:t>
      </w:r>
      <w:r w:rsidR="00E032ED" w:rsidRPr="00793675">
        <w:rPr>
          <w:rFonts w:asciiTheme="majorHAnsi" w:hAnsiTheme="majorHAnsi" w:cstheme="majorHAnsi"/>
          <w:color w:val="2C2D5B"/>
        </w:rPr>
        <w:t xml:space="preserve">continue to </w:t>
      </w:r>
      <w:r w:rsidRPr="00793675">
        <w:rPr>
          <w:rFonts w:asciiTheme="majorHAnsi" w:hAnsiTheme="majorHAnsi" w:cstheme="majorHAnsi"/>
          <w:color w:val="2C2D5B"/>
        </w:rPr>
        <w:t xml:space="preserve">reject applications for international protection without any new substantial </w:t>
      </w:r>
      <w:r w:rsidR="00E032ED" w:rsidRPr="00793675">
        <w:rPr>
          <w:rFonts w:asciiTheme="majorHAnsi" w:hAnsiTheme="majorHAnsi" w:cstheme="majorHAnsi"/>
          <w:color w:val="2C2D5B"/>
        </w:rPr>
        <w:t>grounds</w:t>
      </w:r>
      <w:r w:rsidR="00A73B02" w:rsidRPr="00793675">
        <w:rPr>
          <w:rFonts w:asciiTheme="majorHAnsi" w:hAnsiTheme="majorHAnsi" w:cstheme="majorHAnsi"/>
          <w:color w:val="2C2D5B"/>
        </w:rPr>
        <w:t>.</w:t>
      </w:r>
      <w:r w:rsidR="00E032ED" w:rsidRPr="00793675">
        <w:rPr>
          <w:rFonts w:asciiTheme="majorHAnsi" w:hAnsiTheme="majorHAnsi" w:cstheme="majorHAnsi"/>
          <w:color w:val="2C2D5B"/>
        </w:rPr>
        <w:t xml:space="preserve"> </w:t>
      </w:r>
      <w:r w:rsidR="00E032ED" w:rsidRPr="00793675">
        <w:rPr>
          <w:rFonts w:asciiTheme="majorHAnsi" w:hAnsiTheme="majorHAnsi" w:cstheme="majorHAnsi"/>
          <w:b/>
          <w:bCs/>
          <w:color w:val="2C2D5B"/>
        </w:rPr>
        <w:t>This assertive application of the Torubarov precedent underscores the strengthened role of Czech courts in upholding applicants’ right to an effective remedy, as established under EU law.</w:t>
      </w:r>
      <w:r w:rsidR="00E032ED" w:rsidRPr="00793675">
        <w:rPr>
          <w:rFonts w:asciiTheme="majorHAnsi" w:hAnsiTheme="majorHAnsi" w:cstheme="majorHAnsi"/>
          <w:color w:val="2C2D5B"/>
        </w:rPr>
        <w:t xml:space="preserve"> </w:t>
      </w:r>
    </w:p>
    <w:p w14:paraId="049C0C9A" w14:textId="69B833E2" w:rsidR="00E032ED" w:rsidRPr="005067A3" w:rsidRDefault="00ED05AB" w:rsidP="007F72A5">
      <w:pPr>
        <w:rPr>
          <w:rFonts w:asciiTheme="majorHAnsi" w:hAnsiTheme="majorHAnsi" w:cstheme="majorHAnsi"/>
        </w:rPr>
      </w:pPr>
      <w:r>
        <w:rPr>
          <w:rFonts w:asciiTheme="majorHAnsi" w:hAnsiTheme="majorHAnsi" w:cstheme="majorHAnsi"/>
        </w:rPr>
        <w:br w:type="page"/>
      </w:r>
    </w:p>
    <w:p w14:paraId="00B9C027" w14:textId="77777777" w:rsidR="00E15CD2" w:rsidRPr="00383F1C" w:rsidRDefault="00E15CD2" w:rsidP="00383F1C">
      <w:pPr>
        <w:spacing w:line="276" w:lineRule="auto"/>
        <w:ind w:firstLine="708"/>
        <w:jc w:val="both"/>
        <w:rPr>
          <w:rFonts w:ascii="Calibri" w:hAnsi="Calibri" w:cs="Calibri"/>
          <w:sz w:val="16"/>
          <w:szCs w:val="16"/>
        </w:rPr>
      </w:pPr>
    </w:p>
    <w:p w14:paraId="710D4832" w14:textId="4A303017" w:rsidR="00E15CD2" w:rsidRPr="00383F1C" w:rsidRDefault="00383F1C" w:rsidP="00383F1C">
      <w:pPr>
        <w:pStyle w:val="Nadpis1"/>
        <w:ind w:left="1080"/>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A300E">
        <w:rPr>
          <w:rFonts w:ascii="Calibri" w:hAnsi="Calibri" w:cs="Calibri"/>
          <w:b/>
          <w:bCs/>
          <w:noProof/>
          <w:color w:val="FFFFFF" w:themeColor="background1"/>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Contextual"/>
        </w:rPr>
        <mc:AlternateContent>
          <mc:Choice Requires="wps">
            <w:drawing>
              <wp:anchor distT="0" distB="0" distL="114300" distR="114300" simplePos="0" relativeHeight="251868160" behindDoc="0" locked="0" layoutInCell="1" allowOverlap="1" wp14:anchorId="5F374345" wp14:editId="2520D7FC">
                <wp:simplePos x="0" y="0"/>
                <wp:positionH relativeFrom="column">
                  <wp:posOffset>717917</wp:posOffset>
                </wp:positionH>
                <wp:positionV relativeFrom="paragraph">
                  <wp:posOffset>572875</wp:posOffset>
                </wp:positionV>
                <wp:extent cx="586740" cy="45085"/>
                <wp:effectExtent l="38100" t="38100" r="60960" b="88265"/>
                <wp:wrapNone/>
                <wp:docPr id="1365531267" name="Rectangle 63"/>
                <wp:cNvGraphicFramePr/>
                <a:graphic xmlns:a="http://schemas.openxmlformats.org/drawingml/2006/main">
                  <a:graphicData uri="http://schemas.microsoft.com/office/word/2010/wordprocessingShape">
                    <wps:wsp>
                      <wps:cNvSpPr/>
                      <wps:spPr>
                        <a:xfrm>
                          <a:off x="0" y="0"/>
                          <a:ext cx="586740" cy="45085"/>
                        </a:xfrm>
                        <a:prstGeom prst="rect">
                          <a:avLst/>
                        </a:prstGeom>
                        <a:solidFill>
                          <a:srgbClr val="B6A04C"/>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D0FD93E" id="Rectangle 63" o:spid="_x0000_s1026" style="position:absolute;margin-left:56.55pt;margin-top:45.1pt;width:46.2pt;height:3.55pt;z-index:251868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xMk0wIAABIGAAAOAAAAZHJzL2Uyb0RvYy54bWysVFFv2jAQfp+0/2D5fU1g0DLUUDGqTpOq&#10;FpVOfTaOQ6w5tmcbAvv1u7NDYG2fpvFgfPHdd9999t31zb5RZCecl0YXdHCRUyI0N6XUm4L+eL77&#10;NKHEB6ZLpowWBT0IT29mHz9ct3YqhqY2qhSOAIj209YWtA7BTrPM81o0zF8YKzQcVsY1LIDpNlnp&#10;WAvojcqGeX6ZtcaV1hkuvIevt+mQziJ+VQkeHqvKi0BUQYFbiKuL6xrXbHbNphvHbC15R4P9A4uG&#10;SQ1Je6hbFhjZOvkGqpHcGW+qcMFNk5mqklzEGqCaQf6qmlXNrIi1gDje9jL5/wfLH3Yru3QgQ2v9&#10;1MMWq9hXrsF/4Ef2UaxDL5bYB8Lh43hyeTUCSTkcjcb5ZIxaZqdY63z4JkxDcFNQB1cRFWK7ex+S&#10;69EFU3mjZHknlYqG26wXypEdg2v7ejnPR4sO/S83pdFZGwxLiOmLiBcPaWIN2yDcqi5bslZb98RK&#10;oJ5PcmBeSiT2eTJIBryK4VWOP0qY2sBzDooSZ8KLDHW8CtQAIZF3T2+tGP+ZKlO2ZonzKMKcqgTv&#10;KI45konWGc/sJH/chYMSmErpJ1ERWYLgw5gkdoboszPOhQ6DdFSzUqT8gzGWkfL3ETFnBETkCkTr&#10;sTsA7Lq32Amm88fQxLsPTqL0aRKDI7EU3EfEzEaHPriR2rj3KlNQVZc5+QP9M2lwuzblYenwiuIb&#10;9ZbfSbiae+bDkjnoY7hJmE3hEZZKmbagpttRUhv3+73v6A/tBaeUtDAXCup/bZkTlKjvGhrvy2CE&#10;rz5EYzS+GoLhzk/W5yd62ywMvOEBTEHL4xb9gzpuK2eaFxhhc8wKR0xzyF1QHtzRWIQ0r2AIcjGf&#10;RzcYHpaFe72yHMFRVXyUz/sX5mzXcQE69cEcZwibvmq85IuR2sy3wVQyduVJ105vGDzx4XRDEifb&#10;uR29TqN89gcAAP//AwBQSwMEFAAGAAgAAAAhAIRQEZPbAAAACQEAAA8AAABkcnMvZG93bnJldi54&#10;bWxMj8FOwzAMhu9IvENkJG4sabuy0TWdEFPFeYMHyBqvrWicqsnW8vaYExx/+9Pvz+V+cYO44RR6&#10;TxqSlQKB1HjbU6vh86N+2oII0ZA1gyfU8I0B9tX9XWkK62c64u0UW8ElFAqjoYtxLKQMTYfOhJUf&#10;kXh38ZMzkePUSjuZmcvdIFOlnqUzPfGFzoz41mHzdbo6De/zuraqWUuH2eYY6+0hr+1B68eH5XUH&#10;IuIS/2D41Wd1qNjp7K9kgxg4J1nCqIYXlYJgIFV5DuLMg00Gsirl/w+qHwAAAP//AwBQSwECLQAU&#10;AAYACAAAACEAtoM4kv4AAADhAQAAEwAAAAAAAAAAAAAAAAAAAAAAW0NvbnRlbnRfVHlwZXNdLnht&#10;bFBLAQItABQABgAIAAAAIQA4/SH/1gAAAJQBAAALAAAAAAAAAAAAAAAAAC8BAABfcmVscy8ucmVs&#10;c1BLAQItABQABgAIAAAAIQCvgxMk0wIAABIGAAAOAAAAAAAAAAAAAAAAAC4CAABkcnMvZTJvRG9j&#10;LnhtbFBLAQItABQABgAIAAAAIQCEUBGT2wAAAAkBAAAPAAAAAAAAAAAAAAAAAC0FAABkcnMvZG93&#10;bnJldi54bWxQSwUGAAAAAAQABADzAAAANQYAAAAA&#10;" fillcolor="#b6a04c" stroked="f" strokeweight="1pt">
                <v:shadow on="t" color="black" opacity="26214f" origin="-.5,-.5" offset=".74836mm,.74836mm"/>
              </v:rect>
            </w:pict>
          </mc:Fallback>
        </mc:AlternateContent>
      </w:r>
      <w:r w:rsidR="005067A3" w:rsidRPr="00383F1C">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APPENDIX </w:t>
      </w:r>
      <w:r w:rsidR="005067A3" w:rsidRPr="00200E08">
        <w:rPr>
          <w:rFonts w:ascii="Calibri" w:hAnsi="Calibri" w:cs="Calibri"/>
          <w:b/>
          <w:bCs/>
          <w:color w:val="B6A04C"/>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2</w:t>
      </w:r>
      <w:r>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5067A3" w:rsidRPr="00383F1C">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FRANCE</w:t>
      </w:r>
    </w:p>
    <w:p w14:paraId="634AC91E" w14:textId="00B0657C" w:rsidR="005067A3" w:rsidRPr="005067A3" w:rsidRDefault="005067A3" w:rsidP="005067A3">
      <w:pPr>
        <w:spacing w:line="276" w:lineRule="auto"/>
        <w:jc w:val="center"/>
        <w:rPr>
          <w:rFonts w:ascii="Calibri" w:hAnsi="Calibri" w:cs="Calibri"/>
          <w:color w:val="0070C0"/>
          <w:sz w:val="32"/>
          <w:szCs w:val="32"/>
        </w:rPr>
      </w:pPr>
    </w:p>
    <w:p w14:paraId="7986A43D" w14:textId="20B69F6C" w:rsidR="00244642" w:rsidRPr="005A6959" w:rsidRDefault="00244642" w:rsidP="00327D5A">
      <w:pPr>
        <w:pStyle w:val="Odstavecseseznamem"/>
        <w:spacing w:line="276" w:lineRule="auto"/>
        <w:jc w:val="both"/>
        <w:rPr>
          <w:rFonts w:ascii="Calibri" w:hAnsi="Calibri" w:cs="Calibri"/>
          <w:b/>
          <w:bCs/>
        </w:rPr>
      </w:pPr>
    </w:p>
    <w:p w14:paraId="046E8C27" w14:textId="34EEDA0F" w:rsidR="00E45305" w:rsidRPr="00383F1C" w:rsidRDefault="0049009B" w:rsidP="0049009B">
      <w:pPr>
        <w:spacing w:after="120" w:line="276" w:lineRule="auto"/>
        <w:jc w:val="both"/>
        <w:rPr>
          <w:rFonts w:asciiTheme="majorHAnsi" w:hAnsiTheme="majorHAnsi" w:cstheme="majorHAnsi"/>
          <w:color w:val="2C2D5B"/>
        </w:rPr>
      </w:pPr>
      <w:r w:rsidRPr="00383F1C">
        <w:rPr>
          <w:rFonts w:asciiTheme="majorHAnsi" w:hAnsiTheme="majorHAnsi" w:cstheme="majorHAnsi"/>
          <w:bCs/>
          <w:color w:val="2C2D5B"/>
        </w:rPr>
        <w:t>Pursuant to Article 55 of the French Constitution</w:t>
      </w:r>
      <w:r w:rsidRPr="00383F1C">
        <w:rPr>
          <w:rFonts w:asciiTheme="majorHAnsi" w:hAnsiTheme="majorHAnsi" w:cstheme="majorHAnsi"/>
          <w:color w:val="2C2D5B"/>
        </w:rPr>
        <w:t xml:space="preserve">, the Charter of Fundamental Rights has supra-legislative value, </w:t>
      </w:r>
      <w:r w:rsidR="00244642" w:rsidRPr="00383F1C">
        <w:rPr>
          <w:rFonts w:asciiTheme="majorHAnsi" w:hAnsiTheme="majorHAnsi" w:cstheme="majorHAnsi"/>
          <w:color w:val="2C2D5B"/>
        </w:rPr>
        <w:t xml:space="preserve">equivalent to </w:t>
      </w:r>
      <w:r w:rsidRPr="00383F1C">
        <w:rPr>
          <w:rFonts w:asciiTheme="majorHAnsi" w:hAnsiTheme="majorHAnsi" w:cstheme="majorHAnsi"/>
          <w:color w:val="2C2D5B"/>
        </w:rPr>
        <w:t xml:space="preserve">a treaty. </w:t>
      </w:r>
      <w:r w:rsidR="00244642" w:rsidRPr="00383F1C">
        <w:rPr>
          <w:rFonts w:asciiTheme="majorHAnsi" w:hAnsiTheme="majorHAnsi" w:cstheme="majorHAnsi"/>
          <w:color w:val="2C2D5B"/>
        </w:rPr>
        <w:t xml:space="preserve">With the </w:t>
      </w:r>
      <w:r w:rsidRPr="00383F1C">
        <w:rPr>
          <w:rFonts w:asciiTheme="majorHAnsi" w:hAnsiTheme="majorHAnsi" w:cstheme="majorHAnsi"/>
          <w:color w:val="2C2D5B"/>
        </w:rPr>
        <w:t>entry into force of the Treaty of Lisbon</w:t>
      </w:r>
      <w:r w:rsidR="00A73B02" w:rsidRPr="00383F1C">
        <w:rPr>
          <w:rFonts w:asciiTheme="majorHAnsi" w:hAnsiTheme="majorHAnsi" w:cstheme="majorHAnsi"/>
          <w:color w:val="2C2D5B"/>
        </w:rPr>
        <w:t xml:space="preserve"> in 2009</w:t>
      </w:r>
      <w:r w:rsidRPr="00383F1C">
        <w:rPr>
          <w:rFonts w:asciiTheme="majorHAnsi" w:hAnsiTheme="majorHAnsi" w:cstheme="majorHAnsi"/>
          <w:color w:val="2C2D5B"/>
        </w:rPr>
        <w:t xml:space="preserve">, the Charter was given binding legal effect </w:t>
      </w:r>
      <w:r w:rsidR="00244642" w:rsidRPr="00383F1C">
        <w:rPr>
          <w:rFonts w:asciiTheme="majorHAnsi" w:hAnsiTheme="majorHAnsi" w:cstheme="majorHAnsi"/>
          <w:color w:val="2C2D5B"/>
        </w:rPr>
        <w:t>alongside the</w:t>
      </w:r>
      <w:r w:rsidR="00CB6313" w:rsidRPr="00383F1C">
        <w:rPr>
          <w:rFonts w:asciiTheme="majorHAnsi" w:hAnsiTheme="majorHAnsi" w:cstheme="majorHAnsi"/>
          <w:color w:val="2C2D5B"/>
        </w:rPr>
        <w:t xml:space="preserve"> </w:t>
      </w:r>
      <w:r w:rsidR="00244642" w:rsidRPr="00383F1C">
        <w:rPr>
          <w:rFonts w:asciiTheme="majorHAnsi" w:hAnsiTheme="majorHAnsi" w:cstheme="majorHAnsi"/>
          <w:color w:val="2C2D5B"/>
        </w:rPr>
        <w:t xml:space="preserve">EU </w:t>
      </w:r>
      <w:r w:rsidRPr="00383F1C">
        <w:rPr>
          <w:rFonts w:asciiTheme="majorHAnsi" w:hAnsiTheme="majorHAnsi" w:cstheme="majorHAnsi"/>
          <w:color w:val="2C2D5B"/>
        </w:rPr>
        <w:t xml:space="preserve">Treaties. It must therefore be applied directly by national courts within the </w:t>
      </w:r>
      <w:r w:rsidR="00244642" w:rsidRPr="00383F1C">
        <w:rPr>
          <w:rFonts w:asciiTheme="majorHAnsi" w:hAnsiTheme="majorHAnsi" w:cstheme="majorHAnsi"/>
          <w:color w:val="2C2D5B"/>
        </w:rPr>
        <w:t xml:space="preserve">Charter’s defined </w:t>
      </w:r>
      <w:r w:rsidRPr="00383F1C">
        <w:rPr>
          <w:rFonts w:asciiTheme="majorHAnsi" w:hAnsiTheme="majorHAnsi" w:cstheme="majorHAnsi"/>
          <w:color w:val="2C2D5B"/>
        </w:rPr>
        <w:t>limits</w:t>
      </w:r>
      <w:r w:rsidR="00244642" w:rsidRPr="00383F1C">
        <w:rPr>
          <w:rFonts w:asciiTheme="majorHAnsi" w:hAnsiTheme="majorHAnsi" w:cstheme="majorHAnsi"/>
          <w:color w:val="2C2D5B"/>
        </w:rPr>
        <w:t xml:space="preserve">. </w:t>
      </w:r>
    </w:p>
    <w:p w14:paraId="45C98B6B" w14:textId="77777777" w:rsidR="00ED05AB" w:rsidRPr="00E45305" w:rsidRDefault="00ED05AB" w:rsidP="0049009B">
      <w:pPr>
        <w:spacing w:after="120" w:line="276" w:lineRule="auto"/>
        <w:jc w:val="both"/>
        <w:rPr>
          <w:rFonts w:asciiTheme="majorHAnsi" w:hAnsiTheme="majorHAnsi" w:cstheme="majorHAnsi"/>
        </w:rPr>
      </w:pPr>
    </w:p>
    <w:p w14:paraId="431B76C9" w14:textId="76D192F7" w:rsidR="00157B66" w:rsidRPr="00383F1C" w:rsidRDefault="00790E80" w:rsidP="00383F1C">
      <w:pPr>
        <w:ind w:left="708" w:hanging="1134"/>
        <w:jc w:val="both"/>
        <w:rPr>
          <w:rFonts w:ascii="Calibri" w:hAnsi="Calibri" w:cs="Calibri"/>
          <w:b/>
          <w:bCs/>
          <w:color w:val="0070C0"/>
          <w:sz w:val="32"/>
          <w:szCs w:val="32"/>
        </w:rPr>
      </w:pPr>
      <w:r w:rsidRPr="00383F1C">
        <w:rPr>
          <w:rFonts w:ascii="Calibri" w:hAnsi="Calibri" w:cs="Calibri"/>
          <w:b/>
          <w:bCs/>
          <w:color w:val="B6A04C"/>
          <w:sz w:val="32"/>
          <w:szCs w:val="32"/>
        </w:rPr>
        <w:t>2.1</w:t>
      </w:r>
      <w:r w:rsidR="0040044A" w:rsidRPr="00383F1C">
        <w:rPr>
          <w:rFonts w:ascii="Calibri" w:hAnsi="Calibri" w:cs="Calibri"/>
          <w:b/>
          <w:bCs/>
          <w:color w:val="B6A04C"/>
          <w:sz w:val="32"/>
          <w:szCs w:val="32"/>
        </w:rPr>
        <w:t xml:space="preserve"> </w:t>
      </w:r>
      <w:r w:rsidR="00157B66" w:rsidRPr="00200E08">
        <w:rPr>
          <w:rFonts w:ascii="Calibri" w:hAnsi="Calibri" w:cs="Calibri"/>
          <w:b/>
          <w:bCs/>
          <w:color w:val="2F5496" w:themeColor="accent1" w:themeShade="BF"/>
          <w:sz w:val="32"/>
          <w:szCs w:val="32"/>
        </w:rPr>
        <w:t xml:space="preserve">The </w:t>
      </w:r>
      <w:r w:rsidR="0040044A" w:rsidRPr="00200E08">
        <w:rPr>
          <w:rFonts w:ascii="Calibri" w:hAnsi="Calibri" w:cs="Calibri"/>
          <w:b/>
          <w:bCs/>
          <w:i/>
          <w:iCs/>
          <w:color w:val="2F5496" w:themeColor="accent1" w:themeShade="BF"/>
          <w:sz w:val="32"/>
          <w:szCs w:val="32"/>
        </w:rPr>
        <w:t>Conseil Constitutionnel</w:t>
      </w:r>
      <w:r w:rsidR="0040044A" w:rsidRPr="00200E08">
        <w:rPr>
          <w:rFonts w:ascii="Calibri" w:hAnsi="Calibri" w:cs="Calibri"/>
          <w:b/>
          <w:bCs/>
          <w:color w:val="2F5496" w:themeColor="accent1" w:themeShade="BF"/>
          <w:sz w:val="32"/>
          <w:szCs w:val="32"/>
        </w:rPr>
        <w:t xml:space="preserve"> </w:t>
      </w:r>
      <w:r w:rsidRPr="00200E08">
        <w:rPr>
          <w:rFonts w:ascii="Calibri" w:hAnsi="Calibri" w:cs="Calibri"/>
          <w:b/>
          <w:bCs/>
          <w:color w:val="2F5496" w:themeColor="accent1" w:themeShade="BF"/>
          <w:sz w:val="32"/>
          <w:szCs w:val="32"/>
        </w:rPr>
        <w:t xml:space="preserve">and its role in European Union Law </w:t>
      </w:r>
    </w:p>
    <w:p w14:paraId="40FF3B23" w14:textId="77777777" w:rsidR="00ED6B1D" w:rsidRPr="005A6959" w:rsidRDefault="00ED6B1D" w:rsidP="000A3B66">
      <w:pPr>
        <w:jc w:val="both"/>
        <w:rPr>
          <w:rFonts w:ascii="Calibri" w:hAnsi="Calibri" w:cs="Calibri"/>
          <w:i/>
          <w:iCs/>
        </w:rPr>
      </w:pPr>
    </w:p>
    <w:p w14:paraId="73EEA1CD" w14:textId="4E3C985A" w:rsidR="00244642" w:rsidRPr="00383F1C" w:rsidRDefault="0049009B" w:rsidP="0049009B">
      <w:pPr>
        <w:spacing w:after="120" w:line="276" w:lineRule="auto"/>
        <w:jc w:val="both"/>
        <w:rPr>
          <w:rFonts w:asciiTheme="majorHAnsi" w:hAnsiTheme="majorHAnsi" w:cstheme="majorHAnsi"/>
          <w:color w:val="2C2D5B"/>
        </w:rPr>
      </w:pPr>
      <w:r w:rsidRPr="00383F1C">
        <w:rPr>
          <w:rFonts w:asciiTheme="majorHAnsi" w:hAnsiTheme="majorHAnsi" w:cstheme="majorHAnsi"/>
          <w:bCs/>
          <w:color w:val="2C2D5B"/>
        </w:rPr>
        <w:t xml:space="preserve">The Constitutional Council does not </w:t>
      </w:r>
      <w:r w:rsidR="00244642" w:rsidRPr="00383F1C">
        <w:rPr>
          <w:rFonts w:asciiTheme="majorHAnsi" w:hAnsiTheme="majorHAnsi" w:cstheme="majorHAnsi"/>
          <w:bCs/>
          <w:color w:val="2C2D5B"/>
        </w:rPr>
        <w:tab/>
        <w:t>assess</w:t>
      </w:r>
      <w:r w:rsidR="007F72A5" w:rsidRPr="00383F1C">
        <w:rPr>
          <w:rFonts w:asciiTheme="majorHAnsi" w:hAnsiTheme="majorHAnsi" w:cstheme="majorHAnsi"/>
          <w:bCs/>
          <w:color w:val="2C2D5B"/>
        </w:rPr>
        <w:t xml:space="preserve"> </w:t>
      </w:r>
      <w:r w:rsidRPr="00383F1C">
        <w:rPr>
          <w:rFonts w:asciiTheme="majorHAnsi" w:hAnsiTheme="majorHAnsi" w:cstheme="majorHAnsi"/>
          <w:bCs/>
          <w:color w:val="2C2D5B"/>
        </w:rPr>
        <w:t>national</w:t>
      </w:r>
      <w:r w:rsidR="0040044A" w:rsidRPr="00383F1C">
        <w:rPr>
          <w:rFonts w:asciiTheme="majorHAnsi" w:hAnsiTheme="majorHAnsi" w:cstheme="majorHAnsi"/>
          <w:bCs/>
          <w:color w:val="2C2D5B"/>
        </w:rPr>
        <w:t xml:space="preserve"> </w:t>
      </w:r>
      <w:r w:rsidRPr="00383F1C">
        <w:rPr>
          <w:rFonts w:asciiTheme="majorHAnsi" w:hAnsiTheme="majorHAnsi" w:cstheme="majorHAnsi"/>
          <w:bCs/>
          <w:color w:val="2C2D5B"/>
        </w:rPr>
        <w:t>law</w:t>
      </w:r>
      <w:r w:rsidR="007F72A5" w:rsidRPr="00383F1C">
        <w:rPr>
          <w:rFonts w:asciiTheme="majorHAnsi" w:hAnsiTheme="majorHAnsi" w:cstheme="majorHAnsi"/>
          <w:bCs/>
          <w:color w:val="2C2D5B"/>
        </w:rPr>
        <w:t xml:space="preserve"> </w:t>
      </w:r>
      <w:r w:rsidRPr="00383F1C">
        <w:rPr>
          <w:rFonts w:asciiTheme="majorHAnsi" w:hAnsiTheme="majorHAnsi" w:cstheme="majorHAnsi"/>
          <w:bCs/>
          <w:color w:val="2C2D5B"/>
        </w:rPr>
        <w:t>in light of international commitments.</w:t>
      </w:r>
      <w:r w:rsidRPr="00383F1C">
        <w:rPr>
          <w:rFonts w:asciiTheme="majorHAnsi" w:hAnsiTheme="majorHAnsi" w:cstheme="majorHAnsi"/>
          <w:color w:val="2C2D5B"/>
        </w:rPr>
        <w:t xml:space="preserve"> </w:t>
      </w:r>
      <w:r w:rsidR="00244642" w:rsidRPr="00383F1C">
        <w:rPr>
          <w:rFonts w:asciiTheme="majorHAnsi" w:hAnsiTheme="majorHAnsi" w:cstheme="majorHAnsi"/>
          <w:color w:val="2C2D5B"/>
        </w:rPr>
        <w:t xml:space="preserve">It has authority to address EU law only in connection with </w:t>
      </w:r>
      <w:r w:rsidRPr="00383F1C">
        <w:rPr>
          <w:rFonts w:asciiTheme="majorHAnsi" w:hAnsiTheme="majorHAnsi" w:cstheme="majorHAnsi"/>
          <w:color w:val="2C2D5B"/>
        </w:rPr>
        <w:t>Article 88-1 of the Constitution</w:t>
      </w:r>
      <w:r w:rsidR="00244642" w:rsidRPr="00383F1C">
        <w:rPr>
          <w:rFonts w:asciiTheme="majorHAnsi" w:hAnsiTheme="majorHAnsi" w:cstheme="majorHAnsi"/>
          <w:color w:val="2C2D5B"/>
        </w:rPr>
        <w:t xml:space="preserve"> which establishes</w:t>
      </w:r>
      <w:r w:rsidRPr="00383F1C">
        <w:rPr>
          <w:rFonts w:asciiTheme="majorHAnsi" w:hAnsiTheme="majorHAnsi" w:cstheme="majorHAnsi"/>
          <w:color w:val="2C2D5B"/>
        </w:rPr>
        <w:t xml:space="preserve"> </w:t>
      </w:r>
      <w:r w:rsidRPr="00383F1C">
        <w:rPr>
          <w:rFonts w:asciiTheme="majorHAnsi" w:hAnsiTheme="majorHAnsi" w:cstheme="majorHAnsi"/>
          <w:i/>
          <w:iCs/>
          <w:color w:val="2C2D5B"/>
        </w:rPr>
        <w:t>"The Republic participates in the European Union made up of States which have freely chosen to exercise jointly some of their competences under the Treaty on European Union and the Treaty on the Functioning of the European Union, as they result from the Treaty signed in Lisbon on 13 December 2007".</w:t>
      </w:r>
      <w:r w:rsidRPr="00383F1C">
        <w:rPr>
          <w:rFonts w:asciiTheme="majorHAnsi" w:hAnsiTheme="majorHAnsi" w:cstheme="majorHAnsi"/>
          <w:color w:val="2C2D5B"/>
        </w:rPr>
        <w:t xml:space="preserve"> </w:t>
      </w:r>
    </w:p>
    <w:p w14:paraId="36E629CD" w14:textId="1CB3FAB9" w:rsidR="00E45305" w:rsidRPr="00383F1C" w:rsidRDefault="00244642" w:rsidP="0049009B">
      <w:pPr>
        <w:spacing w:after="120" w:line="276" w:lineRule="auto"/>
        <w:jc w:val="both"/>
        <w:rPr>
          <w:rFonts w:asciiTheme="majorHAnsi" w:hAnsiTheme="majorHAnsi" w:cstheme="majorHAnsi"/>
          <w:color w:val="2C2D5B"/>
        </w:rPr>
      </w:pPr>
      <w:r w:rsidRPr="00383F1C">
        <w:rPr>
          <w:rFonts w:asciiTheme="majorHAnsi" w:hAnsiTheme="majorHAnsi" w:cstheme="majorHAnsi"/>
          <w:color w:val="2C2D5B"/>
        </w:rPr>
        <w:t xml:space="preserve">Notably, when transposing </w:t>
      </w:r>
      <w:r w:rsidR="0049009B" w:rsidRPr="00383F1C">
        <w:rPr>
          <w:rFonts w:asciiTheme="majorHAnsi" w:hAnsiTheme="majorHAnsi" w:cstheme="majorHAnsi"/>
          <w:color w:val="2C2D5B"/>
        </w:rPr>
        <w:t xml:space="preserve"> </w:t>
      </w:r>
      <w:r w:rsidRPr="00383F1C">
        <w:rPr>
          <w:rFonts w:asciiTheme="majorHAnsi" w:hAnsiTheme="majorHAnsi" w:cstheme="majorHAnsi"/>
          <w:color w:val="2C2D5B"/>
        </w:rPr>
        <w:t xml:space="preserve">an EU </w:t>
      </w:r>
      <w:r w:rsidR="0049009B" w:rsidRPr="00383F1C">
        <w:rPr>
          <w:rFonts w:asciiTheme="majorHAnsi" w:hAnsiTheme="majorHAnsi" w:cstheme="majorHAnsi"/>
          <w:color w:val="2C2D5B"/>
        </w:rPr>
        <w:t xml:space="preserve">directive or  </w:t>
      </w:r>
      <w:r w:rsidR="00790E80" w:rsidRPr="00383F1C">
        <w:rPr>
          <w:rFonts w:asciiTheme="majorHAnsi" w:hAnsiTheme="majorHAnsi" w:cstheme="majorHAnsi"/>
          <w:color w:val="2C2D5B"/>
        </w:rPr>
        <w:t>adapting</w:t>
      </w:r>
      <w:r w:rsidR="0049009B" w:rsidRPr="00383F1C">
        <w:rPr>
          <w:rFonts w:asciiTheme="majorHAnsi" w:hAnsiTheme="majorHAnsi" w:cstheme="majorHAnsi"/>
          <w:color w:val="2C2D5B"/>
        </w:rPr>
        <w:t xml:space="preserve"> national law to a</w:t>
      </w:r>
      <w:r w:rsidRPr="00383F1C">
        <w:rPr>
          <w:rFonts w:asciiTheme="majorHAnsi" w:hAnsiTheme="majorHAnsi" w:cstheme="majorHAnsi"/>
          <w:color w:val="2C2D5B"/>
        </w:rPr>
        <w:t>n EU</w:t>
      </w:r>
      <w:r w:rsidR="0049009B" w:rsidRPr="00383F1C">
        <w:rPr>
          <w:rFonts w:asciiTheme="majorHAnsi" w:hAnsiTheme="majorHAnsi" w:cstheme="majorHAnsi"/>
          <w:color w:val="2C2D5B"/>
        </w:rPr>
        <w:t xml:space="preserve"> regulation</w:t>
      </w:r>
      <w:r w:rsidRPr="00383F1C">
        <w:rPr>
          <w:rFonts w:asciiTheme="majorHAnsi" w:hAnsiTheme="majorHAnsi" w:cstheme="majorHAnsi"/>
          <w:color w:val="2C2D5B"/>
        </w:rPr>
        <w:t>, the Council ensures that such actions do not contradict principles</w:t>
      </w:r>
      <w:r w:rsidR="00790E80" w:rsidRPr="00383F1C">
        <w:rPr>
          <w:rFonts w:asciiTheme="majorHAnsi" w:hAnsiTheme="majorHAnsi" w:cstheme="majorHAnsi"/>
          <w:color w:val="2C2D5B"/>
        </w:rPr>
        <w:t xml:space="preserve"> </w:t>
      </w:r>
      <w:r w:rsidRPr="00383F1C">
        <w:rPr>
          <w:rFonts w:asciiTheme="majorHAnsi" w:hAnsiTheme="majorHAnsi" w:cstheme="majorHAnsi"/>
          <w:color w:val="2C2D5B"/>
        </w:rPr>
        <w:t xml:space="preserve"> </w:t>
      </w:r>
      <w:r w:rsidR="0049009B" w:rsidRPr="00383F1C">
        <w:rPr>
          <w:rFonts w:asciiTheme="majorHAnsi" w:hAnsiTheme="majorHAnsi" w:cstheme="majorHAnsi"/>
          <w:color w:val="2C2D5B"/>
        </w:rPr>
        <w:t xml:space="preserve">inherent </w:t>
      </w:r>
      <w:r w:rsidRPr="00383F1C">
        <w:rPr>
          <w:rFonts w:asciiTheme="majorHAnsi" w:hAnsiTheme="majorHAnsi" w:cstheme="majorHAnsi"/>
          <w:color w:val="2C2D5B"/>
        </w:rPr>
        <w:t xml:space="preserve">to </w:t>
      </w:r>
      <w:r w:rsidR="0049009B" w:rsidRPr="00383F1C">
        <w:rPr>
          <w:rFonts w:asciiTheme="majorHAnsi" w:hAnsiTheme="majorHAnsi" w:cstheme="majorHAnsi"/>
          <w:color w:val="2C2D5B"/>
        </w:rPr>
        <w:t xml:space="preserve"> the </w:t>
      </w:r>
      <w:r w:rsidRPr="00383F1C">
        <w:rPr>
          <w:rFonts w:asciiTheme="majorHAnsi" w:hAnsiTheme="majorHAnsi" w:cstheme="majorHAnsi"/>
          <w:color w:val="2C2D5B"/>
        </w:rPr>
        <w:t xml:space="preserve">French </w:t>
      </w:r>
      <w:r w:rsidR="0049009B" w:rsidRPr="00383F1C">
        <w:rPr>
          <w:rFonts w:asciiTheme="majorHAnsi" w:hAnsiTheme="majorHAnsi" w:cstheme="majorHAnsi"/>
          <w:color w:val="2C2D5B"/>
        </w:rPr>
        <w:t>constitutional identity unless</w:t>
      </w:r>
      <w:r w:rsidRPr="00383F1C">
        <w:rPr>
          <w:rFonts w:asciiTheme="majorHAnsi" w:hAnsiTheme="majorHAnsi" w:cstheme="majorHAnsi"/>
          <w:color w:val="2C2D5B"/>
        </w:rPr>
        <w:t xml:space="preserve"> specifically permitted by the </w:t>
      </w:r>
      <w:r w:rsidR="006235FE" w:rsidRPr="00383F1C">
        <w:rPr>
          <w:rFonts w:asciiTheme="majorHAnsi" w:hAnsiTheme="majorHAnsi" w:cstheme="majorHAnsi"/>
          <w:color w:val="2C2D5B"/>
        </w:rPr>
        <w:t xml:space="preserve">French </w:t>
      </w:r>
      <w:r w:rsidRPr="00383F1C">
        <w:rPr>
          <w:rFonts w:asciiTheme="majorHAnsi" w:hAnsiTheme="majorHAnsi" w:cstheme="majorHAnsi"/>
          <w:color w:val="2C2D5B"/>
        </w:rPr>
        <w:t>constitution.</w:t>
      </w:r>
      <w:r w:rsidR="0049009B" w:rsidRPr="00383F1C">
        <w:rPr>
          <w:rFonts w:asciiTheme="majorHAnsi" w:hAnsiTheme="majorHAnsi" w:cstheme="majorHAnsi"/>
          <w:color w:val="2C2D5B"/>
        </w:rPr>
        <w:t xml:space="preserve"> In the</w:t>
      </w:r>
      <w:r w:rsidR="0049009B" w:rsidRPr="00383F1C">
        <w:rPr>
          <w:rFonts w:ascii="Calibri" w:hAnsi="Calibri" w:cs="Calibri"/>
          <w:color w:val="2C2D5B"/>
        </w:rPr>
        <w:t xml:space="preserve"> </w:t>
      </w:r>
      <w:r w:rsidR="0049009B" w:rsidRPr="00383F1C">
        <w:rPr>
          <w:rFonts w:asciiTheme="majorHAnsi" w:hAnsiTheme="majorHAnsi" w:cstheme="majorHAnsi"/>
          <w:color w:val="2C2D5B"/>
        </w:rPr>
        <w:t xml:space="preserve">absence of </w:t>
      </w:r>
      <w:r w:rsidR="00ED05AB" w:rsidRPr="00383F1C">
        <w:rPr>
          <w:rFonts w:asciiTheme="majorHAnsi" w:hAnsiTheme="majorHAnsi" w:cstheme="majorHAnsi"/>
          <w:color w:val="2C2D5B"/>
        </w:rPr>
        <w:t>any challenge to such a rule or principle, the Constitutional Council is not competent to assess</w:t>
      </w:r>
      <w:r w:rsidR="006235FE" w:rsidRPr="00383F1C">
        <w:rPr>
          <w:rFonts w:asciiTheme="majorHAnsi" w:hAnsiTheme="majorHAnsi" w:cstheme="majorHAnsi"/>
          <w:color w:val="2C2D5B"/>
        </w:rPr>
        <w:t xml:space="preserve"> </w:t>
      </w:r>
      <w:r w:rsidR="00ED05AB" w:rsidRPr="00383F1C">
        <w:rPr>
          <w:rFonts w:asciiTheme="majorHAnsi" w:hAnsiTheme="majorHAnsi" w:cstheme="majorHAnsi"/>
          <w:color w:val="2C2D5B"/>
        </w:rPr>
        <w:t xml:space="preserve">the constitutionality of legislative provisions that are merely implementing the clear and unconditional terms of a EU directive or regulation. In that case, it is solely for the Courts of the European Union, through preliminary rulings when requested by national courts, to assess  the conformity of such EU measures with fundamental rights  guaranteed by Article 6 of the TEU. </w:t>
      </w:r>
    </w:p>
    <w:p w14:paraId="0E5AB7D6" w14:textId="77777777" w:rsidR="00E45305" w:rsidRDefault="00E45305" w:rsidP="0049009B">
      <w:pPr>
        <w:spacing w:after="120" w:line="276" w:lineRule="auto"/>
        <w:jc w:val="both"/>
        <w:rPr>
          <w:rFonts w:asciiTheme="majorHAnsi" w:hAnsiTheme="majorHAnsi" w:cstheme="majorHAnsi"/>
        </w:rPr>
      </w:pPr>
    </w:p>
    <w:p w14:paraId="652DEA0F" w14:textId="77777777" w:rsidR="00E45305" w:rsidRDefault="00E45305" w:rsidP="0049009B">
      <w:pPr>
        <w:spacing w:after="120" w:line="276" w:lineRule="auto"/>
        <w:jc w:val="both"/>
        <w:rPr>
          <w:rFonts w:asciiTheme="majorHAnsi" w:hAnsiTheme="majorHAnsi" w:cstheme="majorHAnsi"/>
        </w:rPr>
      </w:pPr>
    </w:p>
    <w:p w14:paraId="27E4837C" w14:textId="496DFC4E" w:rsidR="00E05F6E" w:rsidRPr="005A6959" w:rsidRDefault="00E05F6E" w:rsidP="0049009B">
      <w:pPr>
        <w:spacing w:after="120" w:line="276" w:lineRule="auto"/>
        <w:jc w:val="both"/>
        <w:rPr>
          <w:rFonts w:ascii="Calibri" w:hAnsi="Calibri" w:cs="Calibri"/>
        </w:rPr>
      </w:pPr>
    </w:p>
    <w:p w14:paraId="23D8A297" w14:textId="49B1CEC9" w:rsidR="00E45305" w:rsidRDefault="00E45305" w:rsidP="0049009B">
      <w:pPr>
        <w:spacing w:after="120" w:line="276" w:lineRule="auto"/>
        <w:jc w:val="both"/>
        <w:rPr>
          <w:rFonts w:ascii="Calibri" w:hAnsi="Calibri" w:cs="Calibri"/>
        </w:rPr>
      </w:pPr>
    </w:p>
    <w:p w14:paraId="4485B280" w14:textId="7E001EBC" w:rsidR="00ED05AB" w:rsidRDefault="00ED05AB" w:rsidP="0049009B">
      <w:pPr>
        <w:spacing w:after="120" w:line="276" w:lineRule="auto"/>
        <w:jc w:val="both"/>
        <w:rPr>
          <w:rFonts w:asciiTheme="majorHAnsi" w:hAnsiTheme="majorHAnsi" w:cstheme="majorHAnsi"/>
          <w:bCs/>
        </w:rPr>
      </w:pPr>
    </w:p>
    <w:p w14:paraId="06B140E2" w14:textId="30728E2B" w:rsidR="00ED05AB" w:rsidRDefault="00ED05AB" w:rsidP="0049009B">
      <w:pPr>
        <w:spacing w:after="120" w:line="276" w:lineRule="auto"/>
        <w:jc w:val="both"/>
        <w:rPr>
          <w:rFonts w:asciiTheme="majorHAnsi" w:hAnsiTheme="majorHAnsi" w:cstheme="majorHAnsi"/>
          <w:bCs/>
        </w:rPr>
      </w:pPr>
    </w:p>
    <w:p w14:paraId="43ED5632" w14:textId="6FE68A7D" w:rsidR="00ED05AB" w:rsidRDefault="00ED05AB" w:rsidP="0049009B">
      <w:pPr>
        <w:spacing w:after="120" w:line="276" w:lineRule="auto"/>
        <w:jc w:val="both"/>
        <w:rPr>
          <w:rFonts w:asciiTheme="majorHAnsi" w:hAnsiTheme="majorHAnsi" w:cstheme="majorHAnsi"/>
          <w:bCs/>
        </w:rPr>
      </w:pPr>
    </w:p>
    <w:p w14:paraId="2B88D65E" w14:textId="5F89C0F2" w:rsidR="00ED05AB" w:rsidRDefault="00ED05AB" w:rsidP="0049009B">
      <w:pPr>
        <w:spacing w:after="120" w:line="276" w:lineRule="auto"/>
        <w:jc w:val="both"/>
        <w:rPr>
          <w:rFonts w:asciiTheme="majorHAnsi" w:hAnsiTheme="majorHAnsi" w:cstheme="majorHAnsi"/>
          <w:bCs/>
        </w:rPr>
      </w:pPr>
    </w:p>
    <w:p w14:paraId="090027B2" w14:textId="77777777" w:rsidR="00383F1C" w:rsidRDefault="00383F1C" w:rsidP="0049009B">
      <w:pPr>
        <w:spacing w:after="120" w:line="276" w:lineRule="auto"/>
        <w:jc w:val="both"/>
        <w:rPr>
          <w:rFonts w:asciiTheme="majorHAnsi" w:hAnsiTheme="majorHAnsi" w:cstheme="majorHAnsi"/>
          <w:bCs/>
        </w:rPr>
      </w:pPr>
    </w:p>
    <w:p w14:paraId="19EDFA35" w14:textId="77777777" w:rsidR="00383F1C" w:rsidRDefault="00383F1C" w:rsidP="0049009B">
      <w:pPr>
        <w:spacing w:after="120" w:line="276" w:lineRule="auto"/>
        <w:jc w:val="both"/>
        <w:rPr>
          <w:rFonts w:asciiTheme="majorHAnsi" w:hAnsiTheme="majorHAnsi" w:cstheme="majorHAnsi"/>
          <w:bCs/>
        </w:rPr>
      </w:pPr>
    </w:p>
    <w:p w14:paraId="1609CE7F" w14:textId="0A73E2FD" w:rsidR="00383F1C" w:rsidRDefault="00383F1C" w:rsidP="0049009B">
      <w:pPr>
        <w:spacing w:after="120" w:line="276" w:lineRule="auto"/>
        <w:jc w:val="both"/>
        <w:rPr>
          <w:rFonts w:asciiTheme="majorHAnsi" w:hAnsiTheme="majorHAnsi" w:cstheme="majorHAnsi"/>
          <w:bCs/>
        </w:rPr>
      </w:pPr>
    </w:p>
    <w:p w14:paraId="4E82D5B2" w14:textId="5CDF6A9F" w:rsidR="00ED05AB" w:rsidRDefault="00ED05AB" w:rsidP="0049009B">
      <w:pPr>
        <w:spacing w:after="120" w:line="276" w:lineRule="auto"/>
        <w:jc w:val="both"/>
        <w:rPr>
          <w:rFonts w:asciiTheme="majorHAnsi" w:hAnsiTheme="majorHAnsi" w:cstheme="majorHAnsi"/>
          <w:bCs/>
        </w:rPr>
      </w:pPr>
    </w:p>
    <w:p w14:paraId="74EC299F" w14:textId="020A4EB3" w:rsidR="00ED05AB" w:rsidRDefault="00200E08" w:rsidP="0049009B">
      <w:pPr>
        <w:spacing w:after="120" w:line="276" w:lineRule="auto"/>
        <w:jc w:val="both"/>
        <w:rPr>
          <w:rFonts w:asciiTheme="majorHAnsi" w:hAnsiTheme="majorHAnsi" w:cstheme="majorHAnsi"/>
          <w:bCs/>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65440" behindDoc="0" locked="0" layoutInCell="1" allowOverlap="1" wp14:anchorId="3188C2E9" wp14:editId="0D50FCBE">
            <wp:simplePos x="0" y="0"/>
            <wp:positionH relativeFrom="column">
              <wp:posOffset>4802505</wp:posOffset>
            </wp:positionH>
            <wp:positionV relativeFrom="paragraph">
              <wp:posOffset>142099</wp:posOffset>
            </wp:positionV>
            <wp:extent cx="713105" cy="575310"/>
            <wp:effectExtent l="0" t="0" r="0" b="0"/>
            <wp:wrapNone/>
            <wp:docPr id="1157649970"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p>
    <w:p w14:paraId="55DCBD47" w14:textId="3F6D6478" w:rsidR="00200E08" w:rsidRDefault="00200E08" w:rsidP="0049009B">
      <w:pPr>
        <w:spacing w:after="120" w:line="276" w:lineRule="auto"/>
        <w:jc w:val="both"/>
        <w:rPr>
          <w:rFonts w:asciiTheme="majorHAnsi" w:hAnsiTheme="majorHAnsi" w:cstheme="majorHAnsi"/>
          <w:bCs/>
        </w:rPr>
      </w:pPr>
      <w:r w:rsidRPr="005A6959">
        <w:rPr>
          <w:rFonts w:ascii="Calibri" w:hAnsi="Calibri" w:cs="Calibri"/>
          <w:noProof/>
        </w:rPr>
        <mc:AlternateContent>
          <mc:Choice Requires="wps">
            <w:drawing>
              <wp:anchor distT="45720" distB="45720" distL="114300" distR="114300" simplePos="0" relativeHeight="251758592" behindDoc="0" locked="0" layoutInCell="1" allowOverlap="1" wp14:anchorId="6A72D268" wp14:editId="7E226EAA">
                <wp:simplePos x="0" y="0"/>
                <wp:positionH relativeFrom="margin">
                  <wp:posOffset>3175</wp:posOffset>
                </wp:positionH>
                <wp:positionV relativeFrom="paragraph">
                  <wp:posOffset>173637</wp:posOffset>
                </wp:positionV>
                <wp:extent cx="5362575" cy="4594225"/>
                <wp:effectExtent l="0" t="0" r="28575" b="15875"/>
                <wp:wrapSquare wrapText="bothSides"/>
                <wp:docPr id="111584378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2575" cy="4594225"/>
                        </a:xfrm>
                        <a:prstGeom prst="roundRect">
                          <a:avLst/>
                        </a:prstGeom>
                        <a:solidFill>
                          <a:schemeClr val="bg1"/>
                        </a:solidFill>
                        <a:ln w="19050">
                          <a:solidFill>
                            <a:srgbClr val="B6A04C"/>
                          </a:solidFill>
                          <a:miter lim="800000"/>
                          <a:headEnd/>
                          <a:tailEnd/>
                        </a:ln>
                      </wps:spPr>
                      <wps:txbx>
                        <w:txbxContent>
                          <w:p w14:paraId="2254548F" w14:textId="114394B0" w:rsidR="00E05F6E" w:rsidRPr="00383F1C" w:rsidRDefault="00133660" w:rsidP="00383F1C">
                            <w:pPr>
                              <w:jc w:val="center"/>
                              <w:rPr>
                                <w:rFonts w:asciiTheme="minorHAnsi" w:hAnsiTheme="minorHAnsi" w:cstheme="minorHAnsi"/>
                                <w:b/>
                                <w:bCs/>
                                <w:color w:val="B6A04C"/>
                                <w:sz w:val="20"/>
                                <w:szCs w:val="20"/>
                              </w:rPr>
                            </w:pPr>
                            <w:hyperlink r:id="rId63" w:history="1">
                              <w:r w:rsidRPr="00383F1C">
                                <w:rPr>
                                  <w:rStyle w:val="Hypertextovodkaz"/>
                                  <w:rFonts w:asciiTheme="minorHAnsi" w:hAnsiTheme="minorHAnsi" w:cstheme="minorHAnsi"/>
                                  <w:b/>
                                  <w:bCs/>
                                  <w:color w:val="B6A04C"/>
                                  <w:sz w:val="20"/>
                                  <w:szCs w:val="20"/>
                                </w:rPr>
                                <w:t xml:space="preserve">Constitutional Council, </w:t>
                              </w:r>
                              <w:r w:rsidR="00E05F6E" w:rsidRPr="00383F1C">
                                <w:rPr>
                                  <w:rStyle w:val="Hypertextovodkaz"/>
                                  <w:rFonts w:asciiTheme="minorHAnsi" w:hAnsiTheme="minorHAnsi" w:cstheme="minorHAnsi"/>
                                  <w:b/>
                                  <w:bCs/>
                                  <w:color w:val="B6A04C"/>
                                  <w:sz w:val="20"/>
                                  <w:szCs w:val="20"/>
                                </w:rPr>
                                <w:t>Decision No. 2021-940 QPC, 15 October 2021, Société Air France</w:t>
                              </w:r>
                            </w:hyperlink>
                          </w:p>
                          <w:p w14:paraId="5510F6D5" w14:textId="77777777" w:rsidR="00E05F6E" w:rsidRPr="00B53E64" w:rsidRDefault="00E05F6E" w:rsidP="00E05F6E">
                            <w:pPr>
                              <w:jc w:val="right"/>
                              <w:rPr>
                                <w:rFonts w:asciiTheme="minorHAnsi" w:hAnsiTheme="minorHAnsi" w:cstheme="minorHAnsi"/>
                                <w:b/>
                                <w:bCs/>
                                <w:sz w:val="20"/>
                                <w:szCs w:val="20"/>
                              </w:rPr>
                            </w:pPr>
                          </w:p>
                          <w:p w14:paraId="3D2A2474" w14:textId="68ABE067" w:rsidR="00133660" w:rsidRPr="00383F1C" w:rsidRDefault="00133660" w:rsidP="00E05F6E">
                            <w:pPr>
                              <w:jc w:val="both"/>
                              <w:rPr>
                                <w:rFonts w:asciiTheme="minorHAnsi" w:hAnsiTheme="minorHAnsi" w:cstheme="minorHAnsi"/>
                                <w:b/>
                                <w:bCs/>
                                <w:color w:val="2C2D5B"/>
                                <w:sz w:val="20"/>
                                <w:szCs w:val="20"/>
                              </w:rPr>
                            </w:pPr>
                            <w:r w:rsidRPr="00383F1C">
                              <w:rPr>
                                <w:rFonts w:asciiTheme="minorHAnsi" w:hAnsiTheme="minorHAnsi" w:cstheme="minorHAnsi"/>
                                <w:b/>
                                <w:bCs/>
                                <w:color w:val="2C2D5B"/>
                                <w:sz w:val="20"/>
                                <w:szCs w:val="20"/>
                              </w:rPr>
                              <w:t>Facts</w:t>
                            </w:r>
                            <w:r w:rsidR="00383F1C" w:rsidRPr="00383F1C">
                              <w:rPr>
                                <w:rFonts w:asciiTheme="minorHAnsi" w:hAnsiTheme="minorHAnsi" w:cstheme="minorHAnsi"/>
                                <w:b/>
                                <w:bCs/>
                                <w:color w:val="2C2D5B"/>
                                <w:sz w:val="20"/>
                                <w:szCs w:val="20"/>
                              </w:rPr>
                              <w:t xml:space="preserve"> </w:t>
                            </w:r>
                            <w:r w:rsidRPr="00383F1C">
                              <w:rPr>
                                <w:rFonts w:asciiTheme="minorHAnsi" w:hAnsiTheme="minorHAnsi" w:cstheme="minorHAnsi"/>
                                <w:b/>
                                <w:bCs/>
                                <w:color w:val="2C2D5B"/>
                                <w:sz w:val="20"/>
                                <w:szCs w:val="20"/>
                              </w:rPr>
                              <w:t xml:space="preserve">: </w:t>
                            </w:r>
                          </w:p>
                          <w:p w14:paraId="416BF82F" w14:textId="4477A60D" w:rsidR="00E05F6E" w:rsidRPr="00383F1C" w:rsidRDefault="00E05F6E" w:rsidP="00E05F6E">
                            <w:pPr>
                              <w:jc w:val="both"/>
                              <w:rPr>
                                <w:rFonts w:asciiTheme="minorHAnsi" w:hAnsiTheme="minorHAnsi" w:cstheme="minorHAnsi"/>
                                <w:color w:val="2C2D5B"/>
                                <w:sz w:val="20"/>
                                <w:szCs w:val="20"/>
                              </w:rPr>
                            </w:pPr>
                            <w:r w:rsidRPr="00383F1C">
                              <w:rPr>
                                <w:rFonts w:asciiTheme="minorHAnsi" w:hAnsiTheme="minorHAnsi" w:cstheme="minorHAnsi"/>
                                <w:color w:val="2C2D5B"/>
                                <w:sz w:val="20"/>
                                <w:szCs w:val="20"/>
                              </w:rPr>
                              <w:t xml:space="preserve">This case concerned the obligation for air carriers to reroute foreigners who are refused entry into France. </w:t>
                            </w:r>
                          </w:p>
                          <w:p w14:paraId="1930841E" w14:textId="77777777" w:rsidR="00133660" w:rsidRPr="00383F1C" w:rsidRDefault="00E05F6E" w:rsidP="00E05F6E">
                            <w:pPr>
                              <w:jc w:val="both"/>
                              <w:rPr>
                                <w:rFonts w:asciiTheme="minorHAnsi" w:hAnsiTheme="minorHAnsi" w:cstheme="minorHAnsi"/>
                                <w:color w:val="2C2D5B"/>
                                <w:sz w:val="20"/>
                                <w:szCs w:val="20"/>
                              </w:rPr>
                            </w:pPr>
                            <w:r w:rsidRPr="00383F1C">
                              <w:rPr>
                                <w:rFonts w:asciiTheme="minorHAnsi" w:hAnsiTheme="minorHAnsi" w:cstheme="minorHAnsi"/>
                                <w:color w:val="2C2D5B"/>
                                <w:sz w:val="20"/>
                                <w:szCs w:val="20"/>
                              </w:rPr>
                              <w:t xml:space="preserve">It arose from the application of article L. 213-4 of the Code on Entry and Stay of Foreigners and Asylum Law (CESEDA) which </w:t>
                            </w:r>
                            <w:r w:rsidR="006D1215" w:rsidRPr="00383F1C">
                              <w:rPr>
                                <w:rFonts w:asciiTheme="minorHAnsi" w:hAnsiTheme="minorHAnsi" w:cstheme="minorHAnsi"/>
                                <w:color w:val="2C2D5B"/>
                                <w:sz w:val="20"/>
                                <w:szCs w:val="20"/>
                              </w:rPr>
                              <w:t>stipulates</w:t>
                            </w:r>
                            <w:r w:rsidRPr="00383F1C">
                              <w:rPr>
                                <w:rFonts w:asciiTheme="minorHAnsi" w:hAnsiTheme="minorHAnsi" w:cstheme="minorHAnsi"/>
                                <w:color w:val="2C2D5B"/>
                                <w:sz w:val="20"/>
                                <w:szCs w:val="20"/>
                              </w:rPr>
                              <w:t xml:space="preserve"> that air or sea carriers who have transported a person who has been refused access to French territory on the grounds that his or her "</w:t>
                            </w:r>
                            <w:r w:rsidRPr="00383F1C">
                              <w:rPr>
                                <w:rFonts w:asciiTheme="minorHAnsi" w:hAnsiTheme="minorHAnsi" w:cstheme="minorHAnsi"/>
                                <w:i/>
                                <w:iCs/>
                                <w:color w:val="2C2D5B"/>
                                <w:sz w:val="20"/>
                                <w:szCs w:val="20"/>
                              </w:rPr>
                              <w:t>presence would constitute a threat to public order"</w:t>
                            </w:r>
                            <w:r w:rsidRPr="00383F1C">
                              <w:rPr>
                                <w:rFonts w:asciiTheme="minorHAnsi" w:hAnsiTheme="minorHAnsi" w:cstheme="minorHAnsi"/>
                                <w:color w:val="2C2D5B"/>
                                <w:sz w:val="20"/>
                                <w:szCs w:val="20"/>
                              </w:rPr>
                              <w:t>, or who is the subject of either a territorial ban or a deportation order , are thus "</w:t>
                            </w:r>
                            <w:r w:rsidRPr="00383F1C">
                              <w:rPr>
                                <w:rFonts w:asciiTheme="minorHAnsi" w:hAnsiTheme="minorHAnsi" w:cstheme="minorHAnsi"/>
                                <w:i/>
                                <w:iCs/>
                                <w:color w:val="2C2D5B"/>
                                <w:sz w:val="20"/>
                                <w:szCs w:val="20"/>
                              </w:rPr>
                              <w:t>required, at the request of the authorities responsible for controlling persons at the border, to return the foreigner without delay to the point where he or she began using the company's means of transport, or, if this is not possible, to the State which issued the travel document with which he or she travelled, or to any other place where he or she may be admitted</w:t>
                            </w:r>
                            <w:r w:rsidRPr="00383F1C">
                              <w:rPr>
                                <w:rFonts w:asciiTheme="minorHAnsi" w:hAnsiTheme="minorHAnsi" w:cstheme="minorHAnsi"/>
                                <w:color w:val="2C2D5B"/>
                                <w:sz w:val="20"/>
                                <w:szCs w:val="20"/>
                              </w:rPr>
                              <w:t xml:space="preserve">". The purpose of article L. 213-4 of the CESEDA was to draw the consequences, in domestic law, of the convention implementing the Schengen Agreement, signed on June 19, 1990. The Minister of the Interior had imposed two fines on Air France for failing to meet its obligation to reroute two passengers who had been refused access to French territory. </w:t>
                            </w:r>
                          </w:p>
                          <w:p w14:paraId="69099D92" w14:textId="70877F6E" w:rsidR="00133660" w:rsidRPr="00383F1C" w:rsidRDefault="00133660" w:rsidP="00E05F6E">
                            <w:pPr>
                              <w:jc w:val="both"/>
                              <w:rPr>
                                <w:rFonts w:asciiTheme="minorHAnsi" w:hAnsiTheme="minorHAnsi" w:cstheme="minorHAnsi"/>
                                <w:color w:val="2C2D5B"/>
                                <w:sz w:val="20"/>
                                <w:szCs w:val="20"/>
                              </w:rPr>
                            </w:pPr>
                            <w:r w:rsidRPr="00383F1C">
                              <w:rPr>
                                <w:rFonts w:asciiTheme="minorHAnsi" w:hAnsiTheme="minorHAnsi" w:cstheme="minorHAnsi"/>
                                <w:color w:val="2C2D5B"/>
                                <w:sz w:val="20"/>
                                <w:szCs w:val="20"/>
                              </w:rPr>
                              <w:t xml:space="preserve">Air France challenged the constitutionality of </w:t>
                            </w:r>
                            <w:r w:rsidR="00E05F6E" w:rsidRPr="00383F1C">
                              <w:rPr>
                                <w:rFonts w:asciiTheme="minorHAnsi" w:hAnsiTheme="minorHAnsi" w:cstheme="minorHAnsi"/>
                                <w:color w:val="2C2D5B"/>
                                <w:sz w:val="20"/>
                                <w:szCs w:val="20"/>
                              </w:rPr>
                              <w:t xml:space="preserve">article L 213-4. </w:t>
                            </w:r>
                          </w:p>
                          <w:p w14:paraId="0293E7FE" w14:textId="77777777" w:rsidR="00133660" w:rsidRPr="00383F1C" w:rsidRDefault="00133660" w:rsidP="00E05F6E">
                            <w:pPr>
                              <w:jc w:val="both"/>
                              <w:rPr>
                                <w:rFonts w:asciiTheme="minorHAnsi" w:hAnsiTheme="minorHAnsi" w:cstheme="minorHAnsi"/>
                                <w:color w:val="2C2D5B"/>
                                <w:sz w:val="20"/>
                                <w:szCs w:val="20"/>
                              </w:rPr>
                            </w:pPr>
                          </w:p>
                          <w:p w14:paraId="1CB8726B" w14:textId="24CCBFAA" w:rsidR="00133660" w:rsidRPr="00383F1C" w:rsidRDefault="00133660" w:rsidP="00E05F6E">
                            <w:pPr>
                              <w:jc w:val="both"/>
                              <w:rPr>
                                <w:rFonts w:asciiTheme="minorHAnsi" w:hAnsiTheme="minorHAnsi" w:cstheme="minorHAnsi"/>
                                <w:b/>
                                <w:bCs/>
                                <w:color w:val="2C2D5B"/>
                                <w:sz w:val="20"/>
                                <w:szCs w:val="20"/>
                              </w:rPr>
                            </w:pPr>
                            <w:r w:rsidRPr="00383F1C">
                              <w:rPr>
                                <w:rFonts w:asciiTheme="minorHAnsi" w:hAnsiTheme="minorHAnsi" w:cstheme="minorHAnsi"/>
                                <w:b/>
                                <w:bCs/>
                                <w:color w:val="2C2D5B"/>
                                <w:sz w:val="20"/>
                                <w:szCs w:val="20"/>
                              </w:rPr>
                              <w:t>Ruling</w:t>
                            </w:r>
                            <w:r w:rsidR="00383F1C" w:rsidRPr="00383F1C">
                              <w:rPr>
                                <w:rFonts w:asciiTheme="minorHAnsi" w:hAnsiTheme="minorHAnsi" w:cstheme="minorHAnsi"/>
                                <w:b/>
                                <w:bCs/>
                                <w:color w:val="2C2D5B"/>
                                <w:sz w:val="20"/>
                                <w:szCs w:val="20"/>
                              </w:rPr>
                              <w:t xml:space="preserve"> </w:t>
                            </w:r>
                            <w:r w:rsidRPr="00383F1C">
                              <w:rPr>
                                <w:rFonts w:asciiTheme="minorHAnsi" w:hAnsiTheme="minorHAnsi" w:cstheme="minorHAnsi"/>
                                <w:b/>
                                <w:bCs/>
                                <w:color w:val="2C2D5B"/>
                                <w:sz w:val="20"/>
                                <w:szCs w:val="20"/>
                              </w:rPr>
                              <w:t xml:space="preserve">: </w:t>
                            </w:r>
                          </w:p>
                          <w:p w14:paraId="60C4C43F" w14:textId="5DE193FA" w:rsidR="00E05F6E" w:rsidRPr="00383F1C" w:rsidRDefault="00E05F6E" w:rsidP="00327D5A">
                            <w:pPr>
                              <w:jc w:val="both"/>
                              <w:rPr>
                                <w:rFonts w:asciiTheme="minorHAnsi" w:hAnsiTheme="minorHAnsi" w:cstheme="minorHAnsi"/>
                                <w:color w:val="2C2D5B"/>
                                <w:sz w:val="20"/>
                                <w:szCs w:val="20"/>
                              </w:rPr>
                            </w:pPr>
                            <w:r w:rsidRPr="00383F1C">
                              <w:rPr>
                                <w:rFonts w:asciiTheme="minorHAnsi" w:hAnsiTheme="minorHAnsi" w:cstheme="minorHAnsi"/>
                                <w:color w:val="2C2D5B"/>
                                <w:sz w:val="20"/>
                                <w:szCs w:val="20"/>
                              </w:rPr>
                              <w:t>The Co</w:t>
                            </w:r>
                            <w:r w:rsidR="00133660" w:rsidRPr="00383F1C">
                              <w:rPr>
                                <w:rFonts w:asciiTheme="minorHAnsi" w:hAnsiTheme="minorHAnsi" w:cstheme="minorHAnsi"/>
                                <w:color w:val="2C2D5B"/>
                                <w:sz w:val="20"/>
                                <w:szCs w:val="20"/>
                              </w:rPr>
                              <w:t>nstitutional Council held that for infringements arising from EU acts – such as the Schengen Convention implementation underlying Article L.213-4 – only the EU legal system has jurisdiction to assess compliance with rights. However</w:t>
                            </w:r>
                            <w:r w:rsidRPr="00383F1C">
                              <w:rPr>
                                <w:rFonts w:asciiTheme="minorHAnsi" w:hAnsiTheme="minorHAnsi" w:cstheme="minorHAnsi"/>
                                <w:color w:val="2C2D5B"/>
                                <w:sz w:val="20"/>
                                <w:szCs w:val="20"/>
                              </w:rPr>
                              <w:t>,</w:t>
                            </w:r>
                            <w:r w:rsidR="00133660" w:rsidRPr="00383F1C">
                              <w:rPr>
                                <w:rFonts w:asciiTheme="minorHAnsi" w:hAnsiTheme="minorHAnsi" w:cstheme="minorHAnsi"/>
                                <w:color w:val="2C2D5B"/>
                                <w:sz w:val="20"/>
                                <w:szCs w:val="20"/>
                              </w:rPr>
                              <w:t xml:space="preserve"> if</w:t>
                            </w:r>
                            <w:r w:rsidRPr="00383F1C">
                              <w:rPr>
                                <w:rFonts w:asciiTheme="minorHAnsi" w:hAnsiTheme="minorHAnsi" w:cstheme="minorHAnsi"/>
                                <w:color w:val="2C2D5B"/>
                                <w:sz w:val="20"/>
                                <w:szCs w:val="20"/>
                              </w:rPr>
                              <w:t xml:space="preserve"> rules and principles inherent</w:t>
                            </w:r>
                            <w:r w:rsidR="00133660" w:rsidRPr="00383F1C">
                              <w:rPr>
                                <w:rFonts w:asciiTheme="minorHAnsi" w:hAnsiTheme="minorHAnsi" w:cstheme="minorHAnsi"/>
                                <w:color w:val="2C2D5B"/>
                                <w:sz w:val="20"/>
                                <w:szCs w:val="20"/>
                              </w:rPr>
                              <w:t xml:space="preserve"> to</w:t>
                            </w:r>
                            <w:r w:rsidRPr="00383F1C">
                              <w:rPr>
                                <w:rFonts w:asciiTheme="minorHAnsi" w:hAnsiTheme="minorHAnsi" w:cstheme="minorHAnsi"/>
                                <w:color w:val="2C2D5B"/>
                                <w:sz w:val="20"/>
                                <w:szCs w:val="20"/>
                              </w:rPr>
                              <w:t xml:space="preserve"> France's constitutional identity are at stake, </w:t>
                            </w:r>
                            <w:r w:rsidR="00133660" w:rsidRPr="00383F1C">
                              <w:rPr>
                                <w:rFonts w:asciiTheme="minorHAnsi" w:hAnsiTheme="minorHAnsi" w:cstheme="minorHAnsi"/>
                                <w:color w:val="2C2D5B"/>
                                <w:sz w:val="20"/>
                                <w:szCs w:val="20"/>
                              </w:rPr>
                              <w:t xml:space="preserve">The Constitutional Council has to </w:t>
                            </w:r>
                            <w:r w:rsidRPr="00383F1C">
                              <w:rPr>
                                <w:rFonts w:asciiTheme="minorHAnsi" w:hAnsiTheme="minorHAnsi" w:cstheme="minorHAnsi"/>
                                <w:color w:val="2C2D5B"/>
                                <w:sz w:val="20"/>
                                <w:szCs w:val="20"/>
                              </w:rPr>
                              <w:t>ensure that they are respected</w:t>
                            </w:r>
                            <w:r w:rsidR="00383F1C" w:rsidRPr="00383F1C">
                              <w:rPr>
                                <w:rFonts w:asciiTheme="minorHAnsi" w:hAnsiTheme="minorHAnsi" w:cstheme="minorHAnsi"/>
                                <w:color w:val="2C2D5B"/>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6A72D268" id="_x0000_s1062" style="position:absolute;left:0;text-align:left;margin-left:.25pt;margin-top:13.65pt;width:422.25pt;height:361.75pt;z-index:2517585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EyatJQIAAC0EAAAOAAAAZHJzL2Uyb0RvYy54bWysU9tu2zAMfR+wfxD0vthx7bQx4hRpug4D&#10;ugvW7QNkWbaFyaInKbG7rx8lu2navQ3zg0Ca0iF5eLi5HjtFjsJYCbqgy0VMidAcKqmbgv74fvfu&#10;ihLrmK6YAi0K+igsvd6+fbMZ+lwk0IKqhCEIom0+9AVtnevzKLK8FR2zC+iFxmANpmMOXdNElWED&#10;oncqSuJ4FQ1gqt4AF9bi39spSLcBv64Fd1/q2gpHVEGxNhdOE87Sn9F2w/LGsL6VfC6D/UMVHZMa&#10;k56gbplj5GDkX1Cd5AYs1G7BoYugriUXoQfsZhm/6uahZb0IvSA5tj/RZP8fLP98fOi/GuLGGxhx&#10;gKEJ298D/2mJhn3LdCN2xsDQClZh4qWnLBp6m89PPdU2tx6kHD5BhUNmBwcBaKxN51nBPgmi4wAe&#10;T6SL0RGOP7OLVZJdZpRwjKXZOk2SLORg+dPz3lj3QUBHvFFQAwddfcPRhhzseG+dr4nlT/d8SgtK&#10;VndSqeB4OYm9MuTIUAhlM3Xx6pbSZMAG13EWTzS8gDBNeQK4We3idD9X+SJTJx3qWcmuoFex/yaF&#10;efLe6yqozTGpJhtLVnpm0xM4UenGciSyKujFyj/27JZQPSK/Bib94r6h0YL5TcmA2i2o/XVgRlCi&#10;Pmqc0XqZpl7swUmzywQdcx4pzyNMc4QqqKNkMvcuLIgnTsMOZ1nLQPBzJXPNqMnA+7w/XvTnfrj1&#10;vOXbPwAAAP//AwBQSwMEFAAGAAgAAAAhAJJarR/cAAAABwEAAA8AAABkcnMvZG93bnJldi54bWxM&#10;jzFPwzAUhHck/oP1kNioQ2moCXmpokosbE3LwObEjyQQ21HspuHf85hgPN3p7rt8t9hBzDSF3juE&#10;+1UCglzjTe9ahNPx5U6BCFE7owfvCOGbAuyK66tcZ8Zf3IHmKraCS1zINEIX45hJGZqOrA4rP5Jj&#10;78NPVkeWUyvNpC9cbge5TpJHaXXveKHTI+07ar6qs0WYT4e0VPv3TdW9yc+n11LVyirE25ulfAYR&#10;aYl/YfjFZ3QomKn2Z2eCGBBSziGstw8g2FWblJ/VCNs0USCLXP7nL34AAAD//wMAUEsBAi0AFAAG&#10;AAgAAAAhALaDOJL+AAAA4QEAABMAAAAAAAAAAAAAAAAAAAAAAFtDb250ZW50X1R5cGVzXS54bWxQ&#10;SwECLQAUAAYACAAAACEAOP0h/9YAAACUAQAACwAAAAAAAAAAAAAAAAAvAQAAX3JlbHMvLnJlbHNQ&#10;SwECLQAUAAYACAAAACEA7xMmrSUCAAAtBAAADgAAAAAAAAAAAAAAAAAuAgAAZHJzL2Uyb0RvYy54&#10;bWxQSwECLQAUAAYACAAAACEAklqtH9wAAAAHAQAADwAAAAAAAAAAAAAAAAB/BAAAZHJzL2Rvd25y&#10;ZXYueG1sUEsFBgAAAAAEAAQA8wAAAIgFAAAAAA==&#10;" fillcolor="white [3212]" strokecolor="#b6a04c" strokeweight="1.5pt">
                <v:stroke joinstyle="miter"/>
                <v:textbox>
                  <w:txbxContent>
                    <w:p w14:paraId="2254548F" w14:textId="114394B0" w:rsidR="00E05F6E" w:rsidRPr="00383F1C" w:rsidRDefault="00133660" w:rsidP="00383F1C">
                      <w:pPr>
                        <w:jc w:val="center"/>
                        <w:rPr>
                          <w:rFonts w:asciiTheme="minorHAnsi" w:hAnsiTheme="minorHAnsi" w:cstheme="minorHAnsi"/>
                          <w:b/>
                          <w:bCs/>
                          <w:color w:val="B6A04C"/>
                          <w:sz w:val="20"/>
                          <w:szCs w:val="20"/>
                        </w:rPr>
                      </w:pPr>
                      <w:hyperlink r:id="rId64" w:history="1">
                        <w:r w:rsidRPr="00383F1C">
                          <w:rPr>
                            <w:rStyle w:val="Lienhypertexte"/>
                            <w:rFonts w:asciiTheme="minorHAnsi" w:hAnsiTheme="minorHAnsi" w:cstheme="minorHAnsi"/>
                            <w:b/>
                            <w:bCs/>
                            <w:color w:val="B6A04C"/>
                            <w:sz w:val="20"/>
                            <w:szCs w:val="20"/>
                          </w:rPr>
                          <w:t xml:space="preserve">Constitutional Council, </w:t>
                        </w:r>
                        <w:r w:rsidR="00E05F6E" w:rsidRPr="00383F1C">
                          <w:rPr>
                            <w:rStyle w:val="Lienhypertexte"/>
                            <w:rFonts w:asciiTheme="minorHAnsi" w:hAnsiTheme="minorHAnsi" w:cstheme="minorHAnsi"/>
                            <w:b/>
                            <w:bCs/>
                            <w:color w:val="B6A04C"/>
                            <w:sz w:val="20"/>
                            <w:szCs w:val="20"/>
                          </w:rPr>
                          <w:t>Decision No. 2021-940 QPC, 15 October 2021, Société Air France</w:t>
                        </w:r>
                      </w:hyperlink>
                    </w:p>
                    <w:p w14:paraId="5510F6D5" w14:textId="77777777" w:rsidR="00E05F6E" w:rsidRPr="00B53E64" w:rsidRDefault="00E05F6E" w:rsidP="00E05F6E">
                      <w:pPr>
                        <w:jc w:val="right"/>
                        <w:rPr>
                          <w:rFonts w:asciiTheme="minorHAnsi" w:hAnsiTheme="minorHAnsi" w:cstheme="minorHAnsi"/>
                          <w:b/>
                          <w:bCs/>
                          <w:sz w:val="20"/>
                          <w:szCs w:val="20"/>
                        </w:rPr>
                      </w:pPr>
                    </w:p>
                    <w:p w14:paraId="3D2A2474" w14:textId="68ABE067" w:rsidR="00133660" w:rsidRPr="00383F1C" w:rsidRDefault="00133660" w:rsidP="00E05F6E">
                      <w:pPr>
                        <w:jc w:val="both"/>
                        <w:rPr>
                          <w:rFonts w:asciiTheme="minorHAnsi" w:hAnsiTheme="minorHAnsi" w:cstheme="minorHAnsi"/>
                          <w:b/>
                          <w:bCs/>
                          <w:color w:val="2C2D5B"/>
                          <w:sz w:val="20"/>
                          <w:szCs w:val="20"/>
                        </w:rPr>
                      </w:pPr>
                      <w:r w:rsidRPr="00383F1C">
                        <w:rPr>
                          <w:rFonts w:asciiTheme="minorHAnsi" w:hAnsiTheme="minorHAnsi" w:cstheme="minorHAnsi"/>
                          <w:b/>
                          <w:bCs/>
                          <w:color w:val="2C2D5B"/>
                          <w:sz w:val="20"/>
                          <w:szCs w:val="20"/>
                        </w:rPr>
                        <w:t>Facts</w:t>
                      </w:r>
                      <w:r w:rsidR="00383F1C" w:rsidRPr="00383F1C">
                        <w:rPr>
                          <w:rFonts w:asciiTheme="minorHAnsi" w:hAnsiTheme="minorHAnsi" w:cstheme="minorHAnsi"/>
                          <w:b/>
                          <w:bCs/>
                          <w:color w:val="2C2D5B"/>
                          <w:sz w:val="20"/>
                          <w:szCs w:val="20"/>
                        </w:rPr>
                        <w:t xml:space="preserve"> </w:t>
                      </w:r>
                      <w:r w:rsidRPr="00383F1C">
                        <w:rPr>
                          <w:rFonts w:asciiTheme="minorHAnsi" w:hAnsiTheme="minorHAnsi" w:cstheme="minorHAnsi"/>
                          <w:b/>
                          <w:bCs/>
                          <w:color w:val="2C2D5B"/>
                          <w:sz w:val="20"/>
                          <w:szCs w:val="20"/>
                        </w:rPr>
                        <w:t xml:space="preserve">: </w:t>
                      </w:r>
                    </w:p>
                    <w:p w14:paraId="416BF82F" w14:textId="4477A60D" w:rsidR="00E05F6E" w:rsidRPr="00383F1C" w:rsidRDefault="00E05F6E" w:rsidP="00E05F6E">
                      <w:pPr>
                        <w:jc w:val="both"/>
                        <w:rPr>
                          <w:rFonts w:asciiTheme="minorHAnsi" w:hAnsiTheme="minorHAnsi" w:cstheme="minorHAnsi"/>
                          <w:color w:val="2C2D5B"/>
                          <w:sz w:val="20"/>
                          <w:szCs w:val="20"/>
                        </w:rPr>
                      </w:pPr>
                      <w:r w:rsidRPr="00383F1C">
                        <w:rPr>
                          <w:rFonts w:asciiTheme="minorHAnsi" w:hAnsiTheme="minorHAnsi" w:cstheme="minorHAnsi"/>
                          <w:color w:val="2C2D5B"/>
                          <w:sz w:val="20"/>
                          <w:szCs w:val="20"/>
                        </w:rPr>
                        <w:t xml:space="preserve">This case concerned the obligation for air carriers to reroute foreigners who are refused entry into France. </w:t>
                      </w:r>
                    </w:p>
                    <w:p w14:paraId="1930841E" w14:textId="77777777" w:rsidR="00133660" w:rsidRPr="00383F1C" w:rsidRDefault="00E05F6E" w:rsidP="00E05F6E">
                      <w:pPr>
                        <w:jc w:val="both"/>
                        <w:rPr>
                          <w:rFonts w:asciiTheme="minorHAnsi" w:hAnsiTheme="minorHAnsi" w:cstheme="minorHAnsi"/>
                          <w:color w:val="2C2D5B"/>
                          <w:sz w:val="20"/>
                          <w:szCs w:val="20"/>
                        </w:rPr>
                      </w:pPr>
                      <w:r w:rsidRPr="00383F1C">
                        <w:rPr>
                          <w:rFonts w:asciiTheme="minorHAnsi" w:hAnsiTheme="minorHAnsi" w:cstheme="minorHAnsi"/>
                          <w:color w:val="2C2D5B"/>
                          <w:sz w:val="20"/>
                          <w:szCs w:val="20"/>
                        </w:rPr>
                        <w:t xml:space="preserve">It arose from the application of article L. 213-4 of the Code on Entry and Stay of Foreigners and Asylum Law (CESEDA) which </w:t>
                      </w:r>
                      <w:r w:rsidR="006D1215" w:rsidRPr="00383F1C">
                        <w:rPr>
                          <w:rFonts w:asciiTheme="minorHAnsi" w:hAnsiTheme="minorHAnsi" w:cstheme="minorHAnsi"/>
                          <w:color w:val="2C2D5B"/>
                          <w:sz w:val="20"/>
                          <w:szCs w:val="20"/>
                        </w:rPr>
                        <w:t>stipulates</w:t>
                      </w:r>
                      <w:r w:rsidRPr="00383F1C">
                        <w:rPr>
                          <w:rFonts w:asciiTheme="minorHAnsi" w:hAnsiTheme="minorHAnsi" w:cstheme="minorHAnsi"/>
                          <w:color w:val="2C2D5B"/>
                          <w:sz w:val="20"/>
                          <w:szCs w:val="20"/>
                        </w:rPr>
                        <w:t xml:space="preserve"> that air or sea carriers who have transported a person who has been refused access to French territory on the grounds that his or her "</w:t>
                      </w:r>
                      <w:r w:rsidRPr="00383F1C">
                        <w:rPr>
                          <w:rFonts w:asciiTheme="minorHAnsi" w:hAnsiTheme="minorHAnsi" w:cstheme="minorHAnsi"/>
                          <w:i/>
                          <w:iCs/>
                          <w:color w:val="2C2D5B"/>
                          <w:sz w:val="20"/>
                          <w:szCs w:val="20"/>
                        </w:rPr>
                        <w:t>presence would constitute a threat to public order"</w:t>
                      </w:r>
                      <w:r w:rsidRPr="00383F1C">
                        <w:rPr>
                          <w:rFonts w:asciiTheme="minorHAnsi" w:hAnsiTheme="minorHAnsi" w:cstheme="minorHAnsi"/>
                          <w:color w:val="2C2D5B"/>
                          <w:sz w:val="20"/>
                          <w:szCs w:val="20"/>
                        </w:rPr>
                        <w:t>, or who is the subject of either a territorial ban or a deportation order , are thus "</w:t>
                      </w:r>
                      <w:r w:rsidRPr="00383F1C">
                        <w:rPr>
                          <w:rFonts w:asciiTheme="minorHAnsi" w:hAnsiTheme="minorHAnsi" w:cstheme="minorHAnsi"/>
                          <w:i/>
                          <w:iCs/>
                          <w:color w:val="2C2D5B"/>
                          <w:sz w:val="20"/>
                          <w:szCs w:val="20"/>
                        </w:rPr>
                        <w:t>required, at the request of the authorities responsible for controlling persons at the border, to return the foreigner without delay to the point where he or she began using the company's means of transport, or, if this is not possible, to the State which issued the travel document with which he or she travelled, or to any other place where he or she may be admitted</w:t>
                      </w:r>
                      <w:r w:rsidRPr="00383F1C">
                        <w:rPr>
                          <w:rFonts w:asciiTheme="minorHAnsi" w:hAnsiTheme="minorHAnsi" w:cstheme="minorHAnsi"/>
                          <w:color w:val="2C2D5B"/>
                          <w:sz w:val="20"/>
                          <w:szCs w:val="20"/>
                        </w:rPr>
                        <w:t xml:space="preserve">". The purpose of article L. 213-4 of the CESEDA was to draw the consequences, in domestic law, of the convention implementing the Schengen Agreement, signed on June 19, 1990. The Minister of the Interior had imposed two fines on Air France for failing to meet its obligation to reroute two passengers who had been refused access to French territory. </w:t>
                      </w:r>
                    </w:p>
                    <w:p w14:paraId="69099D92" w14:textId="70877F6E" w:rsidR="00133660" w:rsidRPr="00383F1C" w:rsidRDefault="00133660" w:rsidP="00E05F6E">
                      <w:pPr>
                        <w:jc w:val="both"/>
                        <w:rPr>
                          <w:rFonts w:asciiTheme="minorHAnsi" w:hAnsiTheme="minorHAnsi" w:cstheme="minorHAnsi"/>
                          <w:color w:val="2C2D5B"/>
                          <w:sz w:val="20"/>
                          <w:szCs w:val="20"/>
                        </w:rPr>
                      </w:pPr>
                      <w:r w:rsidRPr="00383F1C">
                        <w:rPr>
                          <w:rFonts w:asciiTheme="minorHAnsi" w:hAnsiTheme="minorHAnsi" w:cstheme="minorHAnsi"/>
                          <w:color w:val="2C2D5B"/>
                          <w:sz w:val="20"/>
                          <w:szCs w:val="20"/>
                        </w:rPr>
                        <w:t xml:space="preserve">Air France challenged the constitutionality of </w:t>
                      </w:r>
                      <w:r w:rsidR="00E05F6E" w:rsidRPr="00383F1C">
                        <w:rPr>
                          <w:rFonts w:asciiTheme="minorHAnsi" w:hAnsiTheme="minorHAnsi" w:cstheme="minorHAnsi"/>
                          <w:color w:val="2C2D5B"/>
                          <w:sz w:val="20"/>
                          <w:szCs w:val="20"/>
                        </w:rPr>
                        <w:t xml:space="preserve">article L 213-4. </w:t>
                      </w:r>
                    </w:p>
                    <w:p w14:paraId="0293E7FE" w14:textId="77777777" w:rsidR="00133660" w:rsidRPr="00383F1C" w:rsidRDefault="00133660" w:rsidP="00E05F6E">
                      <w:pPr>
                        <w:jc w:val="both"/>
                        <w:rPr>
                          <w:rFonts w:asciiTheme="minorHAnsi" w:hAnsiTheme="minorHAnsi" w:cstheme="minorHAnsi"/>
                          <w:color w:val="2C2D5B"/>
                          <w:sz w:val="20"/>
                          <w:szCs w:val="20"/>
                        </w:rPr>
                      </w:pPr>
                    </w:p>
                    <w:p w14:paraId="1CB8726B" w14:textId="24CCBFAA" w:rsidR="00133660" w:rsidRPr="00383F1C" w:rsidRDefault="00133660" w:rsidP="00E05F6E">
                      <w:pPr>
                        <w:jc w:val="both"/>
                        <w:rPr>
                          <w:rFonts w:asciiTheme="minorHAnsi" w:hAnsiTheme="minorHAnsi" w:cstheme="minorHAnsi"/>
                          <w:b/>
                          <w:bCs/>
                          <w:color w:val="2C2D5B"/>
                          <w:sz w:val="20"/>
                          <w:szCs w:val="20"/>
                        </w:rPr>
                      </w:pPr>
                      <w:r w:rsidRPr="00383F1C">
                        <w:rPr>
                          <w:rFonts w:asciiTheme="minorHAnsi" w:hAnsiTheme="minorHAnsi" w:cstheme="minorHAnsi"/>
                          <w:b/>
                          <w:bCs/>
                          <w:color w:val="2C2D5B"/>
                          <w:sz w:val="20"/>
                          <w:szCs w:val="20"/>
                        </w:rPr>
                        <w:t>Ruling</w:t>
                      </w:r>
                      <w:r w:rsidR="00383F1C" w:rsidRPr="00383F1C">
                        <w:rPr>
                          <w:rFonts w:asciiTheme="minorHAnsi" w:hAnsiTheme="minorHAnsi" w:cstheme="minorHAnsi"/>
                          <w:b/>
                          <w:bCs/>
                          <w:color w:val="2C2D5B"/>
                          <w:sz w:val="20"/>
                          <w:szCs w:val="20"/>
                        </w:rPr>
                        <w:t xml:space="preserve"> </w:t>
                      </w:r>
                      <w:r w:rsidRPr="00383F1C">
                        <w:rPr>
                          <w:rFonts w:asciiTheme="minorHAnsi" w:hAnsiTheme="minorHAnsi" w:cstheme="minorHAnsi"/>
                          <w:b/>
                          <w:bCs/>
                          <w:color w:val="2C2D5B"/>
                          <w:sz w:val="20"/>
                          <w:szCs w:val="20"/>
                        </w:rPr>
                        <w:t xml:space="preserve">: </w:t>
                      </w:r>
                    </w:p>
                    <w:p w14:paraId="60C4C43F" w14:textId="5DE193FA" w:rsidR="00E05F6E" w:rsidRPr="00383F1C" w:rsidRDefault="00E05F6E" w:rsidP="00327D5A">
                      <w:pPr>
                        <w:jc w:val="both"/>
                        <w:rPr>
                          <w:rFonts w:asciiTheme="minorHAnsi" w:hAnsiTheme="minorHAnsi" w:cstheme="minorHAnsi"/>
                          <w:color w:val="2C2D5B"/>
                          <w:sz w:val="20"/>
                          <w:szCs w:val="20"/>
                        </w:rPr>
                      </w:pPr>
                      <w:r w:rsidRPr="00383F1C">
                        <w:rPr>
                          <w:rFonts w:asciiTheme="minorHAnsi" w:hAnsiTheme="minorHAnsi" w:cstheme="minorHAnsi"/>
                          <w:color w:val="2C2D5B"/>
                          <w:sz w:val="20"/>
                          <w:szCs w:val="20"/>
                        </w:rPr>
                        <w:t>The Co</w:t>
                      </w:r>
                      <w:r w:rsidR="00133660" w:rsidRPr="00383F1C">
                        <w:rPr>
                          <w:rFonts w:asciiTheme="minorHAnsi" w:hAnsiTheme="minorHAnsi" w:cstheme="minorHAnsi"/>
                          <w:color w:val="2C2D5B"/>
                          <w:sz w:val="20"/>
                          <w:szCs w:val="20"/>
                        </w:rPr>
                        <w:t>nstitutional Council held that for infringements arising from EU acts – such as the Schengen Convention implementation underlying Article L.213-4 – only the EU legal system has jurisdiction to assess compliance with rights. However</w:t>
                      </w:r>
                      <w:r w:rsidRPr="00383F1C">
                        <w:rPr>
                          <w:rFonts w:asciiTheme="minorHAnsi" w:hAnsiTheme="minorHAnsi" w:cstheme="minorHAnsi"/>
                          <w:color w:val="2C2D5B"/>
                          <w:sz w:val="20"/>
                          <w:szCs w:val="20"/>
                        </w:rPr>
                        <w:t>,</w:t>
                      </w:r>
                      <w:r w:rsidR="00133660" w:rsidRPr="00383F1C">
                        <w:rPr>
                          <w:rFonts w:asciiTheme="minorHAnsi" w:hAnsiTheme="minorHAnsi" w:cstheme="minorHAnsi"/>
                          <w:color w:val="2C2D5B"/>
                          <w:sz w:val="20"/>
                          <w:szCs w:val="20"/>
                        </w:rPr>
                        <w:t xml:space="preserve"> if</w:t>
                      </w:r>
                      <w:r w:rsidRPr="00383F1C">
                        <w:rPr>
                          <w:rFonts w:asciiTheme="minorHAnsi" w:hAnsiTheme="minorHAnsi" w:cstheme="minorHAnsi"/>
                          <w:color w:val="2C2D5B"/>
                          <w:sz w:val="20"/>
                          <w:szCs w:val="20"/>
                        </w:rPr>
                        <w:t xml:space="preserve"> rules and principles inherent</w:t>
                      </w:r>
                      <w:r w:rsidR="00133660" w:rsidRPr="00383F1C">
                        <w:rPr>
                          <w:rFonts w:asciiTheme="minorHAnsi" w:hAnsiTheme="minorHAnsi" w:cstheme="minorHAnsi"/>
                          <w:color w:val="2C2D5B"/>
                          <w:sz w:val="20"/>
                          <w:szCs w:val="20"/>
                        </w:rPr>
                        <w:t xml:space="preserve"> to</w:t>
                      </w:r>
                      <w:r w:rsidRPr="00383F1C">
                        <w:rPr>
                          <w:rFonts w:asciiTheme="minorHAnsi" w:hAnsiTheme="minorHAnsi" w:cstheme="minorHAnsi"/>
                          <w:color w:val="2C2D5B"/>
                          <w:sz w:val="20"/>
                          <w:szCs w:val="20"/>
                        </w:rPr>
                        <w:t xml:space="preserve"> France's constitutional identity are at stake, </w:t>
                      </w:r>
                      <w:r w:rsidR="00133660" w:rsidRPr="00383F1C">
                        <w:rPr>
                          <w:rFonts w:asciiTheme="minorHAnsi" w:hAnsiTheme="minorHAnsi" w:cstheme="minorHAnsi"/>
                          <w:color w:val="2C2D5B"/>
                          <w:sz w:val="20"/>
                          <w:szCs w:val="20"/>
                        </w:rPr>
                        <w:t xml:space="preserve">The Constitutional Council has to </w:t>
                      </w:r>
                      <w:r w:rsidRPr="00383F1C">
                        <w:rPr>
                          <w:rFonts w:asciiTheme="minorHAnsi" w:hAnsiTheme="minorHAnsi" w:cstheme="minorHAnsi"/>
                          <w:color w:val="2C2D5B"/>
                          <w:sz w:val="20"/>
                          <w:szCs w:val="20"/>
                        </w:rPr>
                        <w:t>ensure that they are respected</w:t>
                      </w:r>
                      <w:r w:rsidR="00383F1C" w:rsidRPr="00383F1C">
                        <w:rPr>
                          <w:rFonts w:asciiTheme="minorHAnsi" w:hAnsiTheme="minorHAnsi" w:cstheme="minorHAnsi"/>
                          <w:color w:val="2C2D5B"/>
                          <w:sz w:val="20"/>
                          <w:szCs w:val="20"/>
                        </w:rPr>
                        <w:t>.</w:t>
                      </w:r>
                    </w:p>
                  </w:txbxContent>
                </v:textbox>
                <w10:wrap type="square" anchorx="margin"/>
              </v:roundrect>
            </w:pict>
          </mc:Fallback>
        </mc:AlternateContent>
      </w:r>
    </w:p>
    <w:p w14:paraId="52E9F3F9" w14:textId="77777777" w:rsidR="00200E08" w:rsidRDefault="00200E08" w:rsidP="0049009B">
      <w:pPr>
        <w:spacing w:after="120" w:line="276" w:lineRule="auto"/>
        <w:jc w:val="both"/>
        <w:rPr>
          <w:rFonts w:asciiTheme="majorHAnsi" w:hAnsiTheme="majorHAnsi" w:cstheme="majorHAnsi"/>
          <w:bCs/>
        </w:rPr>
      </w:pPr>
    </w:p>
    <w:p w14:paraId="0A80F8D9" w14:textId="15B63C2E" w:rsidR="00E45305" w:rsidRDefault="0049009B" w:rsidP="0049009B">
      <w:pPr>
        <w:spacing w:after="120" w:line="276" w:lineRule="auto"/>
        <w:jc w:val="both"/>
        <w:rPr>
          <w:rFonts w:asciiTheme="majorHAnsi" w:hAnsiTheme="majorHAnsi" w:cstheme="majorHAnsi"/>
        </w:rPr>
      </w:pPr>
      <w:r w:rsidRPr="00383F1C">
        <w:rPr>
          <w:rFonts w:asciiTheme="majorHAnsi" w:hAnsiTheme="majorHAnsi" w:cstheme="majorHAnsi"/>
          <w:bCs/>
          <w:color w:val="2C2D5B"/>
        </w:rPr>
        <w:t>In 2013, the Jeremy F. decision</w:t>
      </w:r>
      <w:r w:rsidR="00133660" w:rsidRPr="00383F1C">
        <w:rPr>
          <w:rFonts w:asciiTheme="majorHAnsi" w:hAnsiTheme="majorHAnsi" w:cstheme="majorHAnsi"/>
          <w:bCs/>
          <w:color w:val="2C2D5B"/>
        </w:rPr>
        <w:t xml:space="preserve"> marked the first instance</w:t>
      </w:r>
      <w:r w:rsidR="009702CD" w:rsidRPr="00383F1C">
        <w:rPr>
          <w:rFonts w:asciiTheme="majorHAnsi" w:hAnsiTheme="majorHAnsi" w:cstheme="majorHAnsi"/>
          <w:bCs/>
          <w:color w:val="2C2D5B"/>
        </w:rPr>
        <w:t xml:space="preserve"> </w:t>
      </w:r>
      <w:r w:rsidRPr="00383F1C">
        <w:rPr>
          <w:rFonts w:asciiTheme="majorHAnsi" w:hAnsiTheme="majorHAnsi" w:cstheme="majorHAnsi"/>
          <w:bCs/>
          <w:color w:val="2C2D5B"/>
        </w:rPr>
        <w:t xml:space="preserve">in which the Constitutional Council referred a question to </w:t>
      </w:r>
      <w:r w:rsidR="00D168AA" w:rsidRPr="00383F1C">
        <w:rPr>
          <w:rFonts w:asciiTheme="majorHAnsi" w:hAnsiTheme="majorHAnsi" w:cstheme="majorHAnsi"/>
          <w:bCs/>
          <w:color w:val="2C2D5B"/>
        </w:rPr>
        <w:t>the CJEU</w:t>
      </w:r>
      <w:r w:rsidR="00D168AA" w:rsidRPr="00383F1C">
        <w:rPr>
          <w:rFonts w:asciiTheme="majorHAnsi" w:hAnsiTheme="majorHAnsi" w:cstheme="majorHAnsi"/>
          <w:color w:val="2C2D5B"/>
        </w:rPr>
        <w:t>. This</w:t>
      </w:r>
      <w:r w:rsidRPr="00383F1C">
        <w:rPr>
          <w:rFonts w:asciiTheme="majorHAnsi" w:hAnsiTheme="majorHAnsi" w:cstheme="majorHAnsi"/>
          <w:color w:val="2C2D5B"/>
        </w:rPr>
        <w:t xml:space="preserve"> referral </w:t>
      </w:r>
      <w:r w:rsidR="00D168AA" w:rsidRPr="00383F1C">
        <w:rPr>
          <w:rFonts w:asciiTheme="majorHAnsi" w:hAnsiTheme="majorHAnsi" w:cstheme="majorHAnsi"/>
          <w:color w:val="2C2D5B"/>
        </w:rPr>
        <w:t xml:space="preserve">specifically concerned the </w:t>
      </w:r>
      <w:r w:rsidRPr="00383F1C">
        <w:rPr>
          <w:rFonts w:asciiTheme="majorHAnsi" w:hAnsiTheme="majorHAnsi" w:cstheme="majorHAnsi"/>
          <w:color w:val="2C2D5B"/>
        </w:rPr>
        <w:t xml:space="preserve">implementation of the European </w:t>
      </w:r>
      <w:r w:rsidR="00D168AA" w:rsidRPr="00383F1C">
        <w:rPr>
          <w:rFonts w:asciiTheme="majorHAnsi" w:hAnsiTheme="majorHAnsi" w:cstheme="majorHAnsi"/>
          <w:color w:val="2C2D5B"/>
        </w:rPr>
        <w:t>A</w:t>
      </w:r>
      <w:r w:rsidRPr="00383F1C">
        <w:rPr>
          <w:rFonts w:asciiTheme="majorHAnsi" w:hAnsiTheme="majorHAnsi" w:cstheme="majorHAnsi"/>
          <w:color w:val="2C2D5B"/>
        </w:rPr>
        <w:t xml:space="preserve">rrest </w:t>
      </w:r>
      <w:r w:rsidR="00D168AA" w:rsidRPr="00383F1C">
        <w:rPr>
          <w:rFonts w:asciiTheme="majorHAnsi" w:hAnsiTheme="majorHAnsi" w:cstheme="majorHAnsi"/>
          <w:color w:val="2C2D5B"/>
        </w:rPr>
        <w:t>W</w:t>
      </w:r>
      <w:r w:rsidRPr="00383F1C">
        <w:rPr>
          <w:rFonts w:asciiTheme="majorHAnsi" w:hAnsiTheme="majorHAnsi" w:cstheme="majorHAnsi"/>
          <w:color w:val="2C2D5B"/>
        </w:rPr>
        <w:t xml:space="preserve">arrant and </w:t>
      </w:r>
      <w:r w:rsidR="00D168AA" w:rsidRPr="00383F1C">
        <w:rPr>
          <w:rFonts w:asciiTheme="majorHAnsi" w:hAnsiTheme="majorHAnsi" w:cstheme="majorHAnsi"/>
          <w:color w:val="2C2D5B"/>
        </w:rPr>
        <w:t xml:space="preserve">was made </w:t>
      </w:r>
      <w:r w:rsidRPr="00383F1C">
        <w:rPr>
          <w:rFonts w:asciiTheme="majorHAnsi" w:hAnsiTheme="majorHAnsi" w:cstheme="majorHAnsi"/>
          <w:color w:val="2C2D5B"/>
        </w:rPr>
        <w:t>under Article 88-2 of the</w:t>
      </w:r>
      <w:r w:rsidR="00D168AA" w:rsidRPr="00383F1C">
        <w:rPr>
          <w:rFonts w:asciiTheme="majorHAnsi" w:hAnsiTheme="majorHAnsi" w:cstheme="majorHAnsi"/>
          <w:color w:val="2C2D5B"/>
        </w:rPr>
        <w:t xml:space="preserve"> French</w:t>
      </w:r>
      <w:r w:rsidRPr="00383F1C">
        <w:rPr>
          <w:rFonts w:asciiTheme="majorHAnsi" w:hAnsiTheme="majorHAnsi" w:cstheme="majorHAnsi"/>
          <w:color w:val="2C2D5B"/>
        </w:rPr>
        <w:t xml:space="preserve"> Constitution, which </w:t>
      </w:r>
      <w:r w:rsidR="00D168AA" w:rsidRPr="00383F1C">
        <w:rPr>
          <w:rFonts w:asciiTheme="majorHAnsi" w:hAnsiTheme="majorHAnsi" w:cstheme="majorHAnsi"/>
          <w:color w:val="2C2D5B"/>
        </w:rPr>
        <w:t>mandates</w:t>
      </w:r>
      <w:r w:rsidRPr="00383F1C">
        <w:rPr>
          <w:rFonts w:asciiTheme="majorHAnsi" w:hAnsiTheme="majorHAnsi" w:cstheme="majorHAnsi"/>
          <w:color w:val="2C2D5B"/>
        </w:rPr>
        <w:t xml:space="preserve"> that the legislat</w:t>
      </w:r>
      <w:r w:rsidR="00D168AA" w:rsidRPr="00383F1C">
        <w:rPr>
          <w:rFonts w:asciiTheme="majorHAnsi" w:hAnsiTheme="majorHAnsi" w:cstheme="majorHAnsi"/>
          <w:color w:val="2C2D5B"/>
        </w:rPr>
        <w:t>ure</w:t>
      </w:r>
      <w:r w:rsidRPr="00383F1C">
        <w:rPr>
          <w:rFonts w:asciiTheme="majorHAnsi" w:hAnsiTheme="majorHAnsi" w:cstheme="majorHAnsi"/>
          <w:color w:val="2C2D5B"/>
        </w:rPr>
        <w:t xml:space="preserve"> shall </w:t>
      </w:r>
      <w:r w:rsidR="00D168AA" w:rsidRPr="00383F1C">
        <w:rPr>
          <w:rFonts w:asciiTheme="majorHAnsi" w:hAnsiTheme="majorHAnsi" w:cstheme="majorHAnsi"/>
          <w:color w:val="2C2D5B"/>
        </w:rPr>
        <w:t>establish</w:t>
      </w:r>
      <w:r w:rsidR="00343151" w:rsidRPr="00383F1C">
        <w:rPr>
          <w:rFonts w:asciiTheme="majorHAnsi" w:hAnsiTheme="majorHAnsi" w:cstheme="majorHAnsi"/>
          <w:color w:val="2C2D5B"/>
        </w:rPr>
        <w:t xml:space="preserve"> </w:t>
      </w:r>
      <w:r w:rsidRPr="00383F1C">
        <w:rPr>
          <w:rFonts w:asciiTheme="majorHAnsi" w:hAnsiTheme="majorHAnsi" w:cstheme="majorHAnsi"/>
          <w:color w:val="2C2D5B"/>
        </w:rPr>
        <w:t xml:space="preserve">rules relating to the European </w:t>
      </w:r>
      <w:r w:rsidR="00D168AA" w:rsidRPr="00383F1C">
        <w:rPr>
          <w:rFonts w:asciiTheme="majorHAnsi" w:hAnsiTheme="majorHAnsi" w:cstheme="majorHAnsi"/>
          <w:color w:val="2C2D5B"/>
        </w:rPr>
        <w:t>A</w:t>
      </w:r>
      <w:r w:rsidRPr="00383F1C">
        <w:rPr>
          <w:rFonts w:asciiTheme="majorHAnsi" w:hAnsiTheme="majorHAnsi" w:cstheme="majorHAnsi"/>
          <w:color w:val="2C2D5B"/>
        </w:rPr>
        <w:t xml:space="preserve">rrest </w:t>
      </w:r>
      <w:r w:rsidR="00D168AA" w:rsidRPr="00383F1C">
        <w:rPr>
          <w:rFonts w:asciiTheme="majorHAnsi" w:hAnsiTheme="majorHAnsi" w:cstheme="majorHAnsi"/>
          <w:color w:val="2C2D5B"/>
        </w:rPr>
        <w:t>W</w:t>
      </w:r>
      <w:r w:rsidRPr="00383F1C">
        <w:rPr>
          <w:rFonts w:asciiTheme="majorHAnsi" w:hAnsiTheme="majorHAnsi" w:cstheme="majorHAnsi"/>
          <w:color w:val="2C2D5B"/>
        </w:rPr>
        <w:t xml:space="preserve">arrant </w:t>
      </w:r>
      <w:r w:rsidR="00D168AA" w:rsidRPr="00383F1C">
        <w:rPr>
          <w:rFonts w:asciiTheme="majorHAnsi" w:hAnsiTheme="majorHAnsi" w:cstheme="majorHAnsi"/>
          <w:color w:val="2C2D5B"/>
        </w:rPr>
        <w:t>“</w:t>
      </w:r>
      <w:r w:rsidRPr="00383F1C">
        <w:rPr>
          <w:rFonts w:asciiTheme="majorHAnsi" w:hAnsiTheme="majorHAnsi" w:cstheme="majorHAnsi"/>
          <w:i/>
          <w:iCs/>
          <w:color w:val="2C2D5B"/>
        </w:rPr>
        <w:t>in application of the acts adopted by the institutions of the European Union</w:t>
      </w:r>
      <w:r w:rsidR="00D168AA" w:rsidRPr="00383F1C">
        <w:rPr>
          <w:rFonts w:asciiTheme="majorHAnsi" w:hAnsiTheme="majorHAnsi" w:cstheme="majorHAnsi"/>
          <w:i/>
          <w:iCs/>
          <w:color w:val="2C2D5B"/>
        </w:rPr>
        <w:t>”</w:t>
      </w:r>
      <w:r w:rsidRPr="00383F1C">
        <w:rPr>
          <w:rFonts w:asciiTheme="majorHAnsi" w:hAnsiTheme="majorHAnsi" w:cstheme="majorHAnsi"/>
          <w:color w:val="2C2D5B"/>
        </w:rPr>
        <w:t xml:space="preserve">. In </w:t>
      </w:r>
      <w:r w:rsidR="00D168AA" w:rsidRPr="00383F1C">
        <w:rPr>
          <w:rFonts w:asciiTheme="majorHAnsi" w:hAnsiTheme="majorHAnsi" w:cstheme="majorHAnsi"/>
          <w:color w:val="2C2D5B"/>
        </w:rPr>
        <w:t>decision No</w:t>
      </w:r>
      <w:hyperlink r:id="rId65" w:history="1">
        <w:r w:rsidRPr="00383F1C">
          <w:rPr>
            <w:rStyle w:val="Hypertextovodkaz"/>
            <w:rFonts w:asciiTheme="majorHAnsi" w:hAnsiTheme="majorHAnsi" w:cstheme="majorHAnsi"/>
            <w:color w:val="2C2D5B"/>
          </w:rPr>
          <w:t>. 2013-314 P QPC</w:t>
        </w:r>
      </w:hyperlink>
      <w:r w:rsidR="00D168AA" w:rsidRPr="00383F1C">
        <w:rPr>
          <w:rFonts w:asciiTheme="majorHAnsi" w:hAnsiTheme="majorHAnsi" w:cstheme="majorHAnsi"/>
          <w:color w:val="2C2D5B"/>
        </w:rPr>
        <w:t>, dated</w:t>
      </w:r>
      <w:r w:rsidR="00343151" w:rsidRPr="00383F1C">
        <w:rPr>
          <w:rFonts w:asciiTheme="majorHAnsi" w:hAnsiTheme="majorHAnsi" w:cstheme="majorHAnsi"/>
          <w:color w:val="2C2D5B"/>
        </w:rPr>
        <w:t xml:space="preserve"> </w:t>
      </w:r>
      <w:r w:rsidRPr="00383F1C">
        <w:rPr>
          <w:rFonts w:asciiTheme="majorHAnsi" w:hAnsiTheme="majorHAnsi" w:cstheme="majorHAnsi"/>
          <w:color w:val="2C2D5B"/>
        </w:rPr>
        <w:t>4</w:t>
      </w:r>
      <w:r w:rsidR="00D168AA" w:rsidRPr="00383F1C">
        <w:rPr>
          <w:rFonts w:asciiTheme="majorHAnsi" w:hAnsiTheme="majorHAnsi" w:cstheme="majorHAnsi"/>
          <w:color w:val="2C2D5B"/>
        </w:rPr>
        <w:t>,</w:t>
      </w:r>
      <w:r w:rsidRPr="00383F1C">
        <w:rPr>
          <w:rFonts w:asciiTheme="majorHAnsi" w:hAnsiTheme="majorHAnsi" w:cstheme="majorHAnsi"/>
          <w:color w:val="2C2D5B"/>
        </w:rPr>
        <w:t xml:space="preserve"> April 2013, the Constitutional Council </w:t>
      </w:r>
      <w:r w:rsidR="00D168AA" w:rsidRPr="00383F1C">
        <w:rPr>
          <w:rFonts w:asciiTheme="majorHAnsi" w:hAnsiTheme="majorHAnsi" w:cstheme="majorHAnsi"/>
          <w:color w:val="2C2D5B"/>
        </w:rPr>
        <w:t xml:space="preserve">formally requested a preliminary ruling </w:t>
      </w:r>
      <w:r w:rsidRPr="00383F1C">
        <w:rPr>
          <w:rFonts w:asciiTheme="majorHAnsi" w:hAnsiTheme="majorHAnsi" w:cstheme="majorHAnsi"/>
          <w:color w:val="2C2D5B"/>
        </w:rPr>
        <w:t>referred a question t</w:t>
      </w:r>
      <w:r w:rsidR="006235FE" w:rsidRPr="00383F1C">
        <w:rPr>
          <w:rFonts w:asciiTheme="majorHAnsi" w:hAnsiTheme="majorHAnsi" w:cstheme="majorHAnsi"/>
          <w:color w:val="2C2D5B"/>
        </w:rPr>
        <w:t xml:space="preserve">o </w:t>
      </w:r>
      <w:r w:rsidR="00D168AA" w:rsidRPr="00383F1C">
        <w:rPr>
          <w:rFonts w:asciiTheme="majorHAnsi" w:hAnsiTheme="majorHAnsi" w:cstheme="majorHAnsi"/>
          <w:color w:val="2C2D5B"/>
        </w:rPr>
        <w:t xml:space="preserve">the CJEU </w:t>
      </w:r>
      <w:r w:rsidRPr="00383F1C">
        <w:rPr>
          <w:rFonts w:asciiTheme="majorHAnsi" w:hAnsiTheme="majorHAnsi" w:cstheme="majorHAnsi"/>
          <w:color w:val="2C2D5B"/>
        </w:rPr>
        <w:t>for the first time</w:t>
      </w:r>
      <w:r w:rsidR="006235FE" w:rsidRPr="00383F1C">
        <w:rPr>
          <w:rFonts w:asciiTheme="majorHAnsi" w:hAnsiTheme="majorHAnsi" w:cstheme="majorHAnsi"/>
          <w:color w:val="2C2D5B"/>
        </w:rPr>
        <w:t xml:space="preserve"> in its history. </w:t>
      </w:r>
    </w:p>
    <w:p w14:paraId="61B43DEA" w14:textId="77777777" w:rsidR="00E45305" w:rsidRDefault="00E45305" w:rsidP="00E45305">
      <w:pPr>
        <w:spacing w:after="120" w:line="276" w:lineRule="auto"/>
        <w:ind w:left="708"/>
        <w:jc w:val="both"/>
        <w:rPr>
          <w:rFonts w:asciiTheme="majorHAnsi" w:hAnsiTheme="majorHAnsi" w:cstheme="majorHAnsi"/>
          <w:color w:val="0070C0"/>
          <w:sz w:val="32"/>
          <w:szCs w:val="32"/>
        </w:rPr>
      </w:pPr>
    </w:p>
    <w:p w14:paraId="279371AB" w14:textId="77777777" w:rsidR="00200E08" w:rsidRDefault="00200E08" w:rsidP="00E45305">
      <w:pPr>
        <w:spacing w:after="120" w:line="276" w:lineRule="auto"/>
        <w:ind w:left="708"/>
        <w:jc w:val="both"/>
        <w:rPr>
          <w:rFonts w:asciiTheme="majorHAnsi" w:hAnsiTheme="majorHAnsi" w:cstheme="majorHAnsi"/>
          <w:color w:val="0070C0"/>
          <w:sz w:val="32"/>
          <w:szCs w:val="32"/>
        </w:rPr>
      </w:pPr>
    </w:p>
    <w:p w14:paraId="67C9033C" w14:textId="77777777" w:rsidR="00200E08" w:rsidRDefault="00200E08" w:rsidP="00E45305">
      <w:pPr>
        <w:spacing w:after="120" w:line="276" w:lineRule="auto"/>
        <w:ind w:left="708"/>
        <w:jc w:val="both"/>
        <w:rPr>
          <w:rFonts w:asciiTheme="majorHAnsi" w:hAnsiTheme="majorHAnsi" w:cstheme="majorHAnsi"/>
          <w:color w:val="0070C0"/>
          <w:sz w:val="32"/>
          <w:szCs w:val="32"/>
        </w:rPr>
      </w:pPr>
    </w:p>
    <w:p w14:paraId="5AF678E0" w14:textId="77777777" w:rsidR="00200E08" w:rsidRDefault="00200E08" w:rsidP="00E45305">
      <w:pPr>
        <w:spacing w:after="120" w:line="276" w:lineRule="auto"/>
        <w:ind w:left="708"/>
        <w:jc w:val="both"/>
        <w:rPr>
          <w:rFonts w:asciiTheme="majorHAnsi" w:hAnsiTheme="majorHAnsi" w:cstheme="majorHAnsi"/>
          <w:color w:val="0070C0"/>
          <w:sz w:val="32"/>
          <w:szCs w:val="32"/>
        </w:rPr>
      </w:pPr>
    </w:p>
    <w:p w14:paraId="48E4A72B" w14:textId="77777777" w:rsidR="00200E08" w:rsidRPr="00E45305" w:rsidRDefault="00200E08" w:rsidP="00E45305">
      <w:pPr>
        <w:spacing w:after="120" w:line="276" w:lineRule="auto"/>
        <w:ind w:left="708"/>
        <w:jc w:val="both"/>
        <w:rPr>
          <w:rFonts w:asciiTheme="majorHAnsi" w:hAnsiTheme="majorHAnsi" w:cstheme="majorHAnsi"/>
          <w:color w:val="0070C0"/>
          <w:sz w:val="32"/>
          <w:szCs w:val="32"/>
        </w:rPr>
      </w:pPr>
    </w:p>
    <w:p w14:paraId="2EA8E769" w14:textId="0EFADF7E" w:rsidR="00B039DE" w:rsidRPr="00200E08" w:rsidRDefault="00984606" w:rsidP="00200E08">
      <w:pPr>
        <w:ind w:left="-142" w:hanging="425"/>
        <w:jc w:val="both"/>
        <w:rPr>
          <w:rFonts w:ascii="Calibri" w:hAnsi="Calibri" w:cs="Calibri"/>
          <w:b/>
          <w:bCs/>
          <w:i/>
          <w:iCs/>
          <w:color w:val="2F5496" w:themeColor="accent1" w:themeShade="BF"/>
        </w:rPr>
      </w:pPr>
      <w:r w:rsidRPr="00383F1C">
        <w:rPr>
          <w:rFonts w:ascii="Calibri" w:hAnsi="Calibri" w:cs="Calibri"/>
          <w:b/>
          <w:bCs/>
          <w:color w:val="B6A04C"/>
          <w:sz w:val="32"/>
          <w:szCs w:val="32"/>
        </w:rPr>
        <w:t>2.</w:t>
      </w:r>
      <w:r w:rsidR="00B07E7E" w:rsidRPr="00383F1C">
        <w:rPr>
          <w:rFonts w:ascii="Calibri" w:hAnsi="Calibri" w:cs="Calibri"/>
          <w:b/>
          <w:bCs/>
          <w:color w:val="B6A04C"/>
          <w:sz w:val="32"/>
          <w:szCs w:val="32"/>
        </w:rPr>
        <w:t>2</w:t>
      </w:r>
      <w:r w:rsidRPr="00383F1C">
        <w:rPr>
          <w:rFonts w:ascii="Calibri" w:hAnsi="Calibri" w:cs="Calibri"/>
          <w:b/>
          <w:bCs/>
          <w:color w:val="B6A04C"/>
          <w:sz w:val="32"/>
          <w:szCs w:val="32"/>
        </w:rPr>
        <w:t xml:space="preserve"> </w:t>
      </w:r>
      <w:r w:rsidRPr="00200E08">
        <w:rPr>
          <w:rFonts w:ascii="Calibri" w:hAnsi="Calibri" w:cs="Calibri"/>
          <w:b/>
          <w:bCs/>
          <w:color w:val="2F5496" w:themeColor="accent1" w:themeShade="BF"/>
          <w:sz w:val="32"/>
          <w:szCs w:val="32"/>
        </w:rPr>
        <w:t xml:space="preserve">The Charter before national courts: scope, invocation and the role of </w:t>
      </w:r>
      <w:r w:rsidR="00200E08">
        <w:rPr>
          <w:rFonts w:ascii="Calibri" w:hAnsi="Calibri" w:cs="Calibri"/>
          <w:b/>
          <w:bCs/>
          <w:color w:val="2F5496" w:themeColor="accent1" w:themeShade="BF"/>
          <w:sz w:val="32"/>
          <w:szCs w:val="32"/>
        </w:rPr>
        <w:t xml:space="preserve"> </w:t>
      </w:r>
      <w:r w:rsidRPr="00200E08">
        <w:rPr>
          <w:rFonts w:ascii="Calibri" w:hAnsi="Calibri" w:cs="Calibri"/>
          <w:b/>
          <w:bCs/>
          <w:color w:val="2F5496" w:themeColor="accent1" w:themeShade="BF"/>
          <w:sz w:val="32"/>
          <w:szCs w:val="32"/>
        </w:rPr>
        <w:t xml:space="preserve">judges </w:t>
      </w:r>
    </w:p>
    <w:p w14:paraId="4CB51EF8" w14:textId="77777777" w:rsidR="00B039DE" w:rsidRPr="005A6959" w:rsidRDefault="00B039DE" w:rsidP="00B039DE">
      <w:pPr>
        <w:jc w:val="both"/>
        <w:rPr>
          <w:rFonts w:ascii="Calibri" w:hAnsi="Calibri" w:cs="Calibri"/>
          <w:b/>
          <w:bCs/>
        </w:rPr>
      </w:pPr>
    </w:p>
    <w:p w14:paraId="6289E6CF" w14:textId="77777777" w:rsidR="00383F1C" w:rsidRPr="00383F1C" w:rsidRDefault="0049009B" w:rsidP="00E45305">
      <w:pPr>
        <w:spacing w:after="120" w:line="276" w:lineRule="auto"/>
        <w:jc w:val="both"/>
        <w:rPr>
          <w:rFonts w:asciiTheme="majorHAnsi" w:hAnsiTheme="majorHAnsi" w:cstheme="majorHAnsi"/>
          <w:color w:val="2C2D5B"/>
        </w:rPr>
      </w:pPr>
      <w:r w:rsidRPr="00383F1C">
        <w:rPr>
          <w:rFonts w:asciiTheme="majorHAnsi" w:hAnsiTheme="majorHAnsi" w:cstheme="majorHAnsi"/>
          <w:color w:val="2C2D5B"/>
        </w:rPr>
        <w:t xml:space="preserve">National </w:t>
      </w:r>
      <w:r w:rsidR="00D168AA" w:rsidRPr="00383F1C">
        <w:rPr>
          <w:rFonts w:asciiTheme="majorHAnsi" w:hAnsiTheme="majorHAnsi" w:cstheme="majorHAnsi"/>
          <w:color w:val="2C2D5B"/>
        </w:rPr>
        <w:t>courts</w:t>
      </w:r>
      <w:r w:rsidRPr="00383F1C">
        <w:rPr>
          <w:rFonts w:asciiTheme="majorHAnsi" w:hAnsiTheme="majorHAnsi" w:cstheme="majorHAnsi"/>
          <w:color w:val="2C2D5B"/>
        </w:rPr>
        <w:t xml:space="preserve"> must </w:t>
      </w:r>
      <w:r w:rsidR="00D168AA" w:rsidRPr="00383F1C">
        <w:rPr>
          <w:rFonts w:asciiTheme="majorHAnsi" w:hAnsiTheme="majorHAnsi" w:cstheme="majorHAnsi"/>
          <w:color w:val="2C2D5B"/>
        </w:rPr>
        <w:t>first determine</w:t>
      </w:r>
      <w:r w:rsidR="00984606" w:rsidRPr="00383F1C">
        <w:rPr>
          <w:rFonts w:asciiTheme="majorHAnsi" w:hAnsiTheme="majorHAnsi" w:cstheme="majorHAnsi"/>
          <w:color w:val="2C2D5B"/>
        </w:rPr>
        <w:t xml:space="preserve"> </w:t>
      </w:r>
      <w:r w:rsidRPr="00383F1C">
        <w:rPr>
          <w:rFonts w:asciiTheme="majorHAnsi" w:hAnsiTheme="majorHAnsi" w:cstheme="majorHAnsi"/>
          <w:color w:val="2C2D5B"/>
        </w:rPr>
        <w:t>whether the dispute falls within the scope of EU law</w:t>
      </w:r>
      <w:r w:rsidR="00D168AA" w:rsidRPr="00383F1C">
        <w:rPr>
          <w:rFonts w:asciiTheme="majorHAnsi" w:hAnsiTheme="majorHAnsi" w:cstheme="majorHAnsi"/>
          <w:color w:val="2C2D5B"/>
        </w:rPr>
        <w:t>, referencing CJEU case law for guidance</w:t>
      </w:r>
      <w:r w:rsidRPr="00383F1C">
        <w:rPr>
          <w:rFonts w:asciiTheme="majorHAnsi" w:hAnsiTheme="majorHAnsi" w:cstheme="majorHAnsi"/>
          <w:color w:val="2C2D5B"/>
        </w:rPr>
        <w:t xml:space="preserve">. </w:t>
      </w:r>
      <w:r w:rsidR="00D168AA" w:rsidRPr="00383F1C">
        <w:rPr>
          <w:rFonts w:asciiTheme="majorHAnsi" w:hAnsiTheme="majorHAnsi" w:cstheme="majorHAnsi"/>
          <w:color w:val="2C2D5B"/>
        </w:rPr>
        <w:t>Lawyers</w:t>
      </w:r>
      <w:r w:rsidR="00984606" w:rsidRPr="00383F1C">
        <w:rPr>
          <w:rFonts w:asciiTheme="majorHAnsi" w:hAnsiTheme="majorHAnsi" w:cstheme="majorHAnsi"/>
          <w:color w:val="2C2D5B"/>
        </w:rPr>
        <w:t xml:space="preserve"> </w:t>
      </w:r>
      <w:r w:rsidRPr="00383F1C">
        <w:rPr>
          <w:rFonts w:asciiTheme="majorHAnsi" w:hAnsiTheme="majorHAnsi" w:cstheme="majorHAnsi"/>
          <w:color w:val="2C2D5B"/>
        </w:rPr>
        <w:t xml:space="preserve">must </w:t>
      </w:r>
      <w:r w:rsidR="00B017E6" w:rsidRPr="00383F1C">
        <w:rPr>
          <w:rFonts w:asciiTheme="majorHAnsi" w:hAnsiTheme="majorHAnsi" w:cstheme="majorHAnsi"/>
          <w:color w:val="2C2D5B"/>
        </w:rPr>
        <w:t xml:space="preserve">invoke </w:t>
      </w:r>
      <w:r w:rsidRPr="00383F1C">
        <w:rPr>
          <w:rFonts w:asciiTheme="majorHAnsi" w:hAnsiTheme="majorHAnsi" w:cstheme="majorHAnsi"/>
          <w:color w:val="2C2D5B"/>
        </w:rPr>
        <w:t>EU law before national court in order for it to be applied</w:t>
      </w:r>
      <w:r w:rsidR="00B017E6" w:rsidRPr="00383F1C">
        <w:rPr>
          <w:rFonts w:asciiTheme="majorHAnsi" w:hAnsiTheme="majorHAnsi" w:cstheme="majorHAnsi"/>
          <w:color w:val="2C2D5B"/>
        </w:rPr>
        <w:t xml:space="preserve">. </w:t>
      </w:r>
    </w:p>
    <w:p w14:paraId="397F5251" w14:textId="5FB9F013" w:rsidR="00E45305" w:rsidRPr="00383F1C" w:rsidRDefault="00B017E6" w:rsidP="00E45305">
      <w:pPr>
        <w:spacing w:after="120" w:line="276" w:lineRule="auto"/>
        <w:jc w:val="both"/>
        <w:rPr>
          <w:rFonts w:asciiTheme="majorHAnsi" w:hAnsiTheme="majorHAnsi" w:cstheme="majorHAnsi"/>
          <w:color w:val="2C2D5B"/>
        </w:rPr>
      </w:pPr>
      <w:r w:rsidRPr="00383F1C">
        <w:rPr>
          <w:rFonts w:asciiTheme="majorHAnsi" w:hAnsiTheme="majorHAnsi" w:cstheme="majorHAnsi"/>
          <w:color w:val="2C2D5B"/>
        </w:rPr>
        <w:t xml:space="preserve">Parties are responsible for asserting claims of </w:t>
      </w:r>
      <w:r w:rsidR="0049009B" w:rsidRPr="00383F1C">
        <w:rPr>
          <w:rFonts w:asciiTheme="majorHAnsi" w:hAnsiTheme="majorHAnsi" w:cstheme="majorHAnsi"/>
          <w:color w:val="2C2D5B"/>
        </w:rPr>
        <w:t xml:space="preserve">infringement of fundamental rights guaranteed by the Constitution, the </w:t>
      </w:r>
      <w:r w:rsidR="00415401" w:rsidRPr="00383F1C">
        <w:rPr>
          <w:rFonts w:asciiTheme="majorHAnsi" w:hAnsiTheme="majorHAnsi" w:cstheme="majorHAnsi"/>
          <w:color w:val="2C2D5B"/>
        </w:rPr>
        <w:t xml:space="preserve">ECHR </w:t>
      </w:r>
      <w:r w:rsidR="0049009B" w:rsidRPr="00383F1C">
        <w:rPr>
          <w:rFonts w:asciiTheme="majorHAnsi" w:hAnsiTheme="majorHAnsi" w:cstheme="majorHAnsi"/>
          <w:color w:val="2C2D5B"/>
        </w:rPr>
        <w:t xml:space="preserve">and the </w:t>
      </w:r>
      <w:r w:rsidRPr="00383F1C">
        <w:rPr>
          <w:rFonts w:asciiTheme="majorHAnsi" w:hAnsiTheme="majorHAnsi" w:cstheme="majorHAnsi"/>
          <w:color w:val="2C2D5B"/>
        </w:rPr>
        <w:t xml:space="preserve">EChFR. The question of whether a </w:t>
      </w:r>
      <w:r w:rsidR="0049009B" w:rsidRPr="00383F1C">
        <w:rPr>
          <w:rFonts w:asciiTheme="majorHAnsi" w:hAnsiTheme="majorHAnsi" w:cstheme="majorHAnsi"/>
          <w:color w:val="2C2D5B"/>
        </w:rPr>
        <w:t xml:space="preserve">national provision </w:t>
      </w:r>
      <w:r w:rsidRPr="00383F1C">
        <w:rPr>
          <w:rFonts w:asciiTheme="majorHAnsi" w:hAnsiTheme="majorHAnsi" w:cstheme="majorHAnsi"/>
          <w:color w:val="2C2D5B"/>
        </w:rPr>
        <w:t xml:space="preserve">is consistent </w:t>
      </w:r>
      <w:r w:rsidR="0049009B" w:rsidRPr="00383F1C">
        <w:rPr>
          <w:rFonts w:asciiTheme="majorHAnsi" w:hAnsiTheme="majorHAnsi" w:cstheme="majorHAnsi"/>
          <w:color w:val="2C2D5B"/>
        </w:rPr>
        <w:t xml:space="preserve">with the </w:t>
      </w:r>
      <w:r w:rsidRPr="00383F1C">
        <w:rPr>
          <w:rFonts w:asciiTheme="majorHAnsi" w:hAnsiTheme="majorHAnsi" w:cstheme="majorHAnsi"/>
          <w:color w:val="2C2D5B"/>
        </w:rPr>
        <w:t xml:space="preserve">EChFR </w:t>
      </w:r>
      <w:r w:rsidR="0049009B" w:rsidRPr="00383F1C">
        <w:rPr>
          <w:rFonts w:asciiTheme="majorHAnsi" w:hAnsiTheme="majorHAnsi" w:cstheme="majorHAnsi"/>
          <w:color w:val="2C2D5B"/>
        </w:rPr>
        <w:t xml:space="preserve">is not a matter of public policy </w:t>
      </w:r>
      <w:r w:rsidRPr="00383F1C">
        <w:rPr>
          <w:rFonts w:asciiTheme="majorHAnsi" w:hAnsiTheme="majorHAnsi" w:cstheme="majorHAnsi"/>
          <w:color w:val="2C2D5B"/>
        </w:rPr>
        <w:t xml:space="preserve">that judges are obligated to raise on their own initiative. However, it is noteworthy that </w:t>
      </w:r>
      <w:r w:rsidR="0049009B" w:rsidRPr="00383F1C">
        <w:rPr>
          <w:rFonts w:asciiTheme="majorHAnsi" w:hAnsiTheme="majorHAnsi" w:cstheme="majorHAnsi"/>
          <w:color w:val="2C2D5B"/>
        </w:rPr>
        <w:t xml:space="preserve">French court </w:t>
      </w:r>
      <w:r w:rsidRPr="00383F1C">
        <w:rPr>
          <w:rFonts w:asciiTheme="majorHAnsi" w:hAnsiTheme="majorHAnsi" w:cstheme="majorHAnsi"/>
          <w:color w:val="2C2D5B"/>
        </w:rPr>
        <w:t xml:space="preserve">occasionally do raise such claims </w:t>
      </w:r>
      <w:r w:rsidR="0049009B" w:rsidRPr="00383F1C">
        <w:rPr>
          <w:rFonts w:asciiTheme="majorHAnsi" w:hAnsiTheme="majorHAnsi" w:cstheme="majorHAnsi"/>
          <w:color w:val="2C2D5B"/>
        </w:rPr>
        <w:t>o</w:t>
      </w:r>
      <w:r w:rsidRPr="00383F1C">
        <w:rPr>
          <w:rFonts w:asciiTheme="majorHAnsi" w:hAnsiTheme="majorHAnsi" w:cstheme="majorHAnsi"/>
          <w:color w:val="2C2D5B"/>
        </w:rPr>
        <w:t xml:space="preserve">n their </w:t>
      </w:r>
      <w:r w:rsidR="0049009B" w:rsidRPr="00383F1C">
        <w:rPr>
          <w:rFonts w:asciiTheme="majorHAnsi" w:hAnsiTheme="majorHAnsi" w:cstheme="majorHAnsi"/>
          <w:color w:val="2C2D5B"/>
        </w:rPr>
        <w:t xml:space="preserve">own motion </w:t>
      </w:r>
      <w:r w:rsidR="005D44D7" w:rsidRPr="00383F1C">
        <w:rPr>
          <w:rFonts w:asciiTheme="majorHAnsi" w:hAnsiTheme="majorHAnsi" w:cstheme="majorHAnsi"/>
          <w:color w:val="2C2D5B"/>
        </w:rPr>
        <w:t xml:space="preserve">based </w:t>
      </w:r>
      <w:r w:rsidR="0049009B" w:rsidRPr="00383F1C">
        <w:rPr>
          <w:rFonts w:asciiTheme="majorHAnsi" w:hAnsiTheme="majorHAnsi" w:cstheme="majorHAnsi"/>
          <w:color w:val="2C2D5B"/>
        </w:rPr>
        <w:t>on EU law or the</w:t>
      </w:r>
      <w:r w:rsidR="00984606" w:rsidRPr="00383F1C">
        <w:rPr>
          <w:rFonts w:asciiTheme="majorHAnsi" w:hAnsiTheme="majorHAnsi" w:cstheme="majorHAnsi"/>
          <w:color w:val="2C2D5B"/>
        </w:rPr>
        <w:t xml:space="preserve"> </w:t>
      </w:r>
      <w:r w:rsidR="00415401" w:rsidRPr="00383F1C">
        <w:rPr>
          <w:rFonts w:asciiTheme="majorHAnsi" w:hAnsiTheme="majorHAnsi" w:cstheme="majorHAnsi"/>
          <w:color w:val="2C2D5B"/>
        </w:rPr>
        <w:t xml:space="preserve">ECHR. </w:t>
      </w:r>
    </w:p>
    <w:p w14:paraId="60760453" w14:textId="44B680DD" w:rsidR="0049009B" w:rsidRPr="00383F1C" w:rsidRDefault="0049009B" w:rsidP="0049009B">
      <w:pPr>
        <w:spacing w:after="120" w:line="276" w:lineRule="auto"/>
        <w:jc w:val="both"/>
        <w:rPr>
          <w:rFonts w:asciiTheme="majorHAnsi" w:hAnsiTheme="majorHAnsi" w:cstheme="majorHAnsi"/>
          <w:color w:val="2C2D5B"/>
        </w:rPr>
      </w:pPr>
      <w:r w:rsidRPr="00383F1C">
        <w:rPr>
          <w:rFonts w:asciiTheme="majorHAnsi" w:hAnsiTheme="majorHAnsi" w:cstheme="majorHAnsi"/>
          <w:color w:val="2C2D5B"/>
        </w:rPr>
        <w:t xml:space="preserve">In the absence of a direct recourse to the </w:t>
      </w:r>
      <w:r w:rsidR="005D44D7" w:rsidRPr="00383F1C">
        <w:rPr>
          <w:rFonts w:asciiTheme="majorHAnsi" w:hAnsiTheme="majorHAnsi" w:cstheme="majorHAnsi"/>
          <w:color w:val="2C2D5B"/>
        </w:rPr>
        <w:t xml:space="preserve">CJEU </w:t>
      </w:r>
      <w:r w:rsidRPr="00383F1C">
        <w:rPr>
          <w:rFonts w:asciiTheme="majorHAnsi" w:hAnsiTheme="majorHAnsi" w:cstheme="majorHAnsi"/>
          <w:color w:val="2C2D5B"/>
        </w:rPr>
        <w:t>equivalent to the right of individual petition (</w:t>
      </w:r>
      <w:r w:rsidR="005D44D7" w:rsidRPr="00383F1C">
        <w:rPr>
          <w:rFonts w:asciiTheme="majorHAnsi" w:hAnsiTheme="majorHAnsi" w:cstheme="majorHAnsi"/>
          <w:color w:val="2C2D5B"/>
        </w:rPr>
        <w:t>A</w:t>
      </w:r>
      <w:r w:rsidRPr="00383F1C">
        <w:rPr>
          <w:rFonts w:asciiTheme="majorHAnsi" w:hAnsiTheme="majorHAnsi" w:cstheme="majorHAnsi"/>
          <w:color w:val="2C2D5B"/>
        </w:rPr>
        <w:t>rt. 34 ECHR),  the Charter</w:t>
      </w:r>
      <w:r w:rsidR="005D44D7" w:rsidRPr="00383F1C">
        <w:rPr>
          <w:rFonts w:asciiTheme="majorHAnsi" w:hAnsiTheme="majorHAnsi" w:cstheme="majorHAnsi"/>
          <w:color w:val="2C2D5B"/>
        </w:rPr>
        <w:t>’s effectiveness</w:t>
      </w:r>
      <w:r w:rsidRPr="00383F1C">
        <w:rPr>
          <w:rFonts w:asciiTheme="majorHAnsi" w:hAnsiTheme="majorHAnsi" w:cstheme="majorHAnsi"/>
          <w:color w:val="2C2D5B"/>
        </w:rPr>
        <w:t xml:space="preserve"> </w:t>
      </w:r>
      <w:r w:rsidR="005D44D7" w:rsidRPr="00383F1C">
        <w:rPr>
          <w:rFonts w:asciiTheme="majorHAnsi" w:hAnsiTheme="majorHAnsi" w:cstheme="majorHAnsi"/>
          <w:color w:val="2C2D5B"/>
        </w:rPr>
        <w:t xml:space="preserve">depends </w:t>
      </w:r>
      <w:r w:rsidRPr="00383F1C">
        <w:rPr>
          <w:rFonts w:asciiTheme="majorHAnsi" w:hAnsiTheme="majorHAnsi" w:cstheme="majorHAnsi"/>
          <w:color w:val="2C2D5B"/>
        </w:rPr>
        <w:t>on national judge</w:t>
      </w:r>
      <w:r w:rsidR="005D44D7" w:rsidRPr="00383F1C">
        <w:rPr>
          <w:rFonts w:asciiTheme="majorHAnsi" w:hAnsiTheme="majorHAnsi" w:cstheme="majorHAnsi"/>
          <w:color w:val="2C2D5B"/>
        </w:rPr>
        <w:t>s</w:t>
      </w:r>
      <w:r w:rsidRPr="00383F1C">
        <w:rPr>
          <w:rFonts w:asciiTheme="majorHAnsi" w:hAnsiTheme="majorHAnsi" w:cstheme="majorHAnsi"/>
          <w:color w:val="2C2D5B"/>
        </w:rPr>
        <w:t xml:space="preserve"> and on  the preliminary ruling</w:t>
      </w:r>
      <w:r w:rsidR="005D44D7" w:rsidRPr="00383F1C">
        <w:rPr>
          <w:rFonts w:asciiTheme="majorHAnsi" w:hAnsiTheme="majorHAnsi" w:cstheme="majorHAnsi"/>
          <w:color w:val="2C2D5B"/>
        </w:rPr>
        <w:t xml:space="preserve"> process</w:t>
      </w:r>
      <w:r w:rsidRPr="00383F1C">
        <w:rPr>
          <w:rFonts w:asciiTheme="majorHAnsi" w:hAnsiTheme="majorHAnsi" w:cstheme="majorHAnsi"/>
          <w:color w:val="2C2D5B"/>
        </w:rPr>
        <w:t>, an instrument</w:t>
      </w:r>
      <w:r w:rsidR="005D44D7" w:rsidRPr="00383F1C">
        <w:rPr>
          <w:rFonts w:asciiTheme="majorHAnsi" w:hAnsiTheme="majorHAnsi" w:cstheme="majorHAnsi"/>
          <w:color w:val="2C2D5B"/>
        </w:rPr>
        <w:t xml:space="preserve"> fostering </w:t>
      </w:r>
      <w:r w:rsidRPr="00383F1C">
        <w:rPr>
          <w:rFonts w:asciiTheme="majorHAnsi" w:hAnsiTheme="majorHAnsi" w:cstheme="majorHAnsi"/>
          <w:color w:val="2C2D5B"/>
        </w:rPr>
        <w:t xml:space="preserve">dialogue between judges. </w:t>
      </w:r>
    </w:p>
    <w:p w14:paraId="2A90C543" w14:textId="44640B9E" w:rsidR="0049009B" w:rsidRPr="00383F1C" w:rsidRDefault="0049009B" w:rsidP="0049009B">
      <w:pPr>
        <w:spacing w:after="120" w:line="276" w:lineRule="auto"/>
        <w:jc w:val="both"/>
        <w:rPr>
          <w:rFonts w:asciiTheme="majorHAnsi" w:hAnsiTheme="majorHAnsi" w:cstheme="majorHAnsi"/>
          <w:color w:val="2C2D5B"/>
        </w:rPr>
      </w:pPr>
      <w:r w:rsidRPr="00383F1C">
        <w:rPr>
          <w:rFonts w:asciiTheme="majorHAnsi" w:hAnsiTheme="majorHAnsi" w:cstheme="majorHAnsi"/>
          <w:color w:val="2C2D5B"/>
        </w:rPr>
        <w:t xml:space="preserve">For instance, </w:t>
      </w:r>
      <w:r w:rsidR="005D44D7" w:rsidRPr="00383F1C">
        <w:rPr>
          <w:rFonts w:asciiTheme="majorHAnsi" w:hAnsiTheme="majorHAnsi" w:cstheme="majorHAnsi"/>
          <w:color w:val="2C2D5B"/>
        </w:rPr>
        <w:t xml:space="preserve">regarding </w:t>
      </w:r>
      <w:r w:rsidRPr="00383F1C">
        <w:rPr>
          <w:rFonts w:asciiTheme="majorHAnsi" w:hAnsiTheme="majorHAnsi" w:cstheme="majorHAnsi"/>
          <w:color w:val="2C2D5B"/>
        </w:rPr>
        <w:t xml:space="preserve"> the right of detainees to receive food in </w:t>
      </w:r>
      <w:r w:rsidR="005D44D7" w:rsidRPr="00383F1C">
        <w:rPr>
          <w:rFonts w:asciiTheme="majorHAnsi" w:hAnsiTheme="majorHAnsi" w:cstheme="majorHAnsi"/>
          <w:color w:val="2C2D5B"/>
        </w:rPr>
        <w:t xml:space="preserve">line </w:t>
      </w:r>
      <w:r w:rsidRPr="00383F1C">
        <w:rPr>
          <w:rFonts w:asciiTheme="majorHAnsi" w:hAnsiTheme="majorHAnsi" w:cstheme="majorHAnsi"/>
          <w:color w:val="2C2D5B"/>
        </w:rPr>
        <w:t xml:space="preserve"> with their religious beliefs, the </w:t>
      </w:r>
      <w:r w:rsidRPr="00383F1C">
        <w:rPr>
          <w:rFonts w:asciiTheme="majorHAnsi" w:hAnsiTheme="majorHAnsi" w:cstheme="majorHAnsi"/>
          <w:i/>
          <w:iCs/>
          <w:color w:val="2C2D5B"/>
        </w:rPr>
        <w:t>Conseil d’État</w:t>
      </w:r>
      <w:r w:rsidRPr="00383F1C">
        <w:rPr>
          <w:rFonts w:asciiTheme="majorHAnsi" w:hAnsiTheme="majorHAnsi" w:cstheme="majorHAnsi"/>
          <w:color w:val="2C2D5B"/>
        </w:rPr>
        <w:t xml:space="preserve"> </w:t>
      </w:r>
      <w:r w:rsidR="005D44D7" w:rsidRPr="00383F1C">
        <w:rPr>
          <w:rFonts w:asciiTheme="majorHAnsi" w:hAnsiTheme="majorHAnsi" w:cstheme="majorHAnsi"/>
          <w:color w:val="2C2D5B"/>
        </w:rPr>
        <w:t xml:space="preserve">clarified </w:t>
      </w:r>
      <w:r w:rsidR="00415401" w:rsidRPr="00383F1C">
        <w:rPr>
          <w:rFonts w:asciiTheme="majorHAnsi" w:hAnsiTheme="majorHAnsi" w:cstheme="majorHAnsi"/>
          <w:color w:val="2C2D5B"/>
        </w:rPr>
        <w:t xml:space="preserve">that </w:t>
      </w:r>
      <w:r w:rsidR="005D44D7" w:rsidRPr="00383F1C">
        <w:rPr>
          <w:rFonts w:asciiTheme="majorHAnsi" w:hAnsiTheme="majorHAnsi" w:cstheme="majorHAnsi"/>
          <w:color w:val="2C2D5B"/>
        </w:rPr>
        <w:t xml:space="preserve">a claim based on </w:t>
      </w:r>
      <w:r w:rsidRPr="00383F1C">
        <w:rPr>
          <w:rFonts w:asciiTheme="majorHAnsi" w:hAnsiTheme="majorHAnsi" w:cstheme="majorHAnsi"/>
          <w:color w:val="2C2D5B"/>
        </w:rPr>
        <w:t>Article 10 of the Charter is ineffective</w:t>
      </w:r>
      <w:r w:rsidR="005D44D7" w:rsidRPr="00383F1C">
        <w:rPr>
          <w:rFonts w:asciiTheme="majorHAnsi" w:hAnsiTheme="majorHAnsi" w:cstheme="majorHAnsi"/>
          <w:color w:val="2C2D5B"/>
        </w:rPr>
        <w:t>, as EU law is not applicable in this area</w:t>
      </w:r>
      <w:r w:rsidRPr="00383F1C">
        <w:rPr>
          <w:rFonts w:asciiTheme="majorHAnsi" w:hAnsiTheme="majorHAnsi" w:cstheme="majorHAnsi"/>
          <w:color w:val="2C2D5B"/>
        </w:rPr>
        <w:t xml:space="preserve"> since the </w:t>
      </w:r>
      <w:r w:rsidR="00984606" w:rsidRPr="00383F1C">
        <w:rPr>
          <w:rFonts w:asciiTheme="majorHAnsi" w:hAnsiTheme="majorHAnsi" w:cstheme="majorHAnsi"/>
          <w:color w:val="2C2D5B"/>
        </w:rPr>
        <w:t xml:space="preserve">Member </w:t>
      </w:r>
      <w:r w:rsidRPr="00383F1C">
        <w:rPr>
          <w:rFonts w:asciiTheme="majorHAnsi" w:hAnsiTheme="majorHAnsi" w:cstheme="majorHAnsi"/>
          <w:color w:val="2C2D5B"/>
        </w:rPr>
        <w:t>States do not implement EU law in this area (CE, 10 Feb. 2016, M.B., No. 385929).</w:t>
      </w:r>
      <w:r w:rsidR="005D44D7" w:rsidRPr="00383F1C">
        <w:rPr>
          <w:rFonts w:asciiTheme="majorHAnsi" w:hAnsiTheme="majorHAnsi" w:cstheme="majorHAnsi"/>
          <w:color w:val="2C2D5B"/>
        </w:rPr>
        <w:t xml:space="preserve"> By contrast, </w:t>
      </w:r>
      <w:r w:rsidRPr="00383F1C">
        <w:rPr>
          <w:rFonts w:asciiTheme="majorHAnsi" w:hAnsiTheme="majorHAnsi" w:cstheme="majorHAnsi"/>
          <w:color w:val="2C2D5B"/>
        </w:rPr>
        <w:t xml:space="preserve">the Court of Cassation has </w:t>
      </w:r>
      <w:r w:rsidR="00B93A55" w:rsidRPr="00383F1C">
        <w:rPr>
          <w:rFonts w:asciiTheme="majorHAnsi" w:hAnsiTheme="majorHAnsi" w:cstheme="majorHAnsi"/>
          <w:color w:val="2C2D5B"/>
        </w:rPr>
        <w:t>issued</w:t>
      </w:r>
      <w:r w:rsidRPr="00383F1C">
        <w:rPr>
          <w:rFonts w:asciiTheme="majorHAnsi" w:hAnsiTheme="majorHAnsi" w:cstheme="majorHAnsi"/>
          <w:color w:val="2C2D5B"/>
        </w:rPr>
        <w:t xml:space="preserve"> </w:t>
      </w:r>
      <w:r w:rsidR="00B93A55" w:rsidRPr="00383F1C">
        <w:rPr>
          <w:rFonts w:asciiTheme="majorHAnsi" w:hAnsiTheme="majorHAnsi" w:cstheme="majorHAnsi"/>
          <w:color w:val="2C2D5B"/>
        </w:rPr>
        <w:t>multiple</w:t>
      </w:r>
      <w:r w:rsidRPr="00383F1C">
        <w:rPr>
          <w:rFonts w:asciiTheme="majorHAnsi" w:hAnsiTheme="majorHAnsi" w:cstheme="majorHAnsi"/>
          <w:color w:val="2C2D5B"/>
        </w:rPr>
        <w:t xml:space="preserve"> judgments concerning the wearing of religious symbols in the workplace</w:t>
      </w:r>
      <w:r w:rsidR="00B93A55" w:rsidRPr="00383F1C">
        <w:rPr>
          <w:rFonts w:asciiTheme="majorHAnsi" w:hAnsiTheme="majorHAnsi" w:cstheme="majorHAnsi"/>
          <w:color w:val="2C2D5B"/>
        </w:rPr>
        <w:t>, addressing discrimination</w:t>
      </w:r>
      <w:r w:rsidRPr="00383F1C">
        <w:rPr>
          <w:rFonts w:asciiTheme="majorHAnsi" w:hAnsiTheme="majorHAnsi" w:cstheme="majorHAnsi"/>
          <w:color w:val="2C2D5B"/>
        </w:rPr>
        <w:t xml:space="preserve"> in connection</w:t>
      </w:r>
      <w:r w:rsidR="000748A3" w:rsidRPr="00383F1C">
        <w:rPr>
          <w:rFonts w:asciiTheme="majorHAnsi" w:hAnsiTheme="majorHAnsi" w:cstheme="majorHAnsi"/>
          <w:color w:val="2C2D5B"/>
        </w:rPr>
        <w:t xml:space="preserve"> with </w:t>
      </w:r>
      <w:r w:rsidRPr="00383F1C">
        <w:rPr>
          <w:rFonts w:asciiTheme="majorHAnsi" w:hAnsiTheme="majorHAnsi" w:cstheme="majorHAnsi"/>
          <w:color w:val="2C2D5B"/>
        </w:rPr>
        <w:t>Council Directive 2000/78/EC of 27 November 2000</w:t>
      </w:r>
      <w:r w:rsidR="00B93A55" w:rsidRPr="00383F1C">
        <w:rPr>
          <w:rFonts w:asciiTheme="majorHAnsi" w:hAnsiTheme="majorHAnsi" w:cstheme="majorHAnsi"/>
          <w:color w:val="2C2D5B"/>
        </w:rPr>
        <w:t>, which</w:t>
      </w:r>
      <w:r w:rsidRPr="00383F1C">
        <w:rPr>
          <w:rFonts w:asciiTheme="majorHAnsi" w:hAnsiTheme="majorHAnsi" w:cstheme="majorHAnsi"/>
          <w:color w:val="2C2D5B"/>
        </w:rPr>
        <w:t xml:space="preserve"> establish</w:t>
      </w:r>
      <w:r w:rsidR="00B93A55" w:rsidRPr="00383F1C">
        <w:rPr>
          <w:rFonts w:asciiTheme="majorHAnsi" w:hAnsiTheme="majorHAnsi" w:cstheme="majorHAnsi"/>
          <w:color w:val="2C2D5B"/>
        </w:rPr>
        <w:t>es</w:t>
      </w:r>
      <w:r w:rsidRPr="00383F1C">
        <w:rPr>
          <w:rFonts w:asciiTheme="majorHAnsi" w:hAnsiTheme="majorHAnsi" w:cstheme="majorHAnsi"/>
          <w:color w:val="2C2D5B"/>
        </w:rPr>
        <w:t xml:space="preserve"> a general framework for equal treatment in employment and occupation</w:t>
      </w:r>
      <w:r w:rsidR="00B93A55" w:rsidRPr="00383F1C">
        <w:rPr>
          <w:rFonts w:asciiTheme="majorHAnsi" w:hAnsiTheme="majorHAnsi" w:cstheme="majorHAnsi"/>
          <w:color w:val="2C2D5B"/>
        </w:rPr>
        <w:t xml:space="preserve">. </w:t>
      </w:r>
    </w:p>
    <w:p w14:paraId="2FA92A80" w14:textId="125011DE" w:rsidR="00B93A55" w:rsidRPr="00383F1C" w:rsidRDefault="00B93A55" w:rsidP="00B93A55">
      <w:pPr>
        <w:spacing w:after="120" w:line="276" w:lineRule="auto"/>
        <w:jc w:val="both"/>
        <w:rPr>
          <w:rFonts w:asciiTheme="majorHAnsi" w:hAnsiTheme="majorHAnsi" w:cstheme="majorHAnsi"/>
          <w:color w:val="2C2D5B"/>
        </w:rPr>
      </w:pPr>
      <w:r w:rsidRPr="00383F1C">
        <w:rPr>
          <w:rFonts w:asciiTheme="majorHAnsi" w:hAnsiTheme="majorHAnsi" w:cstheme="majorHAnsi"/>
          <w:color w:val="2C2D5B"/>
        </w:rPr>
        <w:t>Although the</w:t>
      </w:r>
      <w:r w:rsidR="0049009B" w:rsidRPr="00383F1C">
        <w:rPr>
          <w:rFonts w:asciiTheme="majorHAnsi" w:hAnsiTheme="majorHAnsi" w:cstheme="majorHAnsi"/>
          <w:color w:val="2C2D5B"/>
        </w:rPr>
        <w:t xml:space="preserve"> Court of Cassation has</w:t>
      </w:r>
      <w:r w:rsidRPr="00383F1C">
        <w:rPr>
          <w:rFonts w:asciiTheme="majorHAnsi" w:hAnsiTheme="majorHAnsi" w:cstheme="majorHAnsi"/>
          <w:color w:val="2C2D5B"/>
        </w:rPr>
        <w:t xml:space="preserve"> occasionally rendered</w:t>
      </w:r>
      <w:r w:rsidR="0049009B" w:rsidRPr="00383F1C">
        <w:rPr>
          <w:rFonts w:asciiTheme="majorHAnsi" w:hAnsiTheme="majorHAnsi" w:cstheme="majorHAnsi"/>
          <w:color w:val="2C2D5B"/>
        </w:rPr>
        <w:t xml:space="preserve"> decision</w:t>
      </w:r>
      <w:r w:rsidRPr="00383F1C">
        <w:rPr>
          <w:rFonts w:asciiTheme="majorHAnsi" w:hAnsiTheme="majorHAnsi" w:cstheme="majorHAnsi"/>
          <w:color w:val="2C2D5B"/>
        </w:rPr>
        <w:t>s</w:t>
      </w:r>
      <w:r w:rsidR="0049009B" w:rsidRPr="00383F1C">
        <w:rPr>
          <w:rFonts w:asciiTheme="majorHAnsi" w:hAnsiTheme="majorHAnsi" w:cstheme="majorHAnsi"/>
          <w:color w:val="2C2D5B"/>
        </w:rPr>
        <w:t xml:space="preserve"> on the basis of the Charter,</w:t>
      </w:r>
      <w:r w:rsidRPr="00383F1C">
        <w:rPr>
          <w:rFonts w:asciiTheme="majorHAnsi" w:hAnsiTheme="majorHAnsi" w:cstheme="majorHAnsi"/>
          <w:color w:val="2C2D5B"/>
        </w:rPr>
        <w:t xml:space="preserve"> such instances are </w:t>
      </w:r>
      <w:r w:rsidR="0049009B" w:rsidRPr="00383F1C">
        <w:rPr>
          <w:rFonts w:asciiTheme="majorHAnsi" w:hAnsiTheme="majorHAnsi" w:cstheme="majorHAnsi"/>
          <w:color w:val="2C2D5B"/>
        </w:rPr>
        <w:t>exceptional</w:t>
      </w:r>
      <w:r w:rsidRPr="00383F1C">
        <w:rPr>
          <w:rFonts w:asciiTheme="majorHAnsi" w:hAnsiTheme="majorHAnsi" w:cstheme="majorHAnsi"/>
          <w:color w:val="2C2D5B"/>
        </w:rPr>
        <w:t xml:space="preserve">. </w:t>
      </w:r>
    </w:p>
    <w:p w14:paraId="6C94D468" w14:textId="7A6A8862" w:rsidR="00B93A55" w:rsidRPr="00383F1C" w:rsidRDefault="00200E08" w:rsidP="00B93A55">
      <w:pPr>
        <w:spacing w:after="120" w:line="276" w:lineRule="auto"/>
        <w:jc w:val="both"/>
        <w:rPr>
          <w:rFonts w:asciiTheme="majorHAnsi" w:hAnsiTheme="majorHAnsi" w:cstheme="majorHAnsi"/>
          <w:color w:val="2C2D5B"/>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67488" behindDoc="0" locked="0" layoutInCell="1" allowOverlap="1" wp14:anchorId="6EFD40FC" wp14:editId="7C23776C">
            <wp:simplePos x="0" y="0"/>
            <wp:positionH relativeFrom="column">
              <wp:posOffset>4978400</wp:posOffset>
            </wp:positionH>
            <wp:positionV relativeFrom="paragraph">
              <wp:posOffset>185279</wp:posOffset>
            </wp:positionV>
            <wp:extent cx="713105" cy="575310"/>
            <wp:effectExtent l="0" t="0" r="0" b="0"/>
            <wp:wrapNone/>
            <wp:docPr id="1157825579"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00B93A55" w:rsidRPr="00383F1C">
        <w:rPr>
          <w:rFonts w:asciiTheme="majorHAnsi" w:eastAsiaTheme="minorHAnsi" w:hAnsiTheme="majorHAnsi" w:cstheme="majorHAnsi"/>
          <w:noProof/>
          <w:color w:val="2C2D5B"/>
          <w:lang w:val="fr-FR" w:eastAsia="fr-FR"/>
        </w:rPr>
        <mc:AlternateContent>
          <mc:Choice Requires="wps">
            <w:drawing>
              <wp:anchor distT="45720" distB="45720" distL="114300" distR="114300" simplePos="0" relativeHeight="251760640" behindDoc="0" locked="0" layoutInCell="1" allowOverlap="1" wp14:anchorId="48611605" wp14:editId="7281A93C">
                <wp:simplePos x="0" y="0"/>
                <wp:positionH relativeFrom="margin">
                  <wp:align>left</wp:align>
                </wp:positionH>
                <wp:positionV relativeFrom="paragraph">
                  <wp:posOffset>382270</wp:posOffset>
                </wp:positionV>
                <wp:extent cx="5384800" cy="1647825"/>
                <wp:effectExtent l="0" t="0" r="25400" b="28575"/>
                <wp:wrapSquare wrapText="bothSides"/>
                <wp:docPr id="1141839553" name="Zone de texte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4800" cy="1648178"/>
                        </a:xfrm>
                        <a:prstGeom prst="roundRect">
                          <a:avLst/>
                        </a:prstGeom>
                        <a:solidFill>
                          <a:schemeClr val="bg1"/>
                        </a:solidFill>
                        <a:ln w="19050">
                          <a:solidFill>
                            <a:srgbClr val="B6A04C"/>
                          </a:solidFill>
                          <a:miter lim="800000"/>
                          <a:headEnd/>
                          <a:tailEnd/>
                        </a:ln>
                      </wps:spPr>
                      <wps:txbx>
                        <w:txbxContent>
                          <w:p w14:paraId="4F968D3D" w14:textId="77777777" w:rsidR="00B93A55" w:rsidRPr="00383F1C" w:rsidRDefault="00B93A55" w:rsidP="00383F1C">
                            <w:pPr>
                              <w:jc w:val="center"/>
                              <w:rPr>
                                <w:rFonts w:asciiTheme="minorHAnsi" w:hAnsiTheme="minorHAnsi" w:cstheme="minorHAnsi"/>
                                <w:b/>
                                <w:bCs/>
                                <w:color w:val="B6A04C"/>
                                <w:sz w:val="20"/>
                                <w:szCs w:val="20"/>
                              </w:rPr>
                            </w:pPr>
                            <w:r w:rsidRPr="00383F1C">
                              <w:rPr>
                                <w:rFonts w:asciiTheme="minorHAnsi" w:hAnsiTheme="minorHAnsi" w:cstheme="minorHAnsi"/>
                                <w:b/>
                                <w:bCs/>
                                <w:color w:val="B6A04C"/>
                                <w:sz w:val="20"/>
                                <w:szCs w:val="20"/>
                              </w:rPr>
                              <w:t>Cass. Soc. Ch. soc., Jan 31, 2012, No 10-19.807</w:t>
                            </w:r>
                          </w:p>
                          <w:p w14:paraId="5DB54BAE" w14:textId="57C75CA8" w:rsidR="00B93A55" w:rsidRPr="00383F1C" w:rsidRDefault="00B93A55" w:rsidP="00B93A55">
                            <w:pPr>
                              <w:jc w:val="both"/>
                              <w:rPr>
                                <w:rFonts w:asciiTheme="minorHAnsi" w:hAnsiTheme="minorHAnsi" w:cstheme="minorHAnsi"/>
                                <w:b/>
                                <w:bCs/>
                                <w:color w:val="2C2D5B"/>
                                <w:sz w:val="20"/>
                                <w:szCs w:val="20"/>
                              </w:rPr>
                            </w:pPr>
                            <w:r w:rsidRPr="00383F1C">
                              <w:rPr>
                                <w:rFonts w:asciiTheme="minorHAnsi" w:hAnsiTheme="minorHAnsi" w:cstheme="minorHAnsi"/>
                                <w:b/>
                                <w:bCs/>
                                <w:color w:val="2C2D5B"/>
                                <w:sz w:val="20"/>
                                <w:szCs w:val="20"/>
                              </w:rPr>
                              <w:t>Facts</w:t>
                            </w:r>
                            <w:r w:rsidR="00383F1C" w:rsidRPr="00383F1C">
                              <w:rPr>
                                <w:rFonts w:asciiTheme="minorHAnsi" w:hAnsiTheme="minorHAnsi" w:cstheme="minorHAnsi"/>
                                <w:b/>
                                <w:bCs/>
                                <w:color w:val="2C2D5B"/>
                                <w:sz w:val="20"/>
                                <w:szCs w:val="20"/>
                              </w:rPr>
                              <w:t xml:space="preserve"> </w:t>
                            </w:r>
                            <w:r w:rsidRPr="00383F1C">
                              <w:rPr>
                                <w:rFonts w:asciiTheme="minorHAnsi" w:hAnsiTheme="minorHAnsi" w:cstheme="minorHAnsi"/>
                                <w:b/>
                                <w:bCs/>
                                <w:color w:val="2C2D5B"/>
                                <w:sz w:val="20"/>
                                <w:szCs w:val="20"/>
                              </w:rPr>
                              <w:t xml:space="preserve">: </w:t>
                            </w:r>
                          </w:p>
                          <w:p w14:paraId="0F2528FB" w14:textId="77777777" w:rsidR="00B93A55" w:rsidRPr="00383F1C" w:rsidRDefault="00B93A55" w:rsidP="00B93A55">
                            <w:pPr>
                              <w:jc w:val="both"/>
                              <w:rPr>
                                <w:rFonts w:asciiTheme="minorHAnsi" w:hAnsiTheme="minorHAnsi" w:cstheme="minorHAnsi"/>
                                <w:i/>
                                <w:iCs/>
                                <w:color w:val="2C2D5B"/>
                                <w:sz w:val="20"/>
                                <w:szCs w:val="20"/>
                              </w:rPr>
                            </w:pPr>
                            <w:r w:rsidRPr="00383F1C">
                              <w:rPr>
                                <w:rFonts w:asciiTheme="minorHAnsi" w:hAnsiTheme="minorHAnsi" w:cstheme="minorHAnsi"/>
                                <w:color w:val="2C2D5B"/>
                                <w:sz w:val="20"/>
                                <w:szCs w:val="20"/>
                              </w:rPr>
                              <w:t>In this case, an employee requested overtime pay, challenging the legality a fixed-term employment contract (“</w:t>
                            </w:r>
                            <w:r w:rsidRPr="00383F1C">
                              <w:rPr>
                                <w:rFonts w:asciiTheme="minorHAnsi" w:hAnsiTheme="minorHAnsi" w:cstheme="minorHAnsi"/>
                                <w:i/>
                                <w:iCs/>
                                <w:color w:val="2C2D5B"/>
                                <w:sz w:val="20"/>
                                <w:szCs w:val="20"/>
                              </w:rPr>
                              <w:t>convention de forfait jours”).</w:t>
                            </w:r>
                          </w:p>
                          <w:p w14:paraId="1FA1E5B3" w14:textId="77777777" w:rsidR="00B93A55" w:rsidRPr="00383F1C" w:rsidRDefault="00B93A55" w:rsidP="00B93A55">
                            <w:pPr>
                              <w:jc w:val="both"/>
                              <w:rPr>
                                <w:rFonts w:asciiTheme="minorHAnsi" w:hAnsiTheme="minorHAnsi" w:cstheme="minorHAnsi"/>
                                <w:i/>
                                <w:iCs/>
                                <w:color w:val="2C2D5B"/>
                                <w:sz w:val="20"/>
                                <w:szCs w:val="20"/>
                              </w:rPr>
                            </w:pPr>
                          </w:p>
                          <w:p w14:paraId="20F5C691" w14:textId="163A80A9" w:rsidR="00B93A55" w:rsidRPr="00383F1C" w:rsidRDefault="00B93A55" w:rsidP="00B93A55">
                            <w:pPr>
                              <w:jc w:val="both"/>
                              <w:rPr>
                                <w:rFonts w:asciiTheme="minorHAnsi" w:hAnsiTheme="minorHAnsi" w:cstheme="minorHAnsi"/>
                                <w:b/>
                                <w:bCs/>
                                <w:color w:val="2C2D5B"/>
                                <w:sz w:val="20"/>
                                <w:szCs w:val="20"/>
                              </w:rPr>
                            </w:pPr>
                            <w:r w:rsidRPr="00383F1C">
                              <w:rPr>
                                <w:rFonts w:asciiTheme="minorHAnsi" w:hAnsiTheme="minorHAnsi" w:cstheme="minorHAnsi"/>
                                <w:b/>
                                <w:bCs/>
                                <w:color w:val="2C2D5B"/>
                                <w:sz w:val="20"/>
                                <w:szCs w:val="20"/>
                              </w:rPr>
                              <w:t>Ruling</w:t>
                            </w:r>
                            <w:r w:rsidR="00383F1C" w:rsidRPr="00383F1C">
                              <w:rPr>
                                <w:rFonts w:asciiTheme="minorHAnsi" w:hAnsiTheme="minorHAnsi" w:cstheme="minorHAnsi"/>
                                <w:b/>
                                <w:bCs/>
                                <w:color w:val="2C2D5B"/>
                                <w:sz w:val="20"/>
                                <w:szCs w:val="20"/>
                              </w:rPr>
                              <w:t xml:space="preserve"> </w:t>
                            </w:r>
                            <w:r w:rsidRPr="00383F1C">
                              <w:rPr>
                                <w:rFonts w:asciiTheme="minorHAnsi" w:hAnsiTheme="minorHAnsi" w:cstheme="minorHAnsi"/>
                                <w:b/>
                                <w:bCs/>
                                <w:color w:val="2C2D5B"/>
                                <w:sz w:val="20"/>
                                <w:szCs w:val="20"/>
                              </w:rPr>
                              <w:t xml:space="preserve">: </w:t>
                            </w:r>
                          </w:p>
                          <w:p w14:paraId="0FCF678B" w14:textId="77777777" w:rsidR="00B93A55" w:rsidRPr="00383F1C" w:rsidRDefault="00B93A55" w:rsidP="00B07E7E">
                            <w:pPr>
                              <w:jc w:val="both"/>
                              <w:rPr>
                                <w:rFonts w:asciiTheme="minorHAnsi" w:hAnsiTheme="minorHAnsi" w:cstheme="minorHAnsi"/>
                                <w:i/>
                                <w:iCs/>
                                <w:color w:val="2C2D5B"/>
                                <w:sz w:val="20"/>
                                <w:szCs w:val="20"/>
                              </w:rPr>
                            </w:pPr>
                            <w:r w:rsidRPr="00383F1C">
                              <w:rPr>
                                <w:rFonts w:asciiTheme="minorHAnsi" w:hAnsiTheme="minorHAnsi" w:cstheme="minorHAnsi"/>
                                <w:i/>
                                <w:iCs/>
                                <w:color w:val="2C2D5B"/>
                                <w:sz w:val="20"/>
                                <w:szCs w:val="20"/>
                              </w:rPr>
                              <w:t xml:space="preserve"> </w:t>
                            </w:r>
                            <w:r w:rsidRPr="00383F1C">
                              <w:rPr>
                                <w:rFonts w:asciiTheme="minorHAnsi" w:hAnsiTheme="minorHAnsi" w:cstheme="minorHAnsi"/>
                                <w:color w:val="2C2D5B"/>
                                <w:sz w:val="20"/>
                                <w:szCs w:val="20"/>
                              </w:rPr>
                              <w:t xml:space="preserve">Invoking EU law, Article 31 of the EChFR, as well as the general principles of worker health and safety protection, the French Supreme Court upheld the employee’s claim. </w:t>
                            </w: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48611605" id="Zone de texte 53" o:spid="_x0000_s1063" style="position:absolute;left:0;text-align:left;margin-left:0;margin-top:30.1pt;width:424pt;height:129.75pt;z-index:25176064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4XrNQIAAFUEAAAOAAAAZHJzL2Uyb0RvYy54bWysVNtu2zAMfR+wfxD0vthJc6sRp0jTdRjQ&#10;rcO6fYAsy7YwWdQkJXb69aPkNE2zt2F+EERROiQPD7266VtF9sI6CTqn41FKidAcSqnrnP78cf9h&#10;SYnzTJdMgRY5PQhHb9bv3606k4kJNKBKYQmCaJd1JqeN9yZLEscb0TI3AiM0OiuwLfNo2jopLesQ&#10;vVXJJE3nSQe2NBa4cA5P7wYnXUf8qhLcP1aVE56onGJuPq42rkVYk/WKZbVlppH8mAb7hyxaJjUG&#10;PUHdMc/Izsq/oFrJLTio/IhDm0BVSS5iDVjNOL2o5qlhRsRakBxnTjS5/wfLv+6fzDdLfH8LPTYw&#10;FuHMA/BfjmjYNkzXYmMtdI1gJQYeB8qSzrjs+DRQ7TIXQIruC5TYZLbzEIH6yraBFayTIDo24HAi&#10;XfSecDycXS2nyxRdHH3j+XQ5XixjDJa9PDfW+U8CWhI2ObWw0+V3bG2MwfYPzoecWPZyL4R0oGR5&#10;L5WKRpCT2CpL9gyFUNRDFRe3lCYdpnCdztKBhjcQti5OALfzTTrdHrN8E6mVHvWsZJtTLAq/QWGB&#10;vI+6jGrzTKphjykrfWQzEDhQ6fuiJ7LM6dUiPA7sFlAekF8Lg35x3vwjLpUCTJgraShpwD5fnoV7&#10;KBX0UNKhxnPqfu+YFZSozxp7eT2eTsNQRGM6W0zQsOee4tzDNEeonHpKhu3Wx0EKBGvYYM8rGRvx&#10;mvGxNtRu7M9xzsJwnNvx1uvfYP0HAAD//wMAUEsDBBQABgAIAAAAIQAticNH3QAAAAcBAAAPAAAA&#10;ZHJzL2Rvd25yZXYueG1sTI/BTsMwEETvSPyDtUjcqNNSWjfEqaJKXLg1lAM3J9nGgXgdxW4a/p7l&#10;BMedGc28zfaz68WEY+g8aVguEhBItW86ajWc3l4eFIgQDTWm94QavjHAPr+9yUza+CsdcSpjK7iE&#10;Qmo02BiHVMpQW3QmLPyAxN7Zj85EPsdWNqO5crnr5SpJNtKZjnjBmgEPFuuv8uI0TKfjU6EOH+vS&#10;vsvP3WuhKuWU1vd3c/EMIuIc/8Lwi8/okDNT5S/UBNFr4Eeihk2yAsGuWisWKg2Py90WZJ7J//z5&#10;DwAAAP//AwBQSwECLQAUAAYACAAAACEAtoM4kv4AAADhAQAAEwAAAAAAAAAAAAAAAAAAAAAAW0Nv&#10;bnRlbnRfVHlwZXNdLnhtbFBLAQItABQABgAIAAAAIQA4/SH/1gAAAJQBAAALAAAAAAAAAAAAAAAA&#10;AC8BAABfcmVscy8ucmVsc1BLAQItABQABgAIAAAAIQDxR4XrNQIAAFUEAAAOAAAAAAAAAAAAAAAA&#10;AC4CAABkcnMvZTJvRG9jLnhtbFBLAQItABQABgAIAAAAIQAticNH3QAAAAcBAAAPAAAAAAAAAAAA&#10;AAAAAI8EAABkcnMvZG93bnJldi54bWxQSwUGAAAAAAQABADzAAAAmQUAAAAA&#10;" fillcolor="white [3212]" strokecolor="#b6a04c" strokeweight="1.5pt">
                <v:stroke joinstyle="miter"/>
                <v:textbox>
                  <w:txbxContent>
                    <w:p w14:paraId="4F968D3D" w14:textId="77777777" w:rsidR="00B93A55" w:rsidRPr="00383F1C" w:rsidRDefault="00B93A55" w:rsidP="00383F1C">
                      <w:pPr>
                        <w:jc w:val="center"/>
                        <w:rPr>
                          <w:rFonts w:asciiTheme="minorHAnsi" w:hAnsiTheme="minorHAnsi" w:cstheme="minorHAnsi"/>
                          <w:b/>
                          <w:bCs/>
                          <w:color w:val="B6A04C"/>
                          <w:sz w:val="20"/>
                          <w:szCs w:val="20"/>
                        </w:rPr>
                      </w:pPr>
                      <w:r w:rsidRPr="00383F1C">
                        <w:rPr>
                          <w:rFonts w:asciiTheme="minorHAnsi" w:hAnsiTheme="minorHAnsi" w:cstheme="minorHAnsi"/>
                          <w:b/>
                          <w:bCs/>
                          <w:color w:val="B6A04C"/>
                          <w:sz w:val="20"/>
                          <w:szCs w:val="20"/>
                        </w:rPr>
                        <w:t>Cass. Soc. Ch. soc., Jan 31, 2012, No 10-19.807</w:t>
                      </w:r>
                    </w:p>
                    <w:p w14:paraId="5DB54BAE" w14:textId="57C75CA8" w:rsidR="00B93A55" w:rsidRPr="00383F1C" w:rsidRDefault="00B93A55" w:rsidP="00B93A55">
                      <w:pPr>
                        <w:jc w:val="both"/>
                        <w:rPr>
                          <w:rFonts w:asciiTheme="minorHAnsi" w:hAnsiTheme="minorHAnsi" w:cstheme="minorHAnsi"/>
                          <w:b/>
                          <w:bCs/>
                          <w:color w:val="2C2D5B"/>
                          <w:sz w:val="20"/>
                          <w:szCs w:val="20"/>
                        </w:rPr>
                      </w:pPr>
                      <w:r w:rsidRPr="00383F1C">
                        <w:rPr>
                          <w:rFonts w:asciiTheme="minorHAnsi" w:hAnsiTheme="minorHAnsi" w:cstheme="minorHAnsi"/>
                          <w:b/>
                          <w:bCs/>
                          <w:color w:val="2C2D5B"/>
                          <w:sz w:val="20"/>
                          <w:szCs w:val="20"/>
                        </w:rPr>
                        <w:t>Facts</w:t>
                      </w:r>
                      <w:r w:rsidR="00383F1C" w:rsidRPr="00383F1C">
                        <w:rPr>
                          <w:rFonts w:asciiTheme="minorHAnsi" w:hAnsiTheme="minorHAnsi" w:cstheme="minorHAnsi"/>
                          <w:b/>
                          <w:bCs/>
                          <w:color w:val="2C2D5B"/>
                          <w:sz w:val="20"/>
                          <w:szCs w:val="20"/>
                        </w:rPr>
                        <w:t xml:space="preserve"> </w:t>
                      </w:r>
                      <w:r w:rsidRPr="00383F1C">
                        <w:rPr>
                          <w:rFonts w:asciiTheme="minorHAnsi" w:hAnsiTheme="minorHAnsi" w:cstheme="minorHAnsi"/>
                          <w:b/>
                          <w:bCs/>
                          <w:color w:val="2C2D5B"/>
                          <w:sz w:val="20"/>
                          <w:szCs w:val="20"/>
                        </w:rPr>
                        <w:t xml:space="preserve">: </w:t>
                      </w:r>
                    </w:p>
                    <w:p w14:paraId="0F2528FB" w14:textId="77777777" w:rsidR="00B93A55" w:rsidRPr="00383F1C" w:rsidRDefault="00B93A55" w:rsidP="00B93A55">
                      <w:pPr>
                        <w:jc w:val="both"/>
                        <w:rPr>
                          <w:rFonts w:asciiTheme="minorHAnsi" w:hAnsiTheme="minorHAnsi" w:cstheme="minorHAnsi"/>
                          <w:i/>
                          <w:iCs/>
                          <w:color w:val="2C2D5B"/>
                          <w:sz w:val="20"/>
                          <w:szCs w:val="20"/>
                        </w:rPr>
                      </w:pPr>
                      <w:r w:rsidRPr="00383F1C">
                        <w:rPr>
                          <w:rFonts w:asciiTheme="minorHAnsi" w:hAnsiTheme="minorHAnsi" w:cstheme="minorHAnsi"/>
                          <w:color w:val="2C2D5B"/>
                          <w:sz w:val="20"/>
                          <w:szCs w:val="20"/>
                        </w:rPr>
                        <w:t>In this case, an employee requested overtime pay, challenging the legality a fixed-term employment contract (“</w:t>
                      </w:r>
                      <w:r w:rsidRPr="00383F1C">
                        <w:rPr>
                          <w:rFonts w:asciiTheme="minorHAnsi" w:hAnsiTheme="minorHAnsi" w:cstheme="minorHAnsi"/>
                          <w:i/>
                          <w:iCs/>
                          <w:color w:val="2C2D5B"/>
                          <w:sz w:val="20"/>
                          <w:szCs w:val="20"/>
                        </w:rPr>
                        <w:t xml:space="preserve">convention de </w:t>
                      </w:r>
                      <w:proofErr w:type="spellStart"/>
                      <w:r w:rsidRPr="00383F1C">
                        <w:rPr>
                          <w:rFonts w:asciiTheme="minorHAnsi" w:hAnsiTheme="minorHAnsi" w:cstheme="minorHAnsi"/>
                          <w:i/>
                          <w:iCs/>
                          <w:color w:val="2C2D5B"/>
                          <w:sz w:val="20"/>
                          <w:szCs w:val="20"/>
                        </w:rPr>
                        <w:t>forfait</w:t>
                      </w:r>
                      <w:proofErr w:type="spellEnd"/>
                      <w:r w:rsidRPr="00383F1C">
                        <w:rPr>
                          <w:rFonts w:asciiTheme="minorHAnsi" w:hAnsiTheme="minorHAnsi" w:cstheme="minorHAnsi"/>
                          <w:i/>
                          <w:iCs/>
                          <w:color w:val="2C2D5B"/>
                          <w:sz w:val="20"/>
                          <w:szCs w:val="20"/>
                        </w:rPr>
                        <w:t xml:space="preserve"> </w:t>
                      </w:r>
                      <w:proofErr w:type="spellStart"/>
                      <w:r w:rsidRPr="00383F1C">
                        <w:rPr>
                          <w:rFonts w:asciiTheme="minorHAnsi" w:hAnsiTheme="minorHAnsi" w:cstheme="minorHAnsi"/>
                          <w:i/>
                          <w:iCs/>
                          <w:color w:val="2C2D5B"/>
                          <w:sz w:val="20"/>
                          <w:szCs w:val="20"/>
                        </w:rPr>
                        <w:t>jours</w:t>
                      </w:r>
                      <w:proofErr w:type="spellEnd"/>
                      <w:r w:rsidRPr="00383F1C">
                        <w:rPr>
                          <w:rFonts w:asciiTheme="minorHAnsi" w:hAnsiTheme="minorHAnsi" w:cstheme="minorHAnsi"/>
                          <w:i/>
                          <w:iCs/>
                          <w:color w:val="2C2D5B"/>
                          <w:sz w:val="20"/>
                          <w:szCs w:val="20"/>
                        </w:rPr>
                        <w:t>”).</w:t>
                      </w:r>
                    </w:p>
                    <w:p w14:paraId="1FA1E5B3" w14:textId="77777777" w:rsidR="00B93A55" w:rsidRPr="00383F1C" w:rsidRDefault="00B93A55" w:rsidP="00B93A55">
                      <w:pPr>
                        <w:jc w:val="both"/>
                        <w:rPr>
                          <w:rFonts w:asciiTheme="minorHAnsi" w:hAnsiTheme="minorHAnsi" w:cstheme="minorHAnsi"/>
                          <w:i/>
                          <w:iCs/>
                          <w:color w:val="2C2D5B"/>
                          <w:sz w:val="20"/>
                          <w:szCs w:val="20"/>
                        </w:rPr>
                      </w:pPr>
                    </w:p>
                    <w:p w14:paraId="20F5C691" w14:textId="163A80A9" w:rsidR="00B93A55" w:rsidRPr="00383F1C" w:rsidRDefault="00B93A55" w:rsidP="00B93A55">
                      <w:pPr>
                        <w:jc w:val="both"/>
                        <w:rPr>
                          <w:rFonts w:asciiTheme="minorHAnsi" w:hAnsiTheme="minorHAnsi" w:cstheme="minorHAnsi"/>
                          <w:b/>
                          <w:bCs/>
                          <w:color w:val="2C2D5B"/>
                          <w:sz w:val="20"/>
                          <w:szCs w:val="20"/>
                        </w:rPr>
                      </w:pPr>
                      <w:r w:rsidRPr="00383F1C">
                        <w:rPr>
                          <w:rFonts w:asciiTheme="minorHAnsi" w:hAnsiTheme="minorHAnsi" w:cstheme="minorHAnsi"/>
                          <w:b/>
                          <w:bCs/>
                          <w:color w:val="2C2D5B"/>
                          <w:sz w:val="20"/>
                          <w:szCs w:val="20"/>
                        </w:rPr>
                        <w:t>Ruling</w:t>
                      </w:r>
                      <w:r w:rsidR="00383F1C" w:rsidRPr="00383F1C">
                        <w:rPr>
                          <w:rFonts w:asciiTheme="minorHAnsi" w:hAnsiTheme="minorHAnsi" w:cstheme="minorHAnsi"/>
                          <w:b/>
                          <w:bCs/>
                          <w:color w:val="2C2D5B"/>
                          <w:sz w:val="20"/>
                          <w:szCs w:val="20"/>
                        </w:rPr>
                        <w:t xml:space="preserve"> </w:t>
                      </w:r>
                      <w:r w:rsidRPr="00383F1C">
                        <w:rPr>
                          <w:rFonts w:asciiTheme="minorHAnsi" w:hAnsiTheme="minorHAnsi" w:cstheme="minorHAnsi"/>
                          <w:b/>
                          <w:bCs/>
                          <w:color w:val="2C2D5B"/>
                          <w:sz w:val="20"/>
                          <w:szCs w:val="20"/>
                        </w:rPr>
                        <w:t xml:space="preserve">: </w:t>
                      </w:r>
                    </w:p>
                    <w:p w14:paraId="0FCF678B" w14:textId="77777777" w:rsidR="00B93A55" w:rsidRPr="00383F1C" w:rsidRDefault="00B93A55" w:rsidP="00B07E7E">
                      <w:pPr>
                        <w:jc w:val="both"/>
                        <w:rPr>
                          <w:rFonts w:asciiTheme="minorHAnsi" w:hAnsiTheme="minorHAnsi" w:cstheme="minorHAnsi"/>
                          <w:i/>
                          <w:iCs/>
                          <w:color w:val="2C2D5B"/>
                          <w:sz w:val="20"/>
                          <w:szCs w:val="20"/>
                        </w:rPr>
                      </w:pPr>
                      <w:r w:rsidRPr="00383F1C">
                        <w:rPr>
                          <w:rFonts w:asciiTheme="minorHAnsi" w:hAnsiTheme="minorHAnsi" w:cstheme="minorHAnsi"/>
                          <w:i/>
                          <w:iCs/>
                          <w:color w:val="2C2D5B"/>
                          <w:sz w:val="20"/>
                          <w:szCs w:val="20"/>
                        </w:rPr>
                        <w:t xml:space="preserve"> </w:t>
                      </w:r>
                      <w:r w:rsidRPr="00383F1C">
                        <w:rPr>
                          <w:rFonts w:asciiTheme="minorHAnsi" w:hAnsiTheme="minorHAnsi" w:cstheme="minorHAnsi"/>
                          <w:color w:val="2C2D5B"/>
                          <w:sz w:val="20"/>
                          <w:szCs w:val="20"/>
                        </w:rPr>
                        <w:t xml:space="preserve">Invoking EU law, Article 31 of the EChFR, as well as the general principles of worker health and safety protection, the French Supreme Court upheld the employee’s claim. </w:t>
                      </w:r>
                    </w:p>
                  </w:txbxContent>
                </v:textbox>
                <w10:wrap type="square" anchorx="margin"/>
              </v:roundrect>
            </w:pict>
          </mc:Fallback>
        </mc:AlternateContent>
      </w:r>
      <w:r w:rsidR="00B93A55" w:rsidRPr="00383F1C">
        <w:rPr>
          <w:rFonts w:asciiTheme="majorHAnsi" w:hAnsiTheme="majorHAnsi" w:cstheme="majorHAnsi"/>
          <w:color w:val="2C2D5B"/>
        </w:rPr>
        <w:t xml:space="preserve">Notable examples may be found in </w:t>
      </w:r>
      <w:r w:rsidR="00B93A55" w:rsidRPr="00383F1C">
        <w:rPr>
          <w:rFonts w:asciiTheme="majorHAnsi" w:hAnsiTheme="majorHAnsi" w:cstheme="majorHAnsi"/>
          <w:b/>
          <w:bCs/>
          <w:color w:val="2C2D5B"/>
        </w:rPr>
        <w:t>labour law</w:t>
      </w:r>
      <w:r w:rsidR="00383F1C" w:rsidRPr="00383F1C">
        <w:rPr>
          <w:rFonts w:asciiTheme="majorHAnsi" w:hAnsiTheme="majorHAnsi" w:cstheme="majorHAnsi"/>
          <w:b/>
          <w:bCs/>
          <w:color w:val="2C2D5B"/>
        </w:rPr>
        <w:t xml:space="preserve"> </w:t>
      </w:r>
      <w:r w:rsidR="00B93A55" w:rsidRPr="00383F1C">
        <w:rPr>
          <w:rFonts w:asciiTheme="majorHAnsi" w:hAnsiTheme="majorHAnsi" w:cstheme="majorHAnsi"/>
          <w:color w:val="2C2D5B"/>
        </w:rPr>
        <w:t xml:space="preserve">: </w:t>
      </w:r>
    </w:p>
    <w:p w14:paraId="7DE09BDC" w14:textId="717A4308" w:rsidR="00B93A55" w:rsidRPr="005A6959" w:rsidRDefault="00B93A55" w:rsidP="00B93A55">
      <w:pPr>
        <w:spacing w:after="120" w:line="276" w:lineRule="auto"/>
        <w:jc w:val="both"/>
        <w:rPr>
          <w:rFonts w:ascii="Calibri" w:hAnsi="Calibri" w:cs="Calibri"/>
        </w:rPr>
      </w:pPr>
    </w:p>
    <w:p w14:paraId="1AB0E3C9" w14:textId="77777777" w:rsidR="006232DA" w:rsidRDefault="006232DA" w:rsidP="0049009B">
      <w:pPr>
        <w:spacing w:after="120" w:line="276" w:lineRule="auto"/>
        <w:jc w:val="both"/>
        <w:rPr>
          <w:rFonts w:ascii="Calibri" w:hAnsi="Calibri" w:cs="Calibri"/>
        </w:rPr>
      </w:pPr>
    </w:p>
    <w:p w14:paraId="3EAF71AC" w14:textId="77777777" w:rsidR="006232DA" w:rsidRDefault="006232DA" w:rsidP="0049009B">
      <w:pPr>
        <w:spacing w:after="120" w:line="276" w:lineRule="auto"/>
        <w:jc w:val="both"/>
        <w:rPr>
          <w:rFonts w:ascii="Calibri" w:hAnsi="Calibri" w:cs="Calibri"/>
        </w:rPr>
      </w:pPr>
    </w:p>
    <w:p w14:paraId="42DCE601" w14:textId="4BE6B092" w:rsidR="006232DA" w:rsidRDefault="006232DA" w:rsidP="0049009B">
      <w:pPr>
        <w:spacing w:after="120" w:line="276" w:lineRule="auto"/>
        <w:jc w:val="both"/>
        <w:rPr>
          <w:rFonts w:ascii="Calibri" w:hAnsi="Calibri" w:cs="Calibri"/>
        </w:rPr>
      </w:pPr>
    </w:p>
    <w:p w14:paraId="7AC0C6FF" w14:textId="6C10BD75" w:rsidR="00ED05AB" w:rsidRDefault="00200E08" w:rsidP="0049009B">
      <w:pPr>
        <w:spacing w:after="120" w:line="276" w:lineRule="auto"/>
        <w:jc w:val="both"/>
        <w:rPr>
          <w:rFonts w:ascii="Calibri" w:hAnsi="Calibri" w:cs="Calibri"/>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69536" behindDoc="0" locked="0" layoutInCell="1" allowOverlap="1" wp14:anchorId="4C922A20" wp14:editId="25EC9FB4">
            <wp:simplePos x="0" y="0"/>
            <wp:positionH relativeFrom="column">
              <wp:posOffset>4678045</wp:posOffset>
            </wp:positionH>
            <wp:positionV relativeFrom="paragraph">
              <wp:posOffset>213854</wp:posOffset>
            </wp:positionV>
            <wp:extent cx="713105" cy="575310"/>
            <wp:effectExtent l="0" t="0" r="0" b="0"/>
            <wp:wrapNone/>
            <wp:docPr id="1313252760"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Pr="008E22D3">
        <w:rPr>
          <w:rFonts w:asciiTheme="majorHAnsi" w:eastAsiaTheme="minorHAnsi" w:hAnsiTheme="majorHAnsi" w:cstheme="majorHAnsi"/>
          <w:noProof/>
          <w:color w:val="2C2D5B"/>
          <w:lang w:val="fr-FR" w:eastAsia="fr-FR"/>
        </w:rPr>
        <mc:AlternateContent>
          <mc:Choice Requires="wps">
            <w:drawing>
              <wp:anchor distT="45720" distB="45720" distL="114300" distR="114300" simplePos="0" relativeHeight="251762688" behindDoc="0" locked="0" layoutInCell="1" allowOverlap="1" wp14:anchorId="27BC709C" wp14:editId="3D4F4603">
                <wp:simplePos x="0" y="0"/>
                <wp:positionH relativeFrom="margin">
                  <wp:posOffset>3175</wp:posOffset>
                </wp:positionH>
                <wp:positionV relativeFrom="paragraph">
                  <wp:posOffset>363079</wp:posOffset>
                </wp:positionV>
                <wp:extent cx="5391150" cy="7337425"/>
                <wp:effectExtent l="0" t="0" r="19050" b="15875"/>
                <wp:wrapSquare wrapText="bothSides"/>
                <wp:docPr id="392813827" name="Zone de texte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0" cy="7337425"/>
                        </a:xfrm>
                        <a:prstGeom prst="roundRect">
                          <a:avLst/>
                        </a:prstGeom>
                        <a:solidFill>
                          <a:schemeClr val="bg1"/>
                        </a:solidFill>
                        <a:ln w="19050">
                          <a:solidFill>
                            <a:srgbClr val="B6A04C"/>
                          </a:solidFill>
                          <a:miter lim="800000"/>
                          <a:headEnd/>
                          <a:tailEnd/>
                        </a:ln>
                      </wps:spPr>
                      <wps:txbx>
                        <w:txbxContent>
                          <w:p w14:paraId="0338E5F2" w14:textId="77777777" w:rsidR="00B93A55" w:rsidRPr="008E22D3" w:rsidRDefault="00B93A55" w:rsidP="008E22D3">
                            <w:pPr>
                              <w:jc w:val="center"/>
                              <w:rPr>
                                <w:rFonts w:asciiTheme="minorHAnsi" w:hAnsiTheme="minorHAnsi" w:cstheme="minorHAnsi"/>
                                <w:b/>
                                <w:bCs/>
                                <w:color w:val="B6A04C"/>
                                <w:sz w:val="20"/>
                                <w:szCs w:val="20"/>
                                <w:lang w:val="en-US"/>
                              </w:rPr>
                            </w:pPr>
                            <w:r w:rsidRPr="008E22D3">
                              <w:rPr>
                                <w:rFonts w:asciiTheme="minorHAnsi" w:hAnsiTheme="minorHAnsi" w:cstheme="minorHAnsi"/>
                                <w:b/>
                                <w:bCs/>
                                <w:color w:val="B6A04C"/>
                                <w:sz w:val="20"/>
                                <w:szCs w:val="20"/>
                                <w:lang w:val="en-US"/>
                              </w:rPr>
                              <w:t>Cass. Soc. 13/09/2023, n°22.17340, 22-17341 and 22-17342</w:t>
                            </w:r>
                          </w:p>
                          <w:p w14:paraId="38DA1D27" w14:textId="77777777" w:rsidR="00B93A55" w:rsidRDefault="00B93A55" w:rsidP="00B93A55">
                            <w:pPr>
                              <w:jc w:val="right"/>
                              <w:rPr>
                                <w:rFonts w:asciiTheme="minorHAnsi" w:hAnsiTheme="minorHAnsi" w:cstheme="minorHAnsi"/>
                                <w:b/>
                                <w:bCs/>
                                <w:sz w:val="20"/>
                                <w:szCs w:val="20"/>
                                <w:lang w:val="en-US"/>
                              </w:rPr>
                            </w:pPr>
                          </w:p>
                          <w:p w14:paraId="229D2967" w14:textId="3C7A2CF6" w:rsidR="00B93A55" w:rsidRPr="00200E08" w:rsidRDefault="00B93A55" w:rsidP="00B93A55">
                            <w:pPr>
                              <w:jc w:val="both"/>
                              <w:rPr>
                                <w:rFonts w:asciiTheme="minorHAnsi" w:hAnsiTheme="minorHAnsi" w:cstheme="minorHAnsi"/>
                                <w:b/>
                                <w:bCs/>
                                <w:color w:val="2C2D5B"/>
                                <w:sz w:val="19"/>
                                <w:szCs w:val="19"/>
                                <w:lang w:val="en-US"/>
                              </w:rPr>
                            </w:pPr>
                            <w:r w:rsidRPr="00200E08">
                              <w:rPr>
                                <w:rFonts w:asciiTheme="minorHAnsi" w:hAnsiTheme="minorHAnsi" w:cstheme="minorHAnsi"/>
                                <w:b/>
                                <w:bCs/>
                                <w:color w:val="2C2D5B"/>
                                <w:sz w:val="19"/>
                                <w:szCs w:val="19"/>
                                <w:lang w:val="en-US"/>
                              </w:rPr>
                              <w:t>Facts</w:t>
                            </w:r>
                            <w:r w:rsidR="008E22D3" w:rsidRPr="00200E08">
                              <w:rPr>
                                <w:rFonts w:asciiTheme="minorHAnsi" w:hAnsiTheme="minorHAnsi" w:cstheme="minorHAnsi"/>
                                <w:b/>
                                <w:bCs/>
                                <w:color w:val="2C2D5B"/>
                                <w:sz w:val="19"/>
                                <w:szCs w:val="19"/>
                                <w:lang w:val="en-US"/>
                              </w:rPr>
                              <w:t xml:space="preserve"> </w:t>
                            </w:r>
                            <w:r w:rsidRPr="00200E08">
                              <w:rPr>
                                <w:rFonts w:asciiTheme="minorHAnsi" w:hAnsiTheme="minorHAnsi" w:cstheme="minorHAnsi"/>
                                <w:b/>
                                <w:bCs/>
                                <w:color w:val="2C2D5B"/>
                                <w:sz w:val="19"/>
                                <w:szCs w:val="19"/>
                                <w:lang w:val="en-US"/>
                              </w:rPr>
                              <w:t xml:space="preserve">: </w:t>
                            </w:r>
                          </w:p>
                          <w:p w14:paraId="024A22CC" w14:textId="77777777" w:rsidR="00B93A55" w:rsidRPr="00200E08" w:rsidRDefault="00B93A55" w:rsidP="00B93A55">
                            <w:pPr>
                              <w:jc w:val="both"/>
                              <w:rPr>
                                <w:rFonts w:asciiTheme="minorHAnsi" w:hAnsiTheme="minorHAnsi" w:cstheme="minorHAnsi"/>
                                <w:color w:val="2C2D5B"/>
                                <w:sz w:val="19"/>
                                <w:szCs w:val="19"/>
                                <w:lang w:val="en-US"/>
                              </w:rPr>
                            </w:pPr>
                            <w:r w:rsidRPr="00200E08">
                              <w:rPr>
                                <w:rFonts w:asciiTheme="minorHAnsi" w:hAnsiTheme="minorHAnsi" w:cstheme="minorHAnsi"/>
                                <w:color w:val="2C2D5B"/>
                                <w:sz w:val="19"/>
                                <w:szCs w:val="19"/>
                                <w:lang w:val="en-US"/>
                              </w:rPr>
                              <w:t xml:space="preserve">In this case, an employee sought vacation pay for the period spent on sick leave, despite French law at the time containing no provision for such an entitlement. </w:t>
                            </w:r>
                          </w:p>
                          <w:p w14:paraId="71259F6F" w14:textId="77777777" w:rsidR="00B93A55" w:rsidRPr="00200E08" w:rsidRDefault="00B93A55" w:rsidP="00B93A55">
                            <w:pPr>
                              <w:jc w:val="both"/>
                              <w:rPr>
                                <w:rFonts w:asciiTheme="minorHAnsi" w:hAnsiTheme="minorHAnsi" w:cstheme="minorHAnsi"/>
                                <w:color w:val="2C2D5B"/>
                                <w:sz w:val="10"/>
                                <w:szCs w:val="10"/>
                                <w:lang w:val="en-US"/>
                              </w:rPr>
                            </w:pPr>
                          </w:p>
                          <w:p w14:paraId="4B624F6D" w14:textId="361BA532" w:rsidR="00B93A55" w:rsidRPr="00200E08" w:rsidRDefault="00B93A55" w:rsidP="00B93A55">
                            <w:pPr>
                              <w:jc w:val="both"/>
                              <w:rPr>
                                <w:rFonts w:asciiTheme="minorHAnsi" w:hAnsiTheme="minorHAnsi" w:cstheme="minorHAnsi"/>
                                <w:b/>
                                <w:bCs/>
                                <w:color w:val="2C2D5B"/>
                                <w:sz w:val="19"/>
                                <w:szCs w:val="19"/>
                                <w:lang w:val="en-US"/>
                              </w:rPr>
                            </w:pPr>
                            <w:r w:rsidRPr="00200E08">
                              <w:rPr>
                                <w:rFonts w:asciiTheme="minorHAnsi" w:hAnsiTheme="minorHAnsi" w:cstheme="minorHAnsi"/>
                                <w:b/>
                                <w:bCs/>
                                <w:color w:val="2C2D5B"/>
                                <w:sz w:val="19"/>
                                <w:szCs w:val="19"/>
                                <w:lang w:val="en-US"/>
                              </w:rPr>
                              <w:t>Ruling</w:t>
                            </w:r>
                            <w:r w:rsidR="008E22D3" w:rsidRPr="00200E08">
                              <w:rPr>
                                <w:rFonts w:asciiTheme="minorHAnsi" w:hAnsiTheme="minorHAnsi" w:cstheme="minorHAnsi"/>
                                <w:b/>
                                <w:bCs/>
                                <w:color w:val="2C2D5B"/>
                                <w:sz w:val="19"/>
                                <w:szCs w:val="19"/>
                                <w:lang w:val="en-US"/>
                              </w:rPr>
                              <w:t xml:space="preserve"> </w:t>
                            </w:r>
                            <w:r w:rsidRPr="00200E08">
                              <w:rPr>
                                <w:rFonts w:asciiTheme="minorHAnsi" w:hAnsiTheme="minorHAnsi" w:cstheme="minorHAnsi"/>
                                <w:b/>
                                <w:bCs/>
                                <w:color w:val="2C2D5B"/>
                                <w:sz w:val="19"/>
                                <w:szCs w:val="19"/>
                                <w:lang w:val="en-US"/>
                              </w:rPr>
                              <w:t xml:space="preserve">: </w:t>
                            </w:r>
                          </w:p>
                          <w:p w14:paraId="158DDAF2" w14:textId="1F5F6B22" w:rsidR="00B93A55" w:rsidRPr="00200E08" w:rsidRDefault="00B93A55" w:rsidP="00B93A55">
                            <w:pPr>
                              <w:jc w:val="both"/>
                              <w:rPr>
                                <w:rFonts w:asciiTheme="minorHAnsi" w:hAnsiTheme="minorHAnsi" w:cstheme="minorHAnsi"/>
                                <w:color w:val="2C2D5B"/>
                                <w:sz w:val="19"/>
                                <w:szCs w:val="19"/>
                                <w:lang w:val="en-US"/>
                              </w:rPr>
                            </w:pPr>
                            <w:r w:rsidRPr="00200E08">
                              <w:rPr>
                                <w:rFonts w:asciiTheme="minorHAnsi" w:hAnsiTheme="minorHAnsi" w:cstheme="minorHAnsi"/>
                                <w:color w:val="2C2D5B"/>
                                <w:sz w:val="19"/>
                                <w:szCs w:val="19"/>
                                <w:lang w:val="en-US"/>
                              </w:rPr>
                              <w:t>The Court of Cassation ruled that workers on sick leave retain the right to paid annual leave, referencing Directive 2003/88/EC and Article 31(2</w:t>
                            </w:r>
                            <w:r w:rsidR="000748A3" w:rsidRPr="00200E08">
                              <w:rPr>
                                <w:rFonts w:asciiTheme="minorHAnsi" w:hAnsiTheme="minorHAnsi" w:cstheme="minorHAnsi"/>
                                <w:color w:val="2C2D5B"/>
                                <w:sz w:val="19"/>
                                <w:szCs w:val="19"/>
                                <w:lang w:val="en-US"/>
                              </w:rPr>
                              <w:t>)</w:t>
                            </w:r>
                            <w:r w:rsidRPr="00200E08">
                              <w:rPr>
                                <w:rFonts w:asciiTheme="minorHAnsi" w:hAnsiTheme="minorHAnsi" w:cstheme="minorHAnsi"/>
                                <w:color w:val="2C2D5B"/>
                                <w:sz w:val="19"/>
                                <w:szCs w:val="19"/>
                                <w:lang w:val="en-US"/>
                              </w:rPr>
                              <w:t xml:space="preserve"> EChFR. It held that national legislation conflicting with these provisions must be disapplied. </w:t>
                            </w:r>
                          </w:p>
                          <w:p w14:paraId="7E15414A" w14:textId="77777777" w:rsidR="00B93A55" w:rsidRPr="00200E08" w:rsidRDefault="00B93A55" w:rsidP="00B93A55">
                            <w:pPr>
                              <w:jc w:val="both"/>
                              <w:rPr>
                                <w:rFonts w:asciiTheme="minorHAnsi" w:hAnsiTheme="minorHAnsi" w:cstheme="minorHAnsi"/>
                                <w:color w:val="2C2D5B"/>
                                <w:sz w:val="10"/>
                                <w:szCs w:val="10"/>
                                <w:lang w:val="en-US"/>
                              </w:rPr>
                            </w:pPr>
                          </w:p>
                          <w:p w14:paraId="1076A9C0" w14:textId="77777777" w:rsidR="00B93A55" w:rsidRPr="00200E08" w:rsidRDefault="00B93A55" w:rsidP="00B93A55">
                            <w:pPr>
                              <w:spacing w:after="120" w:line="276" w:lineRule="auto"/>
                              <w:jc w:val="both"/>
                              <w:rPr>
                                <w:rFonts w:asciiTheme="minorHAnsi" w:hAnsiTheme="minorHAnsi" w:cstheme="minorHAnsi"/>
                                <w:i/>
                                <w:iCs/>
                                <w:color w:val="2C2D5B"/>
                                <w:sz w:val="19"/>
                                <w:szCs w:val="19"/>
                                <w:lang w:val="en-US"/>
                              </w:rPr>
                            </w:pPr>
                            <w:r w:rsidRPr="00200E08">
                              <w:rPr>
                                <w:rFonts w:asciiTheme="minorHAnsi" w:hAnsiTheme="minorHAnsi" w:cstheme="minorHAnsi"/>
                                <w:i/>
                                <w:iCs/>
                                <w:color w:val="2C2D5B"/>
                                <w:sz w:val="19"/>
                                <w:szCs w:val="19"/>
                                <w:lang w:val="en-US"/>
                              </w:rPr>
                              <w:t>"8</w:t>
                            </w:r>
                            <w:r w:rsidRPr="00200E08">
                              <w:rPr>
                                <w:rFonts w:asciiTheme="minorHAnsi" w:hAnsiTheme="minorHAnsi" w:cstheme="minorHAnsi"/>
                                <w:b/>
                                <w:bCs/>
                                <w:i/>
                                <w:iCs/>
                                <w:color w:val="2C2D5B"/>
                                <w:sz w:val="19"/>
                                <w:szCs w:val="19"/>
                                <w:lang w:val="en-US"/>
                              </w:rPr>
                              <w:t>. The right to paid annual leave is an essential principle of EU social law (CJEU 6 November 2018, Stadt Wuppertal v. Bauer, C-569/16 and Willmeroth v. Broßonn, C-570/16, paragraph 80).</w:t>
                            </w:r>
                            <w:r w:rsidRPr="00200E08">
                              <w:rPr>
                                <w:rFonts w:asciiTheme="minorHAnsi" w:hAnsiTheme="minorHAnsi" w:cstheme="minorHAnsi"/>
                                <w:i/>
                                <w:iCs/>
                                <w:color w:val="2C2D5B"/>
                                <w:sz w:val="19"/>
                                <w:szCs w:val="19"/>
                                <w:lang w:val="en-US"/>
                              </w:rPr>
                              <w:t xml:space="preserve"> 9. It follows from the case-law of the Court of Justice of the European Union that Directive 2003/88/EC of the European Parliament and of the Council of 4 November 2003 concerning certain aspects of the organisation of working time makes no distinction between workers who are absent from work on sick leave during the reference period, and those who actually worked during that period. It follows that, in the case of workers on duly prescribed sick leave, the right to paid annual leave conferred by that directive on all workers cannot be made by a Member State subject to the obligation to have actually worked during the reference period established by that State (CJEU Schultz-Hoff, 20 January 2009, C-350/06, paragraph 41; CJEU 24 January 2012, Dominguez, C-282/10, para. 20). </w:t>
                            </w:r>
                          </w:p>
                          <w:p w14:paraId="335AD396" w14:textId="77777777" w:rsidR="00B93A55" w:rsidRPr="00200E08" w:rsidRDefault="00B93A55" w:rsidP="00B93A55">
                            <w:pPr>
                              <w:spacing w:after="120" w:line="276" w:lineRule="auto"/>
                              <w:jc w:val="both"/>
                              <w:rPr>
                                <w:rFonts w:asciiTheme="minorHAnsi" w:hAnsiTheme="minorHAnsi" w:cstheme="minorHAnsi"/>
                                <w:i/>
                                <w:iCs/>
                                <w:color w:val="2C2D5B"/>
                                <w:sz w:val="19"/>
                                <w:szCs w:val="19"/>
                                <w:lang w:val="en-US"/>
                              </w:rPr>
                            </w:pPr>
                            <w:r w:rsidRPr="00200E08">
                              <w:rPr>
                                <w:rFonts w:asciiTheme="minorHAnsi" w:hAnsiTheme="minorHAnsi" w:cstheme="minorHAnsi"/>
                                <w:i/>
                                <w:iCs/>
                                <w:color w:val="2C2D5B"/>
                                <w:sz w:val="19"/>
                                <w:szCs w:val="19"/>
                                <w:lang w:val="en-US"/>
                              </w:rPr>
                              <w:t xml:space="preserve">[…] </w:t>
                            </w:r>
                          </w:p>
                          <w:p w14:paraId="3E73FB1B" w14:textId="77777777" w:rsidR="00B93A55" w:rsidRPr="00200E08" w:rsidRDefault="00B93A55" w:rsidP="00B93A55">
                            <w:pPr>
                              <w:spacing w:after="120" w:line="276" w:lineRule="auto"/>
                              <w:jc w:val="both"/>
                              <w:rPr>
                                <w:rFonts w:asciiTheme="minorHAnsi" w:hAnsiTheme="minorHAnsi" w:cstheme="minorHAnsi"/>
                                <w:color w:val="2C2D5B"/>
                                <w:sz w:val="19"/>
                                <w:szCs w:val="19"/>
                                <w:lang w:val="en-US"/>
                              </w:rPr>
                            </w:pPr>
                            <w:r w:rsidRPr="00200E08">
                              <w:rPr>
                                <w:rFonts w:asciiTheme="minorHAnsi" w:hAnsiTheme="minorHAnsi" w:cstheme="minorHAnsi"/>
                                <w:i/>
                                <w:iCs/>
                                <w:color w:val="2C2D5B"/>
                                <w:sz w:val="19"/>
                                <w:szCs w:val="19"/>
                                <w:lang w:val="en-US"/>
                              </w:rPr>
                              <w:t>11. By judgment of 6 November 2018 (C-569/16 Stadt Wuppertal v. Bauer, and C-570/16 Willmeroth v. Broßonn), the Court of Justice of the European Union held that, where it is impossible to interpret national legislation in such a way as to ensure compliance with Article 7 of Directive 2003/88/EC and Article 31(2) of the Charter of Fundamental Rights, The national court must disapply that national legislation. The Court of Justice of the European Union clarifies that this obligation is imposed on the national court under Article 7 of Directive 2003/88/EC and Article 31(2) of the Charter of Fundamental Rights where the dispute is between a beneficiary of the right to leave and an employer having the status of a public authority and under the latter of those provisions where the dispute is between the beneficiary and an employer who has the status of a private individual.»</w:t>
                            </w:r>
                          </w:p>
                          <w:p w14:paraId="02751DF1" w14:textId="77777777" w:rsidR="00B93A55" w:rsidRPr="00200E08" w:rsidRDefault="00B93A55" w:rsidP="00B93A55">
                            <w:pPr>
                              <w:spacing w:after="120" w:line="276" w:lineRule="auto"/>
                              <w:jc w:val="both"/>
                              <w:rPr>
                                <w:rFonts w:asciiTheme="minorHAnsi" w:hAnsiTheme="minorHAnsi" w:cstheme="minorHAnsi"/>
                                <w:i/>
                                <w:color w:val="2C2D5B"/>
                                <w:sz w:val="19"/>
                                <w:szCs w:val="19"/>
                                <w:lang w:val="en-US"/>
                              </w:rPr>
                            </w:pPr>
                            <w:r w:rsidRPr="00200E08">
                              <w:rPr>
                                <w:rFonts w:asciiTheme="minorHAnsi" w:hAnsiTheme="minorHAnsi" w:cstheme="minorHAnsi"/>
                                <w:i/>
                                <w:color w:val="2C2D5B"/>
                                <w:sz w:val="19"/>
                                <w:szCs w:val="19"/>
                                <w:lang w:val="en-US"/>
                              </w:rPr>
                              <w:t>[…]</w:t>
                            </w:r>
                          </w:p>
                          <w:p w14:paraId="620A65F0" w14:textId="77777777" w:rsidR="00B93A55" w:rsidRPr="00200E08" w:rsidRDefault="00B93A55" w:rsidP="00B93A55">
                            <w:pPr>
                              <w:spacing w:after="120" w:line="276" w:lineRule="auto"/>
                              <w:jc w:val="both"/>
                              <w:rPr>
                                <w:rFonts w:asciiTheme="minorHAnsi" w:hAnsiTheme="minorHAnsi" w:cstheme="minorHAnsi"/>
                                <w:color w:val="2C2D5B"/>
                                <w:sz w:val="19"/>
                                <w:szCs w:val="19"/>
                                <w:lang w:val="en-US"/>
                              </w:rPr>
                            </w:pPr>
                            <w:r w:rsidRPr="00200E08">
                              <w:rPr>
                                <w:rFonts w:asciiTheme="minorHAnsi" w:hAnsiTheme="minorHAnsi" w:cstheme="minorHAnsi"/>
                                <w:i/>
                                <w:iCs/>
                                <w:color w:val="2C2D5B"/>
                                <w:sz w:val="19"/>
                                <w:szCs w:val="19"/>
                                <w:lang w:val="en-US"/>
                              </w:rPr>
                              <w:t xml:space="preserve">15. </w:t>
                            </w:r>
                            <w:r w:rsidRPr="00200E08">
                              <w:rPr>
                                <w:rFonts w:asciiTheme="minorHAnsi" w:hAnsiTheme="minorHAnsi" w:cstheme="minorHAnsi"/>
                                <w:b/>
                                <w:bCs/>
                                <w:i/>
                                <w:iCs/>
                                <w:color w:val="2C2D5B"/>
                                <w:sz w:val="19"/>
                                <w:szCs w:val="19"/>
                                <w:lang w:val="en-US"/>
                              </w:rPr>
                              <w:t>It is therefore necessary to disapply in part the application of the provisions of</w:t>
                            </w:r>
                            <w:r w:rsidRPr="00200E08">
                              <w:rPr>
                                <w:b/>
                                <w:bCs/>
                                <w:i/>
                                <w:iCs/>
                                <w:color w:val="2C2D5B"/>
                                <w:sz w:val="19"/>
                                <w:szCs w:val="19"/>
                                <w:lang w:val="en-US"/>
                              </w:rPr>
                              <w:t xml:space="preserve"> </w:t>
                            </w:r>
                            <w:r w:rsidRPr="00200E08">
                              <w:rPr>
                                <w:rFonts w:asciiTheme="minorHAnsi" w:hAnsiTheme="minorHAnsi" w:cstheme="minorHAnsi"/>
                                <w:b/>
                                <w:bCs/>
                                <w:i/>
                                <w:iCs/>
                                <w:color w:val="2C2D5B"/>
                                <w:sz w:val="19"/>
                                <w:szCs w:val="19"/>
                                <w:lang w:val="en-US"/>
                              </w:rPr>
                              <w:t>Article L. 3141-3 of the Labour Code</w:t>
                            </w:r>
                            <w:r w:rsidRPr="00200E08">
                              <w:rPr>
                                <w:rFonts w:asciiTheme="minorHAnsi" w:hAnsiTheme="minorHAnsi" w:cstheme="minorHAnsi"/>
                                <w:i/>
                                <w:iCs/>
                                <w:color w:val="2C2D5B"/>
                                <w:sz w:val="19"/>
                                <w:szCs w:val="19"/>
                                <w:lang w:val="en-US"/>
                              </w:rPr>
                              <w:t xml:space="preserve"> in so far as they make the acquisition of rights to paid leave by an employee whose employment contract is suspended as a result of a stoppage of work due to a non-occupational disease to be ruled in part, and to hold that the employee may claim his or her rights to paid leave in respect of that period in application of the provisions of Articles L. 3141-3 and L. 3141-9 of the Labour Code".</w:t>
                            </w:r>
                          </w:p>
                          <w:p w14:paraId="43F59BA8" w14:textId="77777777" w:rsidR="00B93A55" w:rsidRPr="00B93A55" w:rsidRDefault="00B93A55" w:rsidP="00327D5A">
                            <w:pPr>
                              <w:jc w:val="both"/>
                              <w:rPr>
                                <w:rFonts w:asciiTheme="minorHAnsi" w:hAnsiTheme="minorHAnsi" w:cstheme="minorHAnsi"/>
                                <w:sz w:val="20"/>
                                <w:szCs w:val="20"/>
                                <w:lang w:val="en-US"/>
                              </w:rPr>
                            </w:pP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27BC709C" id="Zone de texte 55" o:spid="_x0000_s1064" style="position:absolute;left:0;text-align:left;margin-left:.25pt;margin-top:28.6pt;width:424.5pt;height:577.75pt;z-index:2517626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dZ2NAIAAFUEAAAOAAAAZHJzL2Uyb0RvYy54bWysVNtu2zAMfR+wfxD0vti5NYkRp0jTdRjQ&#10;rcO6fYAsy7YwWdQkJXb79aPkNM3St2F+EERROiQPD72+7ltFDsI6CTqn41FKidAcSqnrnP78cfdh&#10;SYnzTJdMgRY5fRKOXm/ev1t3JhMTaECVwhIE0S7rTE4b702WJI43omVuBEZodFZgW+bRtHVSWtYh&#10;equSSZpeJR3Y0ljgwjk8vR2cdBPxq0pw/1BVTniicoq5+bjauBZhTTZrltWWmUbyYxrsH7JomdQY&#10;9AR1yzwjeyvfQLWSW3BQ+RGHNoGqklzEGrCacXpRzWPDjIi1IDnOnGhy/w+Wfz08mm+W+P4Gemxg&#10;LMKZe+C/HNGwa5iuxdZa6BrBSgw8DpQlnXHZ8Wmg2mUugBTdFyixyWzvIQL1lW0DK1gnQXRswNOJ&#10;dNF7wvFwPl2Nx3N0cfQtptPFbDKPMVj28txY5z8JaEnY5NTCXpffsbUxBjvcOx9yYtnLvRDSgZLl&#10;nVQqGkFOYqcsOTAUQlEPVVzcUpp0WOAqxWzeQti6OAHcXG3T2e6Y5V+RWulRz0q2OV2m4RsUFsj7&#10;qMuoNs+kGvaYstJHNgOBA5W+L3oiy5xOl+FxYLeA8gn5tTDoF+fNP+BSKcCEuZKGkgbs8+VZuIdS&#10;QQ8lHWo8p+73nllBifqssZer8WwWhiIas/ligoY99xTnHqY5QuXUUzJsdz4OUqBKwxZ7XsnYiNeM&#10;j7WhdmN/jnMWhuPcjrde/wabPwAAAP//AwBQSwMEFAAGAAgAAAAhAABuiobdAAAACAEAAA8AAABk&#10;cnMvZG93bnJldi54bWxMjzFPwzAQhXck/oN1SGzUadRSN8SpokosbA1lYHPiIwnE5yh20/DvOSZY&#10;Trp7T+++lx8WN4gZp9B70rBeJSCQGm97ajWcX58fFIgQDVkzeEIN3xjgUNze5Caz/konnKvYCg6h&#10;kBkNXYxjJmVoOnQmrPyIxNqHn5yJvE6ttJO5crgbZJokj9KZnvhDZ0Y8dth8VRenYT6ftqU6vm+q&#10;7k1+7l9KVSuntL6/W8onEBGX+GeGX3xGh4KZan8hG8SgYcs+nrsUBKtqs+dDzbZ0ne5AFrn8X6D4&#10;AQAA//8DAFBLAQItABQABgAIAAAAIQC2gziS/gAAAOEBAAATAAAAAAAAAAAAAAAAAAAAAABbQ29u&#10;dGVudF9UeXBlc10ueG1sUEsBAi0AFAAGAAgAAAAhADj9If/WAAAAlAEAAAsAAAAAAAAAAAAAAAAA&#10;LwEAAF9yZWxzLy5yZWxzUEsBAi0AFAAGAAgAAAAhACdZ1nY0AgAAVQQAAA4AAAAAAAAAAAAAAAAA&#10;LgIAAGRycy9lMm9Eb2MueG1sUEsBAi0AFAAGAAgAAAAhAABuiobdAAAACAEAAA8AAAAAAAAAAAAA&#10;AAAAjgQAAGRycy9kb3ducmV2LnhtbFBLBQYAAAAABAAEAPMAAACYBQAAAAA=&#10;" fillcolor="white [3212]" strokecolor="#b6a04c" strokeweight="1.5pt">
                <v:stroke joinstyle="miter"/>
                <v:textbox>
                  <w:txbxContent>
                    <w:p w14:paraId="0338E5F2" w14:textId="77777777" w:rsidR="00B93A55" w:rsidRPr="008E22D3" w:rsidRDefault="00B93A55" w:rsidP="008E22D3">
                      <w:pPr>
                        <w:jc w:val="center"/>
                        <w:rPr>
                          <w:rFonts w:asciiTheme="minorHAnsi" w:hAnsiTheme="minorHAnsi" w:cstheme="minorHAnsi"/>
                          <w:b/>
                          <w:bCs/>
                          <w:color w:val="B6A04C"/>
                          <w:sz w:val="20"/>
                          <w:szCs w:val="20"/>
                          <w:lang w:val="en-US"/>
                        </w:rPr>
                      </w:pPr>
                      <w:r w:rsidRPr="008E22D3">
                        <w:rPr>
                          <w:rFonts w:asciiTheme="minorHAnsi" w:hAnsiTheme="minorHAnsi" w:cstheme="minorHAnsi"/>
                          <w:b/>
                          <w:bCs/>
                          <w:color w:val="B6A04C"/>
                          <w:sz w:val="20"/>
                          <w:szCs w:val="20"/>
                          <w:lang w:val="en-US"/>
                        </w:rPr>
                        <w:t>Cass. Soc. 13/09/2023, n°22.17340, 22-17341 and 22-17342</w:t>
                      </w:r>
                    </w:p>
                    <w:p w14:paraId="38DA1D27" w14:textId="77777777" w:rsidR="00B93A55" w:rsidRDefault="00B93A55" w:rsidP="00B93A55">
                      <w:pPr>
                        <w:jc w:val="right"/>
                        <w:rPr>
                          <w:rFonts w:asciiTheme="minorHAnsi" w:hAnsiTheme="minorHAnsi" w:cstheme="minorHAnsi"/>
                          <w:b/>
                          <w:bCs/>
                          <w:sz w:val="20"/>
                          <w:szCs w:val="20"/>
                          <w:lang w:val="en-US"/>
                        </w:rPr>
                      </w:pPr>
                    </w:p>
                    <w:p w14:paraId="229D2967" w14:textId="3C7A2CF6" w:rsidR="00B93A55" w:rsidRPr="00200E08" w:rsidRDefault="00B93A55" w:rsidP="00B93A55">
                      <w:pPr>
                        <w:jc w:val="both"/>
                        <w:rPr>
                          <w:rFonts w:asciiTheme="minorHAnsi" w:hAnsiTheme="minorHAnsi" w:cstheme="minorHAnsi"/>
                          <w:b/>
                          <w:bCs/>
                          <w:color w:val="2C2D5B"/>
                          <w:sz w:val="19"/>
                          <w:szCs w:val="19"/>
                          <w:lang w:val="en-US"/>
                        </w:rPr>
                      </w:pPr>
                      <w:r w:rsidRPr="00200E08">
                        <w:rPr>
                          <w:rFonts w:asciiTheme="minorHAnsi" w:hAnsiTheme="minorHAnsi" w:cstheme="minorHAnsi"/>
                          <w:b/>
                          <w:bCs/>
                          <w:color w:val="2C2D5B"/>
                          <w:sz w:val="19"/>
                          <w:szCs w:val="19"/>
                          <w:lang w:val="en-US"/>
                        </w:rPr>
                        <w:t>Facts</w:t>
                      </w:r>
                      <w:r w:rsidR="008E22D3" w:rsidRPr="00200E08">
                        <w:rPr>
                          <w:rFonts w:asciiTheme="minorHAnsi" w:hAnsiTheme="minorHAnsi" w:cstheme="minorHAnsi"/>
                          <w:b/>
                          <w:bCs/>
                          <w:color w:val="2C2D5B"/>
                          <w:sz w:val="19"/>
                          <w:szCs w:val="19"/>
                          <w:lang w:val="en-US"/>
                        </w:rPr>
                        <w:t xml:space="preserve"> </w:t>
                      </w:r>
                      <w:r w:rsidRPr="00200E08">
                        <w:rPr>
                          <w:rFonts w:asciiTheme="minorHAnsi" w:hAnsiTheme="minorHAnsi" w:cstheme="minorHAnsi"/>
                          <w:b/>
                          <w:bCs/>
                          <w:color w:val="2C2D5B"/>
                          <w:sz w:val="19"/>
                          <w:szCs w:val="19"/>
                          <w:lang w:val="en-US"/>
                        </w:rPr>
                        <w:t xml:space="preserve">: </w:t>
                      </w:r>
                    </w:p>
                    <w:p w14:paraId="024A22CC" w14:textId="77777777" w:rsidR="00B93A55" w:rsidRPr="00200E08" w:rsidRDefault="00B93A55" w:rsidP="00B93A55">
                      <w:pPr>
                        <w:jc w:val="both"/>
                        <w:rPr>
                          <w:rFonts w:asciiTheme="minorHAnsi" w:hAnsiTheme="minorHAnsi" w:cstheme="minorHAnsi"/>
                          <w:color w:val="2C2D5B"/>
                          <w:sz w:val="19"/>
                          <w:szCs w:val="19"/>
                          <w:lang w:val="en-US"/>
                        </w:rPr>
                      </w:pPr>
                      <w:r w:rsidRPr="00200E08">
                        <w:rPr>
                          <w:rFonts w:asciiTheme="minorHAnsi" w:hAnsiTheme="minorHAnsi" w:cstheme="minorHAnsi"/>
                          <w:color w:val="2C2D5B"/>
                          <w:sz w:val="19"/>
                          <w:szCs w:val="19"/>
                          <w:lang w:val="en-US"/>
                        </w:rPr>
                        <w:t xml:space="preserve">In this case, an employee sought vacation pay for the period spent on sick leave, despite French law at the time containing no provision for such an entitlement. </w:t>
                      </w:r>
                    </w:p>
                    <w:p w14:paraId="71259F6F" w14:textId="77777777" w:rsidR="00B93A55" w:rsidRPr="00200E08" w:rsidRDefault="00B93A55" w:rsidP="00B93A55">
                      <w:pPr>
                        <w:jc w:val="both"/>
                        <w:rPr>
                          <w:rFonts w:asciiTheme="minorHAnsi" w:hAnsiTheme="minorHAnsi" w:cstheme="minorHAnsi"/>
                          <w:color w:val="2C2D5B"/>
                          <w:sz w:val="10"/>
                          <w:szCs w:val="10"/>
                          <w:lang w:val="en-US"/>
                        </w:rPr>
                      </w:pPr>
                    </w:p>
                    <w:p w14:paraId="4B624F6D" w14:textId="361BA532" w:rsidR="00B93A55" w:rsidRPr="00200E08" w:rsidRDefault="00B93A55" w:rsidP="00B93A55">
                      <w:pPr>
                        <w:jc w:val="both"/>
                        <w:rPr>
                          <w:rFonts w:asciiTheme="minorHAnsi" w:hAnsiTheme="minorHAnsi" w:cstheme="minorHAnsi"/>
                          <w:b/>
                          <w:bCs/>
                          <w:color w:val="2C2D5B"/>
                          <w:sz w:val="19"/>
                          <w:szCs w:val="19"/>
                          <w:lang w:val="en-US"/>
                        </w:rPr>
                      </w:pPr>
                      <w:r w:rsidRPr="00200E08">
                        <w:rPr>
                          <w:rFonts w:asciiTheme="minorHAnsi" w:hAnsiTheme="minorHAnsi" w:cstheme="minorHAnsi"/>
                          <w:b/>
                          <w:bCs/>
                          <w:color w:val="2C2D5B"/>
                          <w:sz w:val="19"/>
                          <w:szCs w:val="19"/>
                          <w:lang w:val="en-US"/>
                        </w:rPr>
                        <w:t>Ruling</w:t>
                      </w:r>
                      <w:r w:rsidR="008E22D3" w:rsidRPr="00200E08">
                        <w:rPr>
                          <w:rFonts w:asciiTheme="minorHAnsi" w:hAnsiTheme="minorHAnsi" w:cstheme="minorHAnsi"/>
                          <w:b/>
                          <w:bCs/>
                          <w:color w:val="2C2D5B"/>
                          <w:sz w:val="19"/>
                          <w:szCs w:val="19"/>
                          <w:lang w:val="en-US"/>
                        </w:rPr>
                        <w:t xml:space="preserve"> </w:t>
                      </w:r>
                      <w:r w:rsidRPr="00200E08">
                        <w:rPr>
                          <w:rFonts w:asciiTheme="minorHAnsi" w:hAnsiTheme="minorHAnsi" w:cstheme="minorHAnsi"/>
                          <w:b/>
                          <w:bCs/>
                          <w:color w:val="2C2D5B"/>
                          <w:sz w:val="19"/>
                          <w:szCs w:val="19"/>
                          <w:lang w:val="en-US"/>
                        </w:rPr>
                        <w:t xml:space="preserve">: </w:t>
                      </w:r>
                    </w:p>
                    <w:p w14:paraId="158DDAF2" w14:textId="1F5F6B22" w:rsidR="00B93A55" w:rsidRPr="00200E08" w:rsidRDefault="00B93A55" w:rsidP="00B93A55">
                      <w:pPr>
                        <w:jc w:val="both"/>
                        <w:rPr>
                          <w:rFonts w:asciiTheme="minorHAnsi" w:hAnsiTheme="minorHAnsi" w:cstheme="minorHAnsi"/>
                          <w:color w:val="2C2D5B"/>
                          <w:sz w:val="19"/>
                          <w:szCs w:val="19"/>
                          <w:lang w:val="en-US"/>
                        </w:rPr>
                      </w:pPr>
                      <w:r w:rsidRPr="00200E08">
                        <w:rPr>
                          <w:rFonts w:asciiTheme="minorHAnsi" w:hAnsiTheme="minorHAnsi" w:cstheme="minorHAnsi"/>
                          <w:color w:val="2C2D5B"/>
                          <w:sz w:val="19"/>
                          <w:szCs w:val="19"/>
                          <w:lang w:val="en-US"/>
                        </w:rPr>
                        <w:t>The Court of Cassation ruled that workers on sick leave retain the right to paid annual leave, referencing Directive 2003/88/EC and Article 31(2</w:t>
                      </w:r>
                      <w:r w:rsidR="000748A3" w:rsidRPr="00200E08">
                        <w:rPr>
                          <w:rFonts w:asciiTheme="minorHAnsi" w:hAnsiTheme="minorHAnsi" w:cstheme="minorHAnsi"/>
                          <w:color w:val="2C2D5B"/>
                          <w:sz w:val="19"/>
                          <w:szCs w:val="19"/>
                          <w:lang w:val="en-US"/>
                        </w:rPr>
                        <w:t>)</w:t>
                      </w:r>
                      <w:r w:rsidRPr="00200E08">
                        <w:rPr>
                          <w:rFonts w:asciiTheme="minorHAnsi" w:hAnsiTheme="minorHAnsi" w:cstheme="minorHAnsi"/>
                          <w:color w:val="2C2D5B"/>
                          <w:sz w:val="19"/>
                          <w:szCs w:val="19"/>
                          <w:lang w:val="en-US"/>
                        </w:rPr>
                        <w:t xml:space="preserve"> EChFR. It held that national legislation conflicting with these provisions must be disapplied. </w:t>
                      </w:r>
                    </w:p>
                    <w:p w14:paraId="7E15414A" w14:textId="77777777" w:rsidR="00B93A55" w:rsidRPr="00200E08" w:rsidRDefault="00B93A55" w:rsidP="00B93A55">
                      <w:pPr>
                        <w:jc w:val="both"/>
                        <w:rPr>
                          <w:rFonts w:asciiTheme="minorHAnsi" w:hAnsiTheme="minorHAnsi" w:cstheme="minorHAnsi"/>
                          <w:color w:val="2C2D5B"/>
                          <w:sz w:val="10"/>
                          <w:szCs w:val="10"/>
                          <w:lang w:val="en-US"/>
                        </w:rPr>
                      </w:pPr>
                    </w:p>
                    <w:p w14:paraId="1076A9C0" w14:textId="77777777" w:rsidR="00B93A55" w:rsidRPr="00200E08" w:rsidRDefault="00B93A55" w:rsidP="00B93A55">
                      <w:pPr>
                        <w:spacing w:after="120" w:line="276" w:lineRule="auto"/>
                        <w:jc w:val="both"/>
                        <w:rPr>
                          <w:rFonts w:asciiTheme="minorHAnsi" w:hAnsiTheme="minorHAnsi" w:cstheme="minorHAnsi"/>
                          <w:i/>
                          <w:iCs/>
                          <w:color w:val="2C2D5B"/>
                          <w:sz w:val="19"/>
                          <w:szCs w:val="19"/>
                          <w:lang w:val="en-US"/>
                        </w:rPr>
                      </w:pPr>
                      <w:r w:rsidRPr="00200E08">
                        <w:rPr>
                          <w:rFonts w:asciiTheme="minorHAnsi" w:hAnsiTheme="minorHAnsi" w:cstheme="minorHAnsi"/>
                          <w:i/>
                          <w:iCs/>
                          <w:color w:val="2C2D5B"/>
                          <w:sz w:val="19"/>
                          <w:szCs w:val="19"/>
                          <w:lang w:val="en-US"/>
                        </w:rPr>
                        <w:t>"8</w:t>
                      </w:r>
                      <w:r w:rsidRPr="00200E08">
                        <w:rPr>
                          <w:rFonts w:asciiTheme="minorHAnsi" w:hAnsiTheme="minorHAnsi" w:cstheme="minorHAnsi"/>
                          <w:b/>
                          <w:bCs/>
                          <w:i/>
                          <w:iCs/>
                          <w:color w:val="2C2D5B"/>
                          <w:sz w:val="19"/>
                          <w:szCs w:val="19"/>
                          <w:lang w:val="en-US"/>
                        </w:rPr>
                        <w:t xml:space="preserve">. The right to paid annual leave is an essential principle of EU social law (CJEU 6 November 2018, Stadt Wuppertal v. Bauer, C-569/16 and </w:t>
                      </w:r>
                      <w:proofErr w:type="spellStart"/>
                      <w:r w:rsidRPr="00200E08">
                        <w:rPr>
                          <w:rFonts w:asciiTheme="minorHAnsi" w:hAnsiTheme="minorHAnsi" w:cstheme="minorHAnsi"/>
                          <w:b/>
                          <w:bCs/>
                          <w:i/>
                          <w:iCs/>
                          <w:color w:val="2C2D5B"/>
                          <w:sz w:val="19"/>
                          <w:szCs w:val="19"/>
                          <w:lang w:val="en-US"/>
                        </w:rPr>
                        <w:t>Willmeroth</w:t>
                      </w:r>
                      <w:proofErr w:type="spellEnd"/>
                      <w:r w:rsidRPr="00200E08">
                        <w:rPr>
                          <w:rFonts w:asciiTheme="minorHAnsi" w:hAnsiTheme="minorHAnsi" w:cstheme="minorHAnsi"/>
                          <w:b/>
                          <w:bCs/>
                          <w:i/>
                          <w:iCs/>
                          <w:color w:val="2C2D5B"/>
                          <w:sz w:val="19"/>
                          <w:szCs w:val="19"/>
                          <w:lang w:val="en-US"/>
                        </w:rPr>
                        <w:t xml:space="preserve"> v. </w:t>
                      </w:r>
                      <w:proofErr w:type="spellStart"/>
                      <w:r w:rsidRPr="00200E08">
                        <w:rPr>
                          <w:rFonts w:asciiTheme="minorHAnsi" w:hAnsiTheme="minorHAnsi" w:cstheme="minorHAnsi"/>
                          <w:b/>
                          <w:bCs/>
                          <w:i/>
                          <w:iCs/>
                          <w:color w:val="2C2D5B"/>
                          <w:sz w:val="19"/>
                          <w:szCs w:val="19"/>
                          <w:lang w:val="en-US"/>
                        </w:rPr>
                        <w:t>Broßonn</w:t>
                      </w:r>
                      <w:proofErr w:type="spellEnd"/>
                      <w:r w:rsidRPr="00200E08">
                        <w:rPr>
                          <w:rFonts w:asciiTheme="minorHAnsi" w:hAnsiTheme="minorHAnsi" w:cstheme="minorHAnsi"/>
                          <w:b/>
                          <w:bCs/>
                          <w:i/>
                          <w:iCs/>
                          <w:color w:val="2C2D5B"/>
                          <w:sz w:val="19"/>
                          <w:szCs w:val="19"/>
                          <w:lang w:val="en-US"/>
                        </w:rPr>
                        <w:t>, C-570/16, paragraph 80).</w:t>
                      </w:r>
                      <w:r w:rsidRPr="00200E08">
                        <w:rPr>
                          <w:rFonts w:asciiTheme="minorHAnsi" w:hAnsiTheme="minorHAnsi" w:cstheme="minorHAnsi"/>
                          <w:i/>
                          <w:iCs/>
                          <w:color w:val="2C2D5B"/>
                          <w:sz w:val="19"/>
                          <w:szCs w:val="19"/>
                          <w:lang w:val="en-US"/>
                        </w:rPr>
                        <w:t xml:space="preserve"> 9. It follows from the case-law of the Court of Justice of the European Union that Directive 2003/88/EC of the European Parliament and of the Council of 4 November 2003 concerning certain aspects of the </w:t>
                      </w:r>
                      <w:proofErr w:type="spellStart"/>
                      <w:r w:rsidRPr="00200E08">
                        <w:rPr>
                          <w:rFonts w:asciiTheme="minorHAnsi" w:hAnsiTheme="minorHAnsi" w:cstheme="minorHAnsi"/>
                          <w:i/>
                          <w:iCs/>
                          <w:color w:val="2C2D5B"/>
                          <w:sz w:val="19"/>
                          <w:szCs w:val="19"/>
                          <w:lang w:val="en-US"/>
                        </w:rPr>
                        <w:t>organisation</w:t>
                      </w:r>
                      <w:proofErr w:type="spellEnd"/>
                      <w:r w:rsidRPr="00200E08">
                        <w:rPr>
                          <w:rFonts w:asciiTheme="minorHAnsi" w:hAnsiTheme="minorHAnsi" w:cstheme="minorHAnsi"/>
                          <w:i/>
                          <w:iCs/>
                          <w:color w:val="2C2D5B"/>
                          <w:sz w:val="19"/>
                          <w:szCs w:val="19"/>
                          <w:lang w:val="en-US"/>
                        </w:rPr>
                        <w:t xml:space="preserve"> of working time makes no distinction between workers who are absent from work on sick leave during the reference period, and those who actually worked during that period. It follows that, in the case of workers on duly prescribed sick leave, the right to paid annual leave conferred by that directive on all workers cannot be made by a Member State subject to the obligation to have actually worked during the reference period established by that State (CJEU Schultz-Hoff, 20 January 2009, C-350/06, paragraph 41; CJEU 24 January 2012, Dominguez, C-282/10, para. 20). </w:t>
                      </w:r>
                    </w:p>
                    <w:p w14:paraId="335AD396" w14:textId="77777777" w:rsidR="00B93A55" w:rsidRPr="00200E08" w:rsidRDefault="00B93A55" w:rsidP="00B93A55">
                      <w:pPr>
                        <w:spacing w:after="120" w:line="276" w:lineRule="auto"/>
                        <w:jc w:val="both"/>
                        <w:rPr>
                          <w:rFonts w:asciiTheme="minorHAnsi" w:hAnsiTheme="minorHAnsi" w:cstheme="minorHAnsi"/>
                          <w:i/>
                          <w:iCs/>
                          <w:color w:val="2C2D5B"/>
                          <w:sz w:val="19"/>
                          <w:szCs w:val="19"/>
                          <w:lang w:val="en-US"/>
                        </w:rPr>
                      </w:pPr>
                      <w:r w:rsidRPr="00200E08">
                        <w:rPr>
                          <w:rFonts w:asciiTheme="minorHAnsi" w:hAnsiTheme="minorHAnsi" w:cstheme="minorHAnsi"/>
                          <w:i/>
                          <w:iCs/>
                          <w:color w:val="2C2D5B"/>
                          <w:sz w:val="19"/>
                          <w:szCs w:val="19"/>
                          <w:lang w:val="en-US"/>
                        </w:rPr>
                        <w:t xml:space="preserve">[…] </w:t>
                      </w:r>
                    </w:p>
                    <w:p w14:paraId="3E73FB1B" w14:textId="77777777" w:rsidR="00B93A55" w:rsidRPr="00200E08" w:rsidRDefault="00B93A55" w:rsidP="00B93A55">
                      <w:pPr>
                        <w:spacing w:after="120" w:line="276" w:lineRule="auto"/>
                        <w:jc w:val="both"/>
                        <w:rPr>
                          <w:rFonts w:asciiTheme="minorHAnsi" w:hAnsiTheme="minorHAnsi" w:cstheme="minorHAnsi"/>
                          <w:color w:val="2C2D5B"/>
                          <w:sz w:val="19"/>
                          <w:szCs w:val="19"/>
                          <w:lang w:val="en-US"/>
                        </w:rPr>
                      </w:pPr>
                      <w:r w:rsidRPr="00200E08">
                        <w:rPr>
                          <w:rFonts w:asciiTheme="minorHAnsi" w:hAnsiTheme="minorHAnsi" w:cstheme="minorHAnsi"/>
                          <w:i/>
                          <w:iCs/>
                          <w:color w:val="2C2D5B"/>
                          <w:sz w:val="19"/>
                          <w:szCs w:val="19"/>
                          <w:lang w:val="en-US"/>
                        </w:rPr>
                        <w:t xml:space="preserve">11. By judgment of 6 November 2018 (C-569/16 Stadt Wuppertal v. Bauer, and C-570/16 </w:t>
                      </w:r>
                      <w:proofErr w:type="spellStart"/>
                      <w:r w:rsidRPr="00200E08">
                        <w:rPr>
                          <w:rFonts w:asciiTheme="minorHAnsi" w:hAnsiTheme="minorHAnsi" w:cstheme="minorHAnsi"/>
                          <w:i/>
                          <w:iCs/>
                          <w:color w:val="2C2D5B"/>
                          <w:sz w:val="19"/>
                          <w:szCs w:val="19"/>
                          <w:lang w:val="en-US"/>
                        </w:rPr>
                        <w:t>Willmeroth</w:t>
                      </w:r>
                      <w:proofErr w:type="spellEnd"/>
                      <w:r w:rsidRPr="00200E08">
                        <w:rPr>
                          <w:rFonts w:asciiTheme="minorHAnsi" w:hAnsiTheme="minorHAnsi" w:cstheme="minorHAnsi"/>
                          <w:i/>
                          <w:iCs/>
                          <w:color w:val="2C2D5B"/>
                          <w:sz w:val="19"/>
                          <w:szCs w:val="19"/>
                          <w:lang w:val="en-US"/>
                        </w:rPr>
                        <w:t xml:space="preserve"> v. </w:t>
                      </w:r>
                      <w:proofErr w:type="spellStart"/>
                      <w:r w:rsidRPr="00200E08">
                        <w:rPr>
                          <w:rFonts w:asciiTheme="minorHAnsi" w:hAnsiTheme="minorHAnsi" w:cstheme="minorHAnsi"/>
                          <w:i/>
                          <w:iCs/>
                          <w:color w:val="2C2D5B"/>
                          <w:sz w:val="19"/>
                          <w:szCs w:val="19"/>
                          <w:lang w:val="en-US"/>
                        </w:rPr>
                        <w:t>Broßonn</w:t>
                      </w:r>
                      <w:proofErr w:type="spellEnd"/>
                      <w:r w:rsidRPr="00200E08">
                        <w:rPr>
                          <w:rFonts w:asciiTheme="minorHAnsi" w:hAnsiTheme="minorHAnsi" w:cstheme="minorHAnsi"/>
                          <w:i/>
                          <w:iCs/>
                          <w:color w:val="2C2D5B"/>
                          <w:sz w:val="19"/>
                          <w:szCs w:val="19"/>
                          <w:lang w:val="en-US"/>
                        </w:rPr>
                        <w:t>), the Court of Justice of the European Union held that, where it is impossible to interpret national legislation in such a way as to ensure compliance with Article 7 of Directive 2003/88/EC and Article 31(2) of the Charter of Fundamental Rights, The national court must disapply that national legislation. The Court of Justice of the European Union clarifies that this obligation is imposed on the national court under Article 7 of Directive 2003/88/EC and Article 31(2) of the Charter of Fundamental Rights where the dispute is between a beneficiary of the right to leave and an employer having the status of a public authority and under the latter of those provisions where the dispute is between the beneficiary and an employer who has the status of a private individual.»</w:t>
                      </w:r>
                    </w:p>
                    <w:p w14:paraId="02751DF1" w14:textId="77777777" w:rsidR="00B93A55" w:rsidRPr="00200E08" w:rsidRDefault="00B93A55" w:rsidP="00B93A55">
                      <w:pPr>
                        <w:spacing w:after="120" w:line="276" w:lineRule="auto"/>
                        <w:jc w:val="both"/>
                        <w:rPr>
                          <w:rFonts w:asciiTheme="minorHAnsi" w:hAnsiTheme="minorHAnsi" w:cstheme="minorHAnsi"/>
                          <w:i/>
                          <w:color w:val="2C2D5B"/>
                          <w:sz w:val="19"/>
                          <w:szCs w:val="19"/>
                          <w:lang w:val="en-US"/>
                        </w:rPr>
                      </w:pPr>
                      <w:r w:rsidRPr="00200E08">
                        <w:rPr>
                          <w:rFonts w:asciiTheme="minorHAnsi" w:hAnsiTheme="minorHAnsi" w:cstheme="minorHAnsi"/>
                          <w:i/>
                          <w:color w:val="2C2D5B"/>
                          <w:sz w:val="19"/>
                          <w:szCs w:val="19"/>
                          <w:lang w:val="en-US"/>
                        </w:rPr>
                        <w:t>[…]</w:t>
                      </w:r>
                    </w:p>
                    <w:p w14:paraId="620A65F0" w14:textId="77777777" w:rsidR="00B93A55" w:rsidRPr="00200E08" w:rsidRDefault="00B93A55" w:rsidP="00B93A55">
                      <w:pPr>
                        <w:spacing w:after="120" w:line="276" w:lineRule="auto"/>
                        <w:jc w:val="both"/>
                        <w:rPr>
                          <w:rFonts w:asciiTheme="minorHAnsi" w:hAnsiTheme="minorHAnsi" w:cstheme="minorHAnsi"/>
                          <w:color w:val="2C2D5B"/>
                          <w:sz w:val="19"/>
                          <w:szCs w:val="19"/>
                          <w:lang w:val="en-US"/>
                        </w:rPr>
                      </w:pPr>
                      <w:r w:rsidRPr="00200E08">
                        <w:rPr>
                          <w:rFonts w:asciiTheme="minorHAnsi" w:hAnsiTheme="minorHAnsi" w:cstheme="minorHAnsi"/>
                          <w:i/>
                          <w:iCs/>
                          <w:color w:val="2C2D5B"/>
                          <w:sz w:val="19"/>
                          <w:szCs w:val="19"/>
                          <w:lang w:val="en-US"/>
                        </w:rPr>
                        <w:t xml:space="preserve">15. </w:t>
                      </w:r>
                      <w:r w:rsidRPr="00200E08">
                        <w:rPr>
                          <w:rFonts w:asciiTheme="minorHAnsi" w:hAnsiTheme="minorHAnsi" w:cstheme="minorHAnsi"/>
                          <w:b/>
                          <w:bCs/>
                          <w:i/>
                          <w:iCs/>
                          <w:color w:val="2C2D5B"/>
                          <w:sz w:val="19"/>
                          <w:szCs w:val="19"/>
                          <w:lang w:val="en-US"/>
                        </w:rPr>
                        <w:t>It is therefore necessary to disapply in part the application of the provisions of</w:t>
                      </w:r>
                      <w:r w:rsidRPr="00200E08">
                        <w:rPr>
                          <w:b/>
                          <w:bCs/>
                          <w:i/>
                          <w:iCs/>
                          <w:color w:val="2C2D5B"/>
                          <w:sz w:val="19"/>
                          <w:szCs w:val="19"/>
                          <w:lang w:val="en-US"/>
                        </w:rPr>
                        <w:t xml:space="preserve"> </w:t>
                      </w:r>
                      <w:r w:rsidRPr="00200E08">
                        <w:rPr>
                          <w:rFonts w:asciiTheme="minorHAnsi" w:hAnsiTheme="minorHAnsi" w:cstheme="minorHAnsi"/>
                          <w:b/>
                          <w:bCs/>
                          <w:i/>
                          <w:iCs/>
                          <w:color w:val="2C2D5B"/>
                          <w:sz w:val="19"/>
                          <w:szCs w:val="19"/>
                          <w:lang w:val="en-US"/>
                        </w:rPr>
                        <w:t xml:space="preserve">Article L. 3141-3 of the </w:t>
                      </w:r>
                      <w:proofErr w:type="spellStart"/>
                      <w:r w:rsidRPr="00200E08">
                        <w:rPr>
                          <w:rFonts w:asciiTheme="minorHAnsi" w:hAnsiTheme="minorHAnsi" w:cstheme="minorHAnsi"/>
                          <w:b/>
                          <w:bCs/>
                          <w:i/>
                          <w:iCs/>
                          <w:color w:val="2C2D5B"/>
                          <w:sz w:val="19"/>
                          <w:szCs w:val="19"/>
                          <w:lang w:val="en-US"/>
                        </w:rPr>
                        <w:t>Labour</w:t>
                      </w:r>
                      <w:proofErr w:type="spellEnd"/>
                      <w:r w:rsidRPr="00200E08">
                        <w:rPr>
                          <w:rFonts w:asciiTheme="minorHAnsi" w:hAnsiTheme="minorHAnsi" w:cstheme="minorHAnsi"/>
                          <w:b/>
                          <w:bCs/>
                          <w:i/>
                          <w:iCs/>
                          <w:color w:val="2C2D5B"/>
                          <w:sz w:val="19"/>
                          <w:szCs w:val="19"/>
                          <w:lang w:val="en-US"/>
                        </w:rPr>
                        <w:t xml:space="preserve"> Code</w:t>
                      </w:r>
                      <w:r w:rsidRPr="00200E08">
                        <w:rPr>
                          <w:rFonts w:asciiTheme="minorHAnsi" w:hAnsiTheme="minorHAnsi" w:cstheme="minorHAnsi"/>
                          <w:i/>
                          <w:iCs/>
                          <w:color w:val="2C2D5B"/>
                          <w:sz w:val="19"/>
                          <w:szCs w:val="19"/>
                          <w:lang w:val="en-US"/>
                        </w:rPr>
                        <w:t xml:space="preserve"> in so far as they make the acquisition of rights to paid leave by an employee whose employment contract is suspended as a result of a stoppage of work due to a non-occupational disease to be ruled in part, and to hold that the employee may claim his or her rights to paid leave in respect of that period in application of the provisions of Articles L. 3141-3 and L. 3141-9 of the </w:t>
                      </w:r>
                      <w:proofErr w:type="spellStart"/>
                      <w:r w:rsidRPr="00200E08">
                        <w:rPr>
                          <w:rFonts w:asciiTheme="minorHAnsi" w:hAnsiTheme="minorHAnsi" w:cstheme="minorHAnsi"/>
                          <w:i/>
                          <w:iCs/>
                          <w:color w:val="2C2D5B"/>
                          <w:sz w:val="19"/>
                          <w:szCs w:val="19"/>
                          <w:lang w:val="en-US"/>
                        </w:rPr>
                        <w:t>Labour</w:t>
                      </w:r>
                      <w:proofErr w:type="spellEnd"/>
                      <w:r w:rsidRPr="00200E08">
                        <w:rPr>
                          <w:rFonts w:asciiTheme="minorHAnsi" w:hAnsiTheme="minorHAnsi" w:cstheme="minorHAnsi"/>
                          <w:i/>
                          <w:iCs/>
                          <w:color w:val="2C2D5B"/>
                          <w:sz w:val="19"/>
                          <w:szCs w:val="19"/>
                          <w:lang w:val="en-US"/>
                        </w:rPr>
                        <w:t xml:space="preserve"> Code".</w:t>
                      </w:r>
                    </w:p>
                    <w:p w14:paraId="43F59BA8" w14:textId="77777777" w:rsidR="00B93A55" w:rsidRPr="00B93A55" w:rsidRDefault="00B93A55" w:rsidP="00327D5A">
                      <w:pPr>
                        <w:jc w:val="both"/>
                        <w:rPr>
                          <w:rFonts w:asciiTheme="minorHAnsi" w:hAnsiTheme="minorHAnsi" w:cstheme="minorHAnsi"/>
                          <w:sz w:val="20"/>
                          <w:szCs w:val="20"/>
                          <w:lang w:val="en-US"/>
                        </w:rPr>
                      </w:pPr>
                    </w:p>
                  </w:txbxContent>
                </v:textbox>
                <w10:wrap type="square" anchorx="margin"/>
              </v:roundrect>
            </w:pict>
          </mc:Fallback>
        </mc:AlternateContent>
      </w:r>
    </w:p>
    <w:p w14:paraId="761A6001" w14:textId="77777777" w:rsidR="00200E08" w:rsidRDefault="00200E08" w:rsidP="0049009B">
      <w:pPr>
        <w:spacing w:after="120" w:line="276" w:lineRule="auto"/>
        <w:jc w:val="both"/>
        <w:rPr>
          <w:rFonts w:asciiTheme="majorHAnsi" w:hAnsiTheme="majorHAnsi" w:cstheme="majorHAnsi"/>
          <w:color w:val="2C2D5B"/>
        </w:rPr>
      </w:pPr>
    </w:p>
    <w:p w14:paraId="3798808A" w14:textId="77777777" w:rsidR="00200E08" w:rsidRDefault="00200E08" w:rsidP="0049009B">
      <w:pPr>
        <w:spacing w:after="120" w:line="276" w:lineRule="auto"/>
        <w:jc w:val="both"/>
        <w:rPr>
          <w:rFonts w:asciiTheme="majorHAnsi" w:hAnsiTheme="majorHAnsi" w:cstheme="majorHAnsi"/>
          <w:color w:val="2C2D5B"/>
        </w:rPr>
      </w:pPr>
    </w:p>
    <w:p w14:paraId="2C703B19" w14:textId="77777777" w:rsidR="00200E08" w:rsidRDefault="00200E08" w:rsidP="0049009B">
      <w:pPr>
        <w:spacing w:after="120" w:line="276" w:lineRule="auto"/>
        <w:jc w:val="both"/>
        <w:rPr>
          <w:rFonts w:asciiTheme="majorHAnsi" w:hAnsiTheme="majorHAnsi" w:cstheme="majorHAnsi"/>
          <w:color w:val="2C2D5B"/>
        </w:rPr>
      </w:pPr>
    </w:p>
    <w:p w14:paraId="291ED54F" w14:textId="77777777" w:rsidR="00200E08" w:rsidRDefault="00200E08" w:rsidP="0049009B">
      <w:pPr>
        <w:spacing w:after="120" w:line="276" w:lineRule="auto"/>
        <w:jc w:val="both"/>
        <w:rPr>
          <w:rFonts w:asciiTheme="majorHAnsi" w:hAnsiTheme="majorHAnsi" w:cstheme="majorHAnsi"/>
          <w:color w:val="2C2D5B"/>
        </w:rPr>
      </w:pPr>
    </w:p>
    <w:p w14:paraId="10D8990A" w14:textId="77777777" w:rsidR="00200E08" w:rsidRDefault="00200E08" w:rsidP="0049009B">
      <w:pPr>
        <w:spacing w:after="120" w:line="276" w:lineRule="auto"/>
        <w:jc w:val="both"/>
        <w:rPr>
          <w:rFonts w:asciiTheme="majorHAnsi" w:hAnsiTheme="majorHAnsi" w:cstheme="majorHAnsi"/>
          <w:color w:val="2C2D5B"/>
        </w:rPr>
      </w:pPr>
    </w:p>
    <w:p w14:paraId="1C5ABC3F" w14:textId="15DB6E2B" w:rsidR="00383F1C" w:rsidRPr="00200E08" w:rsidRDefault="00B93A55" w:rsidP="00B93A55">
      <w:pPr>
        <w:spacing w:after="120" w:line="276" w:lineRule="auto"/>
        <w:jc w:val="both"/>
        <w:rPr>
          <w:rFonts w:asciiTheme="majorHAnsi" w:hAnsiTheme="majorHAnsi" w:cstheme="majorHAnsi"/>
          <w:color w:val="2C2D5B"/>
        </w:rPr>
      </w:pPr>
      <w:r w:rsidRPr="008E22D3">
        <w:rPr>
          <w:rFonts w:asciiTheme="majorHAnsi" w:hAnsiTheme="majorHAnsi" w:cstheme="majorHAnsi"/>
          <w:color w:val="2C2D5B"/>
        </w:rPr>
        <w:t xml:space="preserve">Another recent and significant </w:t>
      </w:r>
      <w:r w:rsidR="0049009B" w:rsidRPr="008E22D3">
        <w:rPr>
          <w:rFonts w:asciiTheme="majorHAnsi" w:hAnsiTheme="majorHAnsi" w:cstheme="majorHAnsi"/>
          <w:color w:val="2C2D5B"/>
        </w:rPr>
        <w:t xml:space="preserve">example </w:t>
      </w:r>
      <w:r w:rsidRPr="008E22D3">
        <w:rPr>
          <w:rFonts w:asciiTheme="majorHAnsi" w:hAnsiTheme="majorHAnsi" w:cstheme="majorHAnsi"/>
          <w:color w:val="2C2D5B"/>
        </w:rPr>
        <w:t xml:space="preserve">involves </w:t>
      </w:r>
      <w:r w:rsidR="0049009B" w:rsidRPr="008E22D3">
        <w:rPr>
          <w:rFonts w:asciiTheme="majorHAnsi" w:hAnsiTheme="majorHAnsi" w:cstheme="majorHAnsi"/>
          <w:color w:val="2C2D5B"/>
        </w:rPr>
        <w:t xml:space="preserve">the interpretation of the </w:t>
      </w:r>
      <w:r w:rsidR="000748A3" w:rsidRPr="008E22D3">
        <w:rPr>
          <w:rFonts w:asciiTheme="majorHAnsi" w:hAnsiTheme="majorHAnsi" w:cstheme="majorHAnsi"/>
          <w:color w:val="2C2D5B"/>
        </w:rPr>
        <w:t xml:space="preserve">French </w:t>
      </w:r>
      <w:r w:rsidR="0049009B" w:rsidRPr="008E22D3">
        <w:rPr>
          <w:rFonts w:asciiTheme="majorHAnsi" w:hAnsiTheme="majorHAnsi" w:cstheme="majorHAnsi"/>
          <w:color w:val="2C2D5B"/>
        </w:rPr>
        <w:t xml:space="preserve">Labour Code </w:t>
      </w:r>
      <w:r w:rsidRPr="008E22D3">
        <w:rPr>
          <w:rFonts w:asciiTheme="majorHAnsi" w:hAnsiTheme="majorHAnsi" w:cstheme="majorHAnsi"/>
          <w:color w:val="2C2D5B"/>
        </w:rPr>
        <w:t>with respect to</w:t>
      </w:r>
      <w:r w:rsidR="0049009B" w:rsidRPr="008E22D3">
        <w:rPr>
          <w:rFonts w:asciiTheme="majorHAnsi" w:hAnsiTheme="majorHAnsi" w:cstheme="majorHAnsi"/>
          <w:color w:val="2C2D5B"/>
        </w:rPr>
        <w:t xml:space="preserve"> paid sick leave</w:t>
      </w:r>
      <w:r w:rsidRPr="008E22D3">
        <w:rPr>
          <w:rFonts w:asciiTheme="majorHAnsi" w:hAnsiTheme="majorHAnsi" w:cstheme="majorHAnsi"/>
          <w:color w:val="2C2D5B"/>
        </w:rPr>
        <w:t>, as viewed through the lens of</w:t>
      </w:r>
      <w:r w:rsidR="0049009B" w:rsidRPr="008E22D3">
        <w:rPr>
          <w:rFonts w:asciiTheme="majorHAnsi" w:hAnsiTheme="majorHAnsi" w:cstheme="majorHAnsi"/>
          <w:color w:val="2C2D5B"/>
        </w:rPr>
        <w:t xml:space="preserve"> EU law </w:t>
      </w:r>
      <w:r w:rsidRPr="008E22D3">
        <w:rPr>
          <w:rFonts w:asciiTheme="majorHAnsi" w:hAnsiTheme="majorHAnsi" w:cstheme="majorHAnsi"/>
          <w:color w:val="2C2D5B"/>
        </w:rPr>
        <w:t xml:space="preserve">and the EChFR. </w:t>
      </w:r>
    </w:p>
    <w:p w14:paraId="3E47BE46" w14:textId="77777777" w:rsidR="006232DA" w:rsidRPr="005A6959" w:rsidRDefault="006232DA" w:rsidP="0049009B">
      <w:pPr>
        <w:spacing w:after="120" w:line="276" w:lineRule="auto"/>
        <w:jc w:val="both"/>
        <w:rPr>
          <w:rFonts w:ascii="Calibri" w:hAnsi="Calibri" w:cs="Calibri"/>
        </w:rPr>
      </w:pPr>
    </w:p>
    <w:p w14:paraId="33D8B540" w14:textId="5DC3D275" w:rsidR="00964A3A" w:rsidRPr="00200E08" w:rsidRDefault="00C305B6" w:rsidP="00383F1C">
      <w:pPr>
        <w:ind w:left="708" w:hanging="992"/>
        <w:jc w:val="both"/>
        <w:rPr>
          <w:rFonts w:ascii="Calibri" w:hAnsi="Calibri" w:cs="Calibri"/>
          <w:b/>
          <w:bCs/>
          <w:color w:val="2F5496" w:themeColor="accent1" w:themeShade="BF"/>
          <w:sz w:val="32"/>
          <w:szCs w:val="32"/>
        </w:rPr>
      </w:pPr>
      <w:r w:rsidRPr="00383F1C">
        <w:rPr>
          <w:rFonts w:ascii="Calibri" w:hAnsi="Calibri" w:cs="Calibri"/>
          <w:b/>
          <w:bCs/>
          <w:color w:val="B6A04C"/>
          <w:sz w:val="32"/>
          <w:szCs w:val="32"/>
        </w:rPr>
        <w:t xml:space="preserve">2.3 </w:t>
      </w:r>
      <w:r w:rsidRPr="00200E08">
        <w:rPr>
          <w:rFonts w:ascii="Calibri" w:hAnsi="Calibri" w:cs="Calibri"/>
          <w:b/>
          <w:bCs/>
          <w:color w:val="2F5496" w:themeColor="accent1" w:themeShade="BF"/>
          <w:sz w:val="32"/>
          <w:szCs w:val="32"/>
        </w:rPr>
        <w:t>Case stud</w:t>
      </w:r>
      <w:r w:rsidR="0040044A" w:rsidRPr="00200E08">
        <w:rPr>
          <w:rFonts w:ascii="Calibri" w:hAnsi="Calibri" w:cs="Calibri"/>
          <w:b/>
          <w:bCs/>
          <w:color w:val="2F5496" w:themeColor="accent1" w:themeShade="BF"/>
          <w:sz w:val="32"/>
          <w:szCs w:val="32"/>
        </w:rPr>
        <w:t>ies</w:t>
      </w:r>
      <w:r w:rsidR="00383F1C" w:rsidRPr="00200E08">
        <w:rPr>
          <w:rFonts w:ascii="Calibri" w:hAnsi="Calibri" w:cs="Calibri"/>
          <w:b/>
          <w:bCs/>
          <w:color w:val="2F5496" w:themeColor="accent1" w:themeShade="BF"/>
          <w:sz w:val="32"/>
          <w:szCs w:val="32"/>
        </w:rPr>
        <w:t xml:space="preserve"> </w:t>
      </w:r>
      <w:r w:rsidRPr="00200E08">
        <w:rPr>
          <w:rFonts w:ascii="Calibri" w:hAnsi="Calibri" w:cs="Calibri"/>
          <w:b/>
          <w:bCs/>
          <w:color w:val="2F5496" w:themeColor="accent1" w:themeShade="BF"/>
          <w:sz w:val="32"/>
          <w:szCs w:val="32"/>
        </w:rPr>
        <w:t xml:space="preserve">: Application of the Charter by national courts </w:t>
      </w:r>
    </w:p>
    <w:p w14:paraId="410A5608" w14:textId="77777777" w:rsidR="006232DA" w:rsidRPr="006232DA" w:rsidRDefault="006232DA" w:rsidP="006232DA">
      <w:pPr>
        <w:ind w:left="708"/>
        <w:jc w:val="both"/>
        <w:rPr>
          <w:rFonts w:ascii="Calibri" w:hAnsi="Calibri" w:cs="Calibri"/>
          <w:color w:val="0070C0"/>
          <w:sz w:val="32"/>
          <w:szCs w:val="32"/>
        </w:rPr>
      </w:pPr>
    </w:p>
    <w:p w14:paraId="5DE1A38E" w14:textId="1DCE3E80" w:rsidR="0049009B" w:rsidRPr="00383F1C" w:rsidRDefault="0049009B" w:rsidP="0049009B">
      <w:pPr>
        <w:spacing w:after="120" w:line="276" w:lineRule="auto"/>
        <w:jc w:val="both"/>
        <w:rPr>
          <w:rFonts w:ascii="Calibri" w:hAnsi="Calibri" w:cs="Calibri"/>
          <w:color w:val="2C2D5B"/>
        </w:rPr>
      </w:pPr>
      <w:r w:rsidRPr="00383F1C">
        <w:rPr>
          <w:rFonts w:ascii="Calibri" w:hAnsi="Calibri" w:cs="Calibri"/>
          <w:color w:val="2C2D5B"/>
        </w:rPr>
        <w:t>Although French courts</w:t>
      </w:r>
      <w:r w:rsidR="00AF0A89" w:rsidRPr="00383F1C">
        <w:rPr>
          <w:rFonts w:ascii="Calibri" w:hAnsi="Calibri" w:cs="Calibri"/>
          <w:color w:val="2C2D5B"/>
        </w:rPr>
        <w:t xml:space="preserve"> have increasingly incorporated </w:t>
      </w:r>
      <w:r w:rsidRPr="00383F1C">
        <w:rPr>
          <w:rFonts w:ascii="Calibri" w:hAnsi="Calibri" w:cs="Calibri"/>
          <w:color w:val="2C2D5B"/>
        </w:rPr>
        <w:t xml:space="preserve">the </w:t>
      </w:r>
      <w:r w:rsidR="00AF0A89" w:rsidRPr="00383F1C">
        <w:rPr>
          <w:rFonts w:ascii="Calibri" w:hAnsi="Calibri" w:cs="Calibri"/>
          <w:color w:val="2C2D5B"/>
        </w:rPr>
        <w:t>ECHR into their jurisprudence</w:t>
      </w:r>
      <w:r w:rsidRPr="00383F1C">
        <w:rPr>
          <w:rFonts w:ascii="Calibri" w:hAnsi="Calibri" w:cs="Calibri"/>
          <w:color w:val="2C2D5B"/>
        </w:rPr>
        <w:t xml:space="preserve">, the </w:t>
      </w:r>
      <w:r w:rsidR="00AF0A89" w:rsidRPr="00383F1C">
        <w:rPr>
          <w:rFonts w:ascii="Calibri" w:hAnsi="Calibri" w:cs="Calibri"/>
          <w:color w:val="2C2D5B"/>
        </w:rPr>
        <w:t>EChFR</w:t>
      </w:r>
      <w:r w:rsidRPr="00383F1C">
        <w:rPr>
          <w:rFonts w:ascii="Calibri" w:hAnsi="Calibri" w:cs="Calibri"/>
          <w:color w:val="2C2D5B"/>
        </w:rPr>
        <w:t xml:space="preserve"> </w:t>
      </w:r>
      <w:r w:rsidR="00AF0A89" w:rsidRPr="00383F1C">
        <w:rPr>
          <w:rFonts w:ascii="Calibri" w:hAnsi="Calibri" w:cs="Calibri"/>
          <w:color w:val="2C2D5B"/>
        </w:rPr>
        <w:t>remains</w:t>
      </w:r>
      <w:r w:rsidR="006235FE" w:rsidRPr="00383F1C">
        <w:rPr>
          <w:rFonts w:ascii="Calibri" w:hAnsi="Calibri" w:cs="Calibri"/>
          <w:color w:val="2C2D5B"/>
        </w:rPr>
        <w:t xml:space="preserve"> </w:t>
      </w:r>
      <w:r w:rsidR="00AF0A89" w:rsidRPr="00383F1C">
        <w:rPr>
          <w:rFonts w:ascii="Calibri" w:hAnsi="Calibri" w:cs="Calibri"/>
          <w:color w:val="2C2D5B"/>
        </w:rPr>
        <w:t>underutilised</w:t>
      </w:r>
      <w:r w:rsidR="006232DA" w:rsidRPr="00383F1C">
        <w:rPr>
          <w:rFonts w:ascii="Calibri" w:hAnsi="Calibri" w:cs="Calibri"/>
          <w:color w:val="2C2D5B"/>
        </w:rPr>
        <w:t xml:space="preserve">, </w:t>
      </w:r>
      <w:r w:rsidR="00AF0A89" w:rsidRPr="00383F1C">
        <w:rPr>
          <w:rFonts w:ascii="Calibri" w:hAnsi="Calibri" w:cs="Calibri"/>
          <w:color w:val="2C2D5B"/>
        </w:rPr>
        <w:t xml:space="preserve">resulting in limited influence on </w:t>
      </w:r>
      <w:r w:rsidRPr="00383F1C">
        <w:rPr>
          <w:rFonts w:ascii="Calibri" w:hAnsi="Calibri" w:cs="Calibri"/>
          <w:color w:val="2C2D5B"/>
        </w:rPr>
        <w:t xml:space="preserve">national </w:t>
      </w:r>
      <w:r w:rsidR="00AF0A89" w:rsidRPr="00383F1C">
        <w:rPr>
          <w:rFonts w:ascii="Calibri" w:hAnsi="Calibri" w:cs="Calibri"/>
          <w:color w:val="2C2D5B"/>
        </w:rPr>
        <w:t xml:space="preserve">judicial </w:t>
      </w:r>
      <w:r w:rsidRPr="00383F1C">
        <w:rPr>
          <w:rFonts w:ascii="Calibri" w:hAnsi="Calibri" w:cs="Calibri"/>
          <w:color w:val="2C2D5B"/>
        </w:rPr>
        <w:t>decisions</w:t>
      </w:r>
      <w:r w:rsidR="00AF0A89" w:rsidRPr="00383F1C">
        <w:rPr>
          <w:rFonts w:ascii="Calibri" w:hAnsi="Calibri" w:cs="Calibri"/>
          <w:color w:val="2C2D5B"/>
        </w:rPr>
        <w:t xml:space="preserve"> and a corresponding scarcity of case law</w:t>
      </w:r>
      <w:r w:rsidRPr="00383F1C">
        <w:rPr>
          <w:rFonts w:ascii="Calibri" w:hAnsi="Calibri" w:cs="Calibri"/>
          <w:color w:val="2C2D5B"/>
        </w:rPr>
        <w:t xml:space="preserve">. </w:t>
      </w:r>
      <w:r w:rsidR="00AF0A89" w:rsidRPr="00383F1C">
        <w:rPr>
          <w:rFonts w:ascii="Calibri" w:hAnsi="Calibri" w:cs="Calibri"/>
          <w:color w:val="2C2D5B"/>
        </w:rPr>
        <w:t>While p</w:t>
      </w:r>
      <w:r w:rsidRPr="00383F1C">
        <w:rPr>
          <w:rFonts w:ascii="Calibri" w:hAnsi="Calibri" w:cs="Calibri"/>
          <w:color w:val="2C2D5B"/>
        </w:rPr>
        <w:t xml:space="preserve">rogress has been made, </w:t>
      </w:r>
      <w:r w:rsidR="00AF0A89" w:rsidRPr="00383F1C">
        <w:rPr>
          <w:rFonts w:ascii="Calibri" w:hAnsi="Calibri" w:cs="Calibri"/>
          <w:color w:val="2C2D5B"/>
        </w:rPr>
        <w:t xml:space="preserve">French judges do not consistently align </w:t>
      </w:r>
      <w:r w:rsidRPr="00383F1C">
        <w:rPr>
          <w:rFonts w:ascii="Calibri" w:hAnsi="Calibri" w:cs="Calibri"/>
          <w:color w:val="2C2D5B"/>
        </w:rPr>
        <w:t>with EU law</w:t>
      </w:r>
      <w:r w:rsidR="00AF0A89" w:rsidRPr="00383F1C">
        <w:rPr>
          <w:rFonts w:ascii="Calibri" w:hAnsi="Calibri" w:cs="Calibri"/>
          <w:color w:val="2C2D5B"/>
        </w:rPr>
        <w:t>. This is sometimes due to a reluctance to refer cases to the CJEU when a preliminary ruling is warranted, or to a resistance to the CJEU’s interpretations.</w:t>
      </w:r>
    </w:p>
    <w:p w14:paraId="344C63D1" w14:textId="0C40831A" w:rsidR="0049009B" w:rsidRPr="00383F1C" w:rsidRDefault="0049009B" w:rsidP="0049009B">
      <w:pPr>
        <w:spacing w:after="120" w:line="276" w:lineRule="auto"/>
        <w:jc w:val="both"/>
        <w:rPr>
          <w:rFonts w:ascii="Calibri" w:hAnsi="Calibri" w:cs="Calibri"/>
          <w:color w:val="2C2D5B"/>
        </w:rPr>
      </w:pPr>
      <w:r w:rsidRPr="00383F1C">
        <w:rPr>
          <w:rFonts w:ascii="Calibri" w:hAnsi="Calibri" w:cs="Calibri"/>
          <w:color w:val="2C2D5B"/>
        </w:rPr>
        <w:t xml:space="preserve">Very often, the </w:t>
      </w:r>
      <w:r w:rsidRPr="00383F1C">
        <w:rPr>
          <w:rFonts w:ascii="Calibri" w:hAnsi="Calibri" w:cs="Calibri"/>
          <w:i/>
          <w:iCs/>
          <w:color w:val="2C2D5B"/>
        </w:rPr>
        <w:t>Conseil d’État,</w:t>
      </w:r>
      <w:r w:rsidRPr="00383F1C">
        <w:rPr>
          <w:rFonts w:ascii="Calibri" w:hAnsi="Calibri" w:cs="Calibri"/>
          <w:color w:val="2C2D5B"/>
        </w:rPr>
        <w:t xml:space="preserve"> </w:t>
      </w:r>
      <w:r w:rsidR="00AF0A89" w:rsidRPr="00383F1C">
        <w:rPr>
          <w:rFonts w:ascii="Calibri" w:hAnsi="Calibri" w:cs="Calibri"/>
          <w:color w:val="2C2D5B"/>
        </w:rPr>
        <w:t>when presented with legal arguments invoking both the ECHR and the EChFR</w:t>
      </w:r>
      <w:r w:rsidRPr="00383F1C">
        <w:rPr>
          <w:rFonts w:ascii="Calibri" w:hAnsi="Calibri" w:cs="Calibri"/>
          <w:color w:val="2C2D5B"/>
        </w:rPr>
        <w:t xml:space="preserve">, will </w:t>
      </w:r>
      <w:r w:rsidR="005E5F6C" w:rsidRPr="00383F1C">
        <w:rPr>
          <w:rFonts w:ascii="Calibri" w:hAnsi="Calibri" w:cs="Calibri"/>
          <w:color w:val="2C2D5B"/>
        </w:rPr>
        <w:t xml:space="preserve">address the matter solely by applying the ECHR, </w:t>
      </w:r>
      <w:r w:rsidRPr="00383F1C">
        <w:rPr>
          <w:rFonts w:ascii="Calibri" w:hAnsi="Calibri" w:cs="Calibri"/>
          <w:color w:val="2C2D5B"/>
        </w:rPr>
        <w:t xml:space="preserve">affirming that </w:t>
      </w:r>
      <w:r w:rsidR="005E5F6C" w:rsidRPr="00383F1C">
        <w:rPr>
          <w:rFonts w:ascii="Calibri" w:hAnsi="Calibri" w:cs="Calibri"/>
          <w:color w:val="2C2D5B"/>
        </w:rPr>
        <w:t xml:space="preserve">this approach yields the same outcome under the EChFR. </w:t>
      </w:r>
    </w:p>
    <w:p w14:paraId="0DADCD12" w14:textId="5FF481AB" w:rsidR="006232DA" w:rsidRPr="00383F1C" w:rsidRDefault="005E5F6C" w:rsidP="0049009B">
      <w:pPr>
        <w:spacing w:after="120" w:line="276" w:lineRule="auto"/>
        <w:jc w:val="both"/>
        <w:rPr>
          <w:rFonts w:ascii="Calibri" w:hAnsi="Calibri" w:cs="Calibri"/>
          <w:color w:val="2C2D5B"/>
        </w:rPr>
      </w:pPr>
      <w:r w:rsidRPr="00383F1C">
        <w:rPr>
          <w:rFonts w:ascii="Calibri" w:hAnsi="Calibri" w:cs="Calibri"/>
          <w:color w:val="2C2D5B"/>
        </w:rPr>
        <w:t xml:space="preserve">Highlighted below are </w:t>
      </w:r>
      <w:r w:rsidRPr="00383F1C">
        <w:rPr>
          <w:rFonts w:ascii="Calibri" w:hAnsi="Calibri" w:cs="Calibri"/>
          <w:b/>
          <w:bCs/>
          <w:color w:val="2C2D5B"/>
        </w:rPr>
        <w:t xml:space="preserve">noteworthy cases </w:t>
      </w:r>
      <w:r w:rsidRPr="00383F1C">
        <w:rPr>
          <w:rFonts w:ascii="Calibri" w:hAnsi="Calibri" w:cs="Calibri"/>
          <w:color w:val="2C2D5B"/>
        </w:rPr>
        <w:t>in which French courts have applied – or resisted applying – the EChF</w:t>
      </w:r>
      <w:r w:rsidR="00ED05AB" w:rsidRPr="00383F1C">
        <w:rPr>
          <w:rFonts w:ascii="Calibri" w:hAnsi="Calibri" w:cs="Calibri"/>
          <w:color w:val="2C2D5B"/>
        </w:rPr>
        <w:t>R</w:t>
      </w:r>
      <w:r w:rsidR="00383F1C" w:rsidRPr="00383F1C">
        <w:rPr>
          <w:rFonts w:ascii="Calibri" w:hAnsi="Calibri" w:cs="Calibri"/>
          <w:color w:val="2C2D5B"/>
        </w:rPr>
        <w:t xml:space="preserve"> </w:t>
      </w:r>
      <w:r w:rsidR="00ED05AB" w:rsidRPr="00383F1C">
        <w:rPr>
          <w:rFonts w:ascii="Calibri" w:hAnsi="Calibri" w:cs="Calibri"/>
          <w:color w:val="2C2D5B"/>
        </w:rPr>
        <w:t xml:space="preserve">: </w:t>
      </w:r>
    </w:p>
    <w:p w14:paraId="281FCAE3" w14:textId="77777777" w:rsidR="00ED05AB" w:rsidRDefault="00ED05AB" w:rsidP="0049009B">
      <w:pPr>
        <w:spacing w:after="120" w:line="276" w:lineRule="auto"/>
        <w:jc w:val="both"/>
        <w:rPr>
          <w:rFonts w:ascii="Calibri" w:hAnsi="Calibri" w:cs="Calibri"/>
        </w:rPr>
      </w:pPr>
    </w:p>
    <w:p w14:paraId="1B706CF2" w14:textId="77777777" w:rsidR="00ED05AB" w:rsidRDefault="00ED05AB" w:rsidP="0049009B">
      <w:pPr>
        <w:spacing w:after="120" w:line="276" w:lineRule="auto"/>
        <w:jc w:val="both"/>
        <w:rPr>
          <w:rFonts w:ascii="Calibri" w:hAnsi="Calibri" w:cs="Calibri"/>
        </w:rPr>
      </w:pPr>
    </w:p>
    <w:p w14:paraId="635069CE" w14:textId="77777777" w:rsidR="00ED05AB" w:rsidRDefault="00ED05AB" w:rsidP="0049009B">
      <w:pPr>
        <w:spacing w:after="120" w:line="276" w:lineRule="auto"/>
        <w:jc w:val="both"/>
        <w:rPr>
          <w:rFonts w:ascii="Calibri" w:hAnsi="Calibri" w:cs="Calibri"/>
        </w:rPr>
      </w:pPr>
    </w:p>
    <w:p w14:paraId="26A10047" w14:textId="77777777" w:rsidR="00ED05AB" w:rsidRDefault="00ED05AB" w:rsidP="0049009B">
      <w:pPr>
        <w:spacing w:after="120" w:line="276" w:lineRule="auto"/>
        <w:jc w:val="both"/>
        <w:rPr>
          <w:rFonts w:ascii="Calibri" w:hAnsi="Calibri" w:cs="Calibri"/>
        </w:rPr>
      </w:pPr>
    </w:p>
    <w:p w14:paraId="207C4356" w14:textId="77777777" w:rsidR="00ED05AB" w:rsidRDefault="00ED05AB" w:rsidP="0049009B">
      <w:pPr>
        <w:spacing w:after="120" w:line="276" w:lineRule="auto"/>
        <w:jc w:val="both"/>
        <w:rPr>
          <w:rFonts w:ascii="Calibri" w:hAnsi="Calibri" w:cs="Calibri"/>
        </w:rPr>
      </w:pPr>
    </w:p>
    <w:p w14:paraId="7E93DCEC" w14:textId="77777777" w:rsidR="00ED05AB" w:rsidRDefault="00ED05AB" w:rsidP="0049009B">
      <w:pPr>
        <w:spacing w:after="120" w:line="276" w:lineRule="auto"/>
        <w:jc w:val="both"/>
        <w:rPr>
          <w:rFonts w:ascii="Calibri" w:hAnsi="Calibri" w:cs="Calibri"/>
        </w:rPr>
      </w:pPr>
    </w:p>
    <w:p w14:paraId="589B935D" w14:textId="77777777" w:rsidR="00ED05AB" w:rsidRDefault="00ED05AB" w:rsidP="0049009B">
      <w:pPr>
        <w:spacing w:after="120" w:line="276" w:lineRule="auto"/>
        <w:jc w:val="both"/>
        <w:rPr>
          <w:rFonts w:ascii="Calibri" w:hAnsi="Calibri" w:cs="Calibri"/>
        </w:rPr>
      </w:pPr>
    </w:p>
    <w:p w14:paraId="0C4E6EAA" w14:textId="77777777" w:rsidR="00ED05AB" w:rsidRDefault="00ED05AB" w:rsidP="0049009B">
      <w:pPr>
        <w:spacing w:after="120" w:line="276" w:lineRule="auto"/>
        <w:jc w:val="both"/>
        <w:rPr>
          <w:rFonts w:ascii="Calibri" w:hAnsi="Calibri" w:cs="Calibri"/>
        </w:rPr>
      </w:pPr>
    </w:p>
    <w:p w14:paraId="4849857E" w14:textId="77777777" w:rsidR="00ED05AB" w:rsidRDefault="00ED05AB" w:rsidP="0049009B">
      <w:pPr>
        <w:spacing w:after="120" w:line="276" w:lineRule="auto"/>
        <w:jc w:val="both"/>
        <w:rPr>
          <w:rFonts w:ascii="Calibri" w:hAnsi="Calibri" w:cs="Calibri"/>
        </w:rPr>
      </w:pPr>
    </w:p>
    <w:p w14:paraId="6D04AF7A" w14:textId="77777777" w:rsidR="00ED05AB" w:rsidRDefault="00ED05AB" w:rsidP="0049009B">
      <w:pPr>
        <w:spacing w:after="120" w:line="276" w:lineRule="auto"/>
        <w:jc w:val="both"/>
        <w:rPr>
          <w:rFonts w:ascii="Calibri" w:hAnsi="Calibri" w:cs="Calibri"/>
        </w:rPr>
      </w:pPr>
    </w:p>
    <w:p w14:paraId="349948D8" w14:textId="77777777" w:rsidR="00ED05AB" w:rsidRDefault="00ED05AB" w:rsidP="0049009B">
      <w:pPr>
        <w:spacing w:after="120" w:line="276" w:lineRule="auto"/>
        <w:jc w:val="both"/>
        <w:rPr>
          <w:rFonts w:ascii="Calibri" w:hAnsi="Calibri" w:cs="Calibri"/>
        </w:rPr>
      </w:pPr>
    </w:p>
    <w:p w14:paraId="5F54A880" w14:textId="77777777" w:rsidR="00ED05AB" w:rsidRDefault="00ED05AB" w:rsidP="0049009B">
      <w:pPr>
        <w:spacing w:after="120" w:line="276" w:lineRule="auto"/>
        <w:jc w:val="both"/>
        <w:rPr>
          <w:rFonts w:ascii="Calibri" w:hAnsi="Calibri" w:cs="Calibri"/>
        </w:rPr>
      </w:pPr>
    </w:p>
    <w:p w14:paraId="68FC64CF" w14:textId="77777777" w:rsidR="00ED05AB" w:rsidRDefault="00ED05AB" w:rsidP="0049009B">
      <w:pPr>
        <w:spacing w:after="120" w:line="276" w:lineRule="auto"/>
        <w:jc w:val="both"/>
        <w:rPr>
          <w:rFonts w:ascii="Calibri" w:hAnsi="Calibri" w:cs="Calibri"/>
        </w:rPr>
      </w:pPr>
    </w:p>
    <w:p w14:paraId="60A32F70" w14:textId="77777777" w:rsidR="00ED05AB" w:rsidRDefault="00ED05AB" w:rsidP="0049009B">
      <w:pPr>
        <w:spacing w:after="120" w:line="276" w:lineRule="auto"/>
        <w:jc w:val="both"/>
        <w:rPr>
          <w:rFonts w:ascii="Calibri" w:hAnsi="Calibri" w:cs="Calibri"/>
        </w:rPr>
      </w:pPr>
    </w:p>
    <w:p w14:paraId="46030ADF" w14:textId="77777777" w:rsidR="00ED05AB" w:rsidRDefault="00ED05AB" w:rsidP="0049009B">
      <w:pPr>
        <w:spacing w:after="120" w:line="276" w:lineRule="auto"/>
        <w:jc w:val="both"/>
        <w:rPr>
          <w:rFonts w:ascii="Calibri" w:hAnsi="Calibri" w:cs="Calibri"/>
        </w:rPr>
      </w:pPr>
    </w:p>
    <w:p w14:paraId="37D8024D" w14:textId="77777777" w:rsidR="006232DA" w:rsidRDefault="006232DA" w:rsidP="0049009B">
      <w:pPr>
        <w:spacing w:after="120" w:line="276" w:lineRule="auto"/>
        <w:jc w:val="both"/>
        <w:rPr>
          <w:rFonts w:ascii="Calibri" w:hAnsi="Calibri" w:cs="Calibri"/>
        </w:rPr>
      </w:pPr>
    </w:p>
    <w:p w14:paraId="0378964F" w14:textId="77777777" w:rsidR="006232DA" w:rsidRPr="005A6959" w:rsidRDefault="006232DA" w:rsidP="0049009B">
      <w:pPr>
        <w:spacing w:after="120" w:line="276" w:lineRule="auto"/>
        <w:jc w:val="both"/>
        <w:rPr>
          <w:rFonts w:ascii="Calibri" w:hAnsi="Calibri" w:cs="Calibri"/>
        </w:rPr>
      </w:pPr>
    </w:p>
    <w:p w14:paraId="5C89DC1C" w14:textId="171A8547" w:rsidR="005E5F6C" w:rsidRPr="00200E08" w:rsidRDefault="00200E08" w:rsidP="00253E61">
      <w:pPr>
        <w:pStyle w:val="Odstavecseseznamem"/>
        <w:numPr>
          <w:ilvl w:val="0"/>
          <w:numId w:val="18"/>
        </w:numPr>
        <w:jc w:val="both"/>
        <w:rPr>
          <w:rFonts w:ascii="Calibri" w:hAnsi="Calibri" w:cs="Calibri"/>
          <w:i/>
          <w:iCs/>
          <w:color w:val="2F5496" w:themeColor="accent1" w:themeShade="BF"/>
          <w:lang w:val="fr-FR"/>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71584" behindDoc="0" locked="0" layoutInCell="1" allowOverlap="1" wp14:anchorId="7F719565" wp14:editId="22B67864">
            <wp:simplePos x="0" y="0"/>
            <wp:positionH relativeFrom="column">
              <wp:posOffset>5003941</wp:posOffset>
            </wp:positionH>
            <wp:positionV relativeFrom="paragraph">
              <wp:posOffset>185420</wp:posOffset>
            </wp:positionV>
            <wp:extent cx="713105" cy="575310"/>
            <wp:effectExtent l="0" t="0" r="0" b="0"/>
            <wp:wrapNone/>
            <wp:docPr id="1777412783"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0049009B" w:rsidRPr="00200E08">
        <w:rPr>
          <w:rFonts w:ascii="Calibri" w:hAnsi="Calibri" w:cs="Calibri"/>
          <w:b/>
          <w:bCs/>
          <w:i/>
          <w:iCs/>
          <w:color w:val="2F5496" w:themeColor="accent1" w:themeShade="BF"/>
          <w:lang w:val="fr-FR"/>
        </w:rPr>
        <w:t>Matters of asylum</w:t>
      </w:r>
      <w:r w:rsidR="00340CD5" w:rsidRPr="00200E08">
        <w:rPr>
          <w:rFonts w:ascii="Calibri" w:hAnsi="Calibri" w:cs="Calibri"/>
          <w:b/>
          <w:bCs/>
          <w:i/>
          <w:iCs/>
          <w:color w:val="2F5496" w:themeColor="accent1" w:themeShade="BF"/>
          <w:lang w:val="fr-FR"/>
        </w:rPr>
        <w:t xml:space="preserve"> </w:t>
      </w:r>
      <w:r w:rsidR="0049009B" w:rsidRPr="00200E08">
        <w:rPr>
          <w:rFonts w:ascii="Calibri" w:hAnsi="Calibri" w:cs="Calibri"/>
          <w:b/>
          <w:bCs/>
          <w:i/>
          <w:iCs/>
          <w:color w:val="2F5496" w:themeColor="accent1" w:themeShade="BF"/>
          <w:lang w:val="fr-FR"/>
        </w:rPr>
        <w:t>:</w:t>
      </w:r>
      <w:r w:rsidR="0049009B" w:rsidRPr="00200E08">
        <w:rPr>
          <w:rFonts w:ascii="Calibri" w:hAnsi="Calibri" w:cs="Calibri"/>
          <w:i/>
          <w:iCs/>
          <w:color w:val="2F5496" w:themeColor="accent1" w:themeShade="BF"/>
          <w:lang w:val="fr-FR"/>
        </w:rPr>
        <w:t xml:space="preserve"> </w:t>
      </w:r>
    </w:p>
    <w:p w14:paraId="023BACF7" w14:textId="6D775C3D" w:rsidR="00340CD5" w:rsidRPr="00340CD5" w:rsidRDefault="00340CD5" w:rsidP="00340CD5">
      <w:pPr>
        <w:pStyle w:val="Odstavecseseznamem"/>
        <w:jc w:val="both"/>
        <w:rPr>
          <w:rFonts w:ascii="Calibri" w:hAnsi="Calibri" w:cs="Calibri"/>
          <w:i/>
          <w:iCs/>
          <w:color w:val="4472C4" w:themeColor="accent1"/>
          <w:lang w:val="fr-FR"/>
        </w:rPr>
      </w:pPr>
      <w:r w:rsidRPr="00340CD5">
        <w:rPr>
          <w:rFonts w:ascii="Calibri" w:eastAsiaTheme="minorHAnsi" w:hAnsi="Calibri" w:cs="Calibri"/>
          <w:noProof/>
          <w:color w:val="4472C4" w:themeColor="accent1"/>
          <w:lang w:val="fr-FR" w:eastAsia="fr-FR"/>
        </w:rPr>
        <mc:AlternateContent>
          <mc:Choice Requires="wps">
            <w:drawing>
              <wp:anchor distT="45720" distB="45720" distL="114300" distR="114300" simplePos="0" relativeHeight="251764736" behindDoc="0" locked="0" layoutInCell="1" allowOverlap="1" wp14:anchorId="34C851B1" wp14:editId="22E8DDDD">
                <wp:simplePos x="0" y="0"/>
                <wp:positionH relativeFrom="margin">
                  <wp:posOffset>262890</wp:posOffset>
                </wp:positionH>
                <wp:positionV relativeFrom="paragraph">
                  <wp:posOffset>270510</wp:posOffset>
                </wp:positionV>
                <wp:extent cx="5381625" cy="5982970"/>
                <wp:effectExtent l="0" t="0" r="28575" b="17780"/>
                <wp:wrapSquare wrapText="bothSides"/>
                <wp:docPr id="1352767206" name="Zone de texte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1625" cy="5982970"/>
                        </a:xfrm>
                        <a:prstGeom prst="roundRect">
                          <a:avLst/>
                        </a:prstGeom>
                        <a:solidFill>
                          <a:schemeClr val="bg1"/>
                        </a:solidFill>
                        <a:ln w="19050">
                          <a:solidFill>
                            <a:srgbClr val="B6A04C"/>
                          </a:solidFill>
                          <a:miter lim="800000"/>
                          <a:headEnd/>
                          <a:tailEnd/>
                        </a:ln>
                      </wps:spPr>
                      <wps:txbx>
                        <w:txbxContent>
                          <w:p w14:paraId="03F2CD25" w14:textId="35874A0F" w:rsidR="005E5F6C" w:rsidRPr="00340CD5" w:rsidRDefault="005E5F6C" w:rsidP="00340CD5">
                            <w:pPr>
                              <w:jc w:val="center"/>
                              <w:rPr>
                                <w:rFonts w:asciiTheme="minorHAnsi" w:hAnsiTheme="minorHAnsi" w:cstheme="minorHAnsi"/>
                                <w:b/>
                                <w:bCs/>
                                <w:color w:val="B6A04C"/>
                                <w:sz w:val="20"/>
                                <w:szCs w:val="20"/>
                                <w:lang w:val="fr-FR"/>
                              </w:rPr>
                            </w:pPr>
                            <w:r w:rsidRPr="00340CD5">
                              <w:rPr>
                                <w:rFonts w:asciiTheme="minorHAnsi" w:hAnsiTheme="minorHAnsi" w:cstheme="minorHAnsi"/>
                                <w:b/>
                                <w:bCs/>
                                <w:color w:val="B6A04C"/>
                                <w:sz w:val="20"/>
                                <w:szCs w:val="20"/>
                                <w:lang w:val="fr-FR"/>
                              </w:rPr>
                              <w:t>Conseil d’Etat, 2ème – 7ème chambres réunies, 30/01/2017, No.</w:t>
                            </w:r>
                            <w:r w:rsidRPr="00340CD5">
                              <w:rPr>
                                <w:color w:val="B6A04C"/>
                                <w:lang w:val="fr-FR"/>
                              </w:rPr>
                              <w:t xml:space="preserve"> </w:t>
                            </w:r>
                            <w:r w:rsidRPr="00340CD5">
                              <w:rPr>
                                <w:rFonts w:asciiTheme="minorHAnsi" w:hAnsiTheme="minorHAnsi" w:cstheme="minorHAnsi"/>
                                <w:b/>
                                <w:bCs/>
                                <w:color w:val="B6A04C"/>
                                <w:sz w:val="20"/>
                                <w:szCs w:val="20"/>
                                <w:lang w:val="fr-FR"/>
                              </w:rPr>
                              <w:t>394686</w:t>
                            </w:r>
                          </w:p>
                          <w:p w14:paraId="14B4AFC1" w14:textId="77777777" w:rsidR="005E5F6C" w:rsidRPr="00327D5A" w:rsidRDefault="005E5F6C" w:rsidP="005E5F6C">
                            <w:pPr>
                              <w:jc w:val="right"/>
                              <w:rPr>
                                <w:rFonts w:asciiTheme="minorHAnsi" w:hAnsiTheme="minorHAnsi" w:cstheme="minorHAnsi"/>
                                <w:b/>
                                <w:bCs/>
                                <w:sz w:val="20"/>
                                <w:szCs w:val="20"/>
                                <w:lang w:val="fr-FR"/>
                              </w:rPr>
                            </w:pPr>
                          </w:p>
                          <w:p w14:paraId="72C73223" w14:textId="3604E67E" w:rsidR="005E5F6C" w:rsidRPr="00340CD5" w:rsidRDefault="005E5F6C" w:rsidP="005E5F6C">
                            <w:pPr>
                              <w:jc w:val="both"/>
                              <w:rPr>
                                <w:rFonts w:asciiTheme="minorHAnsi" w:hAnsiTheme="minorHAnsi" w:cstheme="minorHAnsi"/>
                                <w:b/>
                                <w:bCs/>
                                <w:color w:val="2C2D5B"/>
                                <w:sz w:val="20"/>
                                <w:szCs w:val="20"/>
                              </w:rPr>
                            </w:pPr>
                            <w:r w:rsidRPr="00340CD5">
                              <w:rPr>
                                <w:rFonts w:asciiTheme="minorHAnsi" w:hAnsiTheme="minorHAnsi" w:cstheme="minorHAnsi"/>
                                <w:b/>
                                <w:bCs/>
                                <w:color w:val="2C2D5B"/>
                                <w:sz w:val="20"/>
                                <w:szCs w:val="20"/>
                              </w:rPr>
                              <w:t>Facts</w:t>
                            </w:r>
                            <w:r w:rsidR="00340CD5" w:rsidRPr="00340CD5">
                              <w:rPr>
                                <w:rFonts w:asciiTheme="minorHAnsi" w:hAnsiTheme="minorHAnsi" w:cstheme="minorHAnsi"/>
                                <w:b/>
                                <w:bCs/>
                                <w:color w:val="2C2D5B"/>
                                <w:sz w:val="20"/>
                                <w:szCs w:val="20"/>
                              </w:rPr>
                              <w:t xml:space="preserve"> </w:t>
                            </w:r>
                            <w:r w:rsidRPr="00340CD5">
                              <w:rPr>
                                <w:rFonts w:asciiTheme="minorHAnsi" w:hAnsiTheme="minorHAnsi" w:cstheme="minorHAnsi"/>
                                <w:b/>
                                <w:bCs/>
                                <w:color w:val="2C2D5B"/>
                                <w:sz w:val="20"/>
                                <w:szCs w:val="20"/>
                              </w:rPr>
                              <w:t xml:space="preserve">: </w:t>
                            </w:r>
                          </w:p>
                          <w:p w14:paraId="5EDB5D4D" w14:textId="77777777" w:rsidR="005E5F6C" w:rsidRPr="00340CD5" w:rsidRDefault="005E5F6C" w:rsidP="005E5F6C">
                            <w:pPr>
                              <w:jc w:val="both"/>
                              <w:rPr>
                                <w:rFonts w:asciiTheme="minorHAnsi" w:hAnsiTheme="minorHAnsi" w:cstheme="minorHAnsi"/>
                                <w:color w:val="2C2D5B"/>
                                <w:sz w:val="20"/>
                                <w:szCs w:val="20"/>
                                <w:lang w:val="en-US"/>
                              </w:rPr>
                            </w:pPr>
                            <w:r w:rsidRPr="00340CD5">
                              <w:rPr>
                                <w:rFonts w:asciiTheme="minorHAnsi" w:hAnsiTheme="minorHAnsi" w:cstheme="minorHAnsi"/>
                                <w:i/>
                                <w:iCs/>
                                <w:color w:val="2C2D5B"/>
                                <w:sz w:val="20"/>
                                <w:szCs w:val="20"/>
                                <w:lang w:val="en-US"/>
                              </w:rPr>
                              <w:t>The Code de l’Entrée et du Séjour des Etrangers et du Droit d’Asile</w:t>
                            </w:r>
                            <w:r w:rsidRPr="00340CD5">
                              <w:rPr>
                                <w:rFonts w:asciiTheme="minorHAnsi" w:hAnsiTheme="minorHAnsi" w:cstheme="minorHAnsi"/>
                                <w:color w:val="2C2D5B"/>
                                <w:sz w:val="20"/>
                                <w:szCs w:val="20"/>
                                <w:lang w:val="en-US"/>
                              </w:rPr>
                              <w:t xml:space="preserve"> (Code on the Entry and Residence of Foreigners and the Right of Asylum) provided for the possibility of taking fingerprints, in accordance with Regulation (EU) no. 603/2013 of June 26, 2013 “</w:t>
                            </w:r>
                            <w:r w:rsidRPr="00340CD5">
                              <w:rPr>
                                <w:rFonts w:asciiTheme="minorHAnsi" w:hAnsiTheme="minorHAnsi" w:cstheme="minorHAnsi"/>
                                <w:i/>
                                <w:iCs/>
                                <w:color w:val="2C2D5B"/>
                                <w:sz w:val="20"/>
                                <w:szCs w:val="20"/>
                                <w:lang w:val="en-US"/>
                              </w:rPr>
                              <w:t>on the Eurodac system for the comparison of the fingerprints of applicants for asylum for the purpose of determining the Member State responsible for examining an application for international protection lodged in one of the Member State</w:t>
                            </w:r>
                            <w:r w:rsidRPr="00340CD5">
                              <w:rPr>
                                <w:rFonts w:asciiTheme="minorHAnsi" w:hAnsiTheme="minorHAnsi" w:cstheme="minorHAnsi"/>
                                <w:color w:val="2C2D5B"/>
                                <w:sz w:val="20"/>
                                <w:szCs w:val="20"/>
                                <w:lang w:val="en-US"/>
                              </w:rPr>
                              <w:t>s”. Associations for the defense of migrants challenged the legality of the decree under the Charter of Fundamental Rights.</w:t>
                            </w:r>
                          </w:p>
                          <w:p w14:paraId="20974517" w14:textId="77777777" w:rsidR="005E5F6C" w:rsidRPr="00340CD5" w:rsidRDefault="005E5F6C" w:rsidP="005E5F6C">
                            <w:pPr>
                              <w:jc w:val="both"/>
                              <w:rPr>
                                <w:rFonts w:asciiTheme="minorHAnsi" w:hAnsiTheme="minorHAnsi" w:cstheme="minorHAnsi"/>
                                <w:color w:val="2C2D5B"/>
                                <w:sz w:val="20"/>
                                <w:szCs w:val="20"/>
                                <w:lang w:val="en-US"/>
                              </w:rPr>
                            </w:pPr>
                          </w:p>
                          <w:p w14:paraId="66424F55" w14:textId="750B3F92" w:rsidR="005E5F6C" w:rsidRPr="00340CD5" w:rsidRDefault="005E5F6C" w:rsidP="005E5F6C">
                            <w:pPr>
                              <w:jc w:val="both"/>
                              <w:rPr>
                                <w:rFonts w:asciiTheme="minorHAnsi" w:hAnsiTheme="minorHAnsi" w:cstheme="minorHAnsi"/>
                                <w:b/>
                                <w:bCs/>
                                <w:color w:val="2C2D5B"/>
                                <w:sz w:val="20"/>
                                <w:szCs w:val="20"/>
                                <w:lang w:val="en-US"/>
                              </w:rPr>
                            </w:pPr>
                            <w:r w:rsidRPr="00340CD5">
                              <w:rPr>
                                <w:rFonts w:asciiTheme="minorHAnsi" w:hAnsiTheme="minorHAnsi" w:cstheme="minorHAnsi"/>
                                <w:b/>
                                <w:bCs/>
                                <w:color w:val="2C2D5B"/>
                                <w:sz w:val="20"/>
                                <w:szCs w:val="20"/>
                                <w:lang w:val="en-US"/>
                              </w:rPr>
                              <w:t>Ruling</w:t>
                            </w:r>
                            <w:r w:rsidR="00340CD5" w:rsidRPr="00340CD5">
                              <w:rPr>
                                <w:rFonts w:asciiTheme="minorHAnsi" w:hAnsiTheme="minorHAnsi" w:cstheme="minorHAnsi"/>
                                <w:b/>
                                <w:bCs/>
                                <w:color w:val="2C2D5B"/>
                                <w:sz w:val="20"/>
                                <w:szCs w:val="20"/>
                                <w:lang w:val="en-US"/>
                              </w:rPr>
                              <w:t xml:space="preserve"> </w:t>
                            </w:r>
                            <w:r w:rsidRPr="00340CD5">
                              <w:rPr>
                                <w:rFonts w:asciiTheme="minorHAnsi" w:hAnsiTheme="minorHAnsi" w:cstheme="minorHAnsi"/>
                                <w:b/>
                                <w:bCs/>
                                <w:color w:val="2C2D5B"/>
                                <w:sz w:val="20"/>
                                <w:szCs w:val="20"/>
                                <w:lang w:val="en-US"/>
                              </w:rPr>
                              <w:t xml:space="preserve">: </w:t>
                            </w:r>
                          </w:p>
                          <w:p w14:paraId="18EA50C4" w14:textId="77777777" w:rsidR="005E5F6C" w:rsidRPr="00340CD5" w:rsidRDefault="005E5F6C" w:rsidP="005E5F6C">
                            <w:pPr>
                              <w:jc w:val="both"/>
                              <w:rPr>
                                <w:rFonts w:asciiTheme="minorHAnsi" w:hAnsiTheme="minorHAnsi" w:cstheme="minorHAnsi"/>
                                <w:color w:val="2C2D5B"/>
                                <w:sz w:val="20"/>
                                <w:szCs w:val="20"/>
                                <w:lang w:val="en-US"/>
                              </w:rPr>
                            </w:pPr>
                            <w:r w:rsidRPr="00340CD5">
                              <w:rPr>
                                <w:rFonts w:asciiTheme="minorHAnsi" w:hAnsiTheme="minorHAnsi" w:cstheme="minorHAnsi"/>
                                <w:color w:val="2C2D5B"/>
                                <w:sz w:val="20"/>
                                <w:szCs w:val="20"/>
                                <w:lang w:val="en-US"/>
                              </w:rPr>
                              <w:t xml:space="preserve">The </w:t>
                            </w:r>
                            <w:r w:rsidRPr="00340CD5">
                              <w:rPr>
                                <w:rFonts w:asciiTheme="minorHAnsi" w:hAnsiTheme="minorHAnsi" w:cstheme="minorHAnsi"/>
                                <w:i/>
                                <w:iCs/>
                                <w:color w:val="2C2D5B"/>
                                <w:sz w:val="20"/>
                                <w:szCs w:val="20"/>
                                <w:lang w:val="en-US"/>
                              </w:rPr>
                              <w:t>Conseil d’Etat</w:t>
                            </w:r>
                            <w:r w:rsidRPr="00340CD5">
                              <w:rPr>
                                <w:rFonts w:asciiTheme="minorHAnsi" w:hAnsiTheme="minorHAnsi" w:cstheme="minorHAnsi"/>
                                <w:color w:val="2C2D5B"/>
                                <w:sz w:val="20"/>
                                <w:szCs w:val="20"/>
                                <w:lang w:val="en-US"/>
                              </w:rPr>
                              <w:t xml:space="preserve"> upheld the Eurodac provisions, noting that they were proportionate, necessary and served objectives of general EU interest, such as combating serious crime and terrorism, thereby finding no infringement of Charter Articles 8 and 18. </w:t>
                            </w:r>
                          </w:p>
                          <w:p w14:paraId="70291D5B" w14:textId="77777777" w:rsidR="005E5F6C" w:rsidRPr="00340CD5" w:rsidRDefault="005E5F6C" w:rsidP="005E5F6C">
                            <w:pPr>
                              <w:jc w:val="both"/>
                              <w:rPr>
                                <w:rFonts w:asciiTheme="minorHAnsi" w:hAnsiTheme="minorHAnsi" w:cstheme="minorHAnsi"/>
                                <w:color w:val="2C2D5B"/>
                                <w:sz w:val="20"/>
                                <w:szCs w:val="20"/>
                                <w:lang w:val="en-US"/>
                              </w:rPr>
                            </w:pPr>
                          </w:p>
                          <w:p w14:paraId="74582810" w14:textId="77777777" w:rsidR="005E5F6C" w:rsidRPr="00340CD5" w:rsidRDefault="005E5F6C" w:rsidP="005E5F6C">
                            <w:pPr>
                              <w:spacing w:after="120" w:line="276" w:lineRule="auto"/>
                              <w:jc w:val="both"/>
                              <w:rPr>
                                <w:rFonts w:asciiTheme="minorHAnsi" w:hAnsiTheme="minorHAnsi" w:cstheme="minorHAnsi"/>
                                <w:color w:val="2C2D5B"/>
                                <w:sz w:val="20"/>
                                <w:szCs w:val="20"/>
                                <w:lang w:val="en-US"/>
                              </w:rPr>
                            </w:pPr>
                            <w:r w:rsidRPr="00340CD5">
                              <w:rPr>
                                <w:rFonts w:asciiTheme="minorHAnsi" w:hAnsiTheme="minorHAnsi" w:cstheme="minorHAnsi"/>
                                <w:i/>
                                <w:iCs/>
                                <w:color w:val="2C2D5B"/>
                                <w:sz w:val="20"/>
                                <w:szCs w:val="20"/>
                                <w:lang w:val="en-US"/>
                              </w:rPr>
                              <w:t>“Whereas, in accordance with Article 52(1) of the Charter of Fundamental Rights of the European Union, any limitation on the exercise of the rights and freedoms enshrined in the Charter must be provided for by law, respect their essence and, subject to the principle of proportionality, limitations may be made on those rights only if they are necessary and genuinely meet objectives of general interest recognized by the Union or the European Union, need to protect the rights and freedoms of others; whereas it is clear from the case-law of the Court of Justice of the European Union that the fight against international terrorism with a view to maintaining international peace and security and the fight against serious crime in order to guarantee public security constitutes an objective of general interest of the Union; whereas, without there being any need to refer a question to the Court of Justice of the European Union for a preliminary ruling, taking into account the criteria allowing access to the data contained in the Eurodac system by the competent authorities and the safeguards provided for the use of those data in the light of the objective pursued, it is clear from the contested provisions of Regulation (EU) No 603/2013 that consultation of the Eurodac system for law enforcement purposes does not infringe the Articles 8 and 18 of the Charter of Fundamental Rights of the European Union.”</w:t>
                            </w:r>
                          </w:p>
                          <w:p w14:paraId="7505DF53" w14:textId="77777777" w:rsidR="005E5F6C" w:rsidRDefault="005E5F6C" w:rsidP="005E5F6C">
                            <w:pPr>
                              <w:jc w:val="both"/>
                              <w:rPr>
                                <w:rFonts w:asciiTheme="minorHAnsi" w:hAnsiTheme="minorHAnsi" w:cstheme="minorHAnsi"/>
                                <w:sz w:val="20"/>
                                <w:szCs w:val="20"/>
                                <w:lang w:val="en-US"/>
                              </w:rPr>
                            </w:pPr>
                          </w:p>
                          <w:p w14:paraId="7D557A8B" w14:textId="77777777" w:rsidR="005E5F6C" w:rsidRDefault="005E5F6C" w:rsidP="005E5F6C">
                            <w:pPr>
                              <w:jc w:val="both"/>
                              <w:rPr>
                                <w:rFonts w:asciiTheme="minorHAnsi" w:hAnsiTheme="minorHAnsi" w:cstheme="minorHAnsi"/>
                                <w:sz w:val="20"/>
                                <w:szCs w:val="20"/>
                                <w:lang w:val="en-US"/>
                              </w:rPr>
                            </w:pPr>
                          </w:p>
                          <w:p w14:paraId="534B2F64" w14:textId="77777777" w:rsidR="005E5F6C" w:rsidRPr="005E5F6C" w:rsidRDefault="005E5F6C" w:rsidP="00327D5A">
                            <w:pPr>
                              <w:jc w:val="both"/>
                              <w:rPr>
                                <w:rFonts w:asciiTheme="minorHAnsi" w:hAnsiTheme="minorHAnsi" w:cstheme="minorHAnsi"/>
                                <w:sz w:val="20"/>
                                <w:szCs w:val="20"/>
                                <w:lang w:val="en-US"/>
                              </w:rPr>
                            </w:pP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34C851B1" id="Zone de texte 56" o:spid="_x0000_s1065" style="position:absolute;left:0;text-align:left;margin-left:20.7pt;margin-top:21.3pt;width:423.75pt;height:471.1pt;z-index:2517647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QF+NgIAAFUEAAAOAAAAZHJzL2Uyb0RvYy54bWysVFFv0zAQfkfiP1h+p0m7tmujplPXMYQ0&#10;GGLwAxzbaSwcn7HdJuPXc3a6rpQ3RB5OPp/9+e777rK66VtNDtJ5Baak41FOiTQchDK7kn7/dv9u&#10;QYkPzAimwciSPktPb9Zv36w6W8gJNKCFdARBjC86W9ImBFtkmeeNbJkfgZUGgzW4lgV03S4TjnWI&#10;3upskufzrAMnrAMuvcfduyFI1wm/riUPj3XtZSC6pJhbSNYlW0WbrVes2DlmG8WPabB/yKJlyuCj&#10;J6g7FhjZO/UXVKu4Aw91GHFoM6hrxWWqAasZ5xfVPDXMylQLkuPtiSb//2D558OT/eJI6G+hRwFT&#10;Ed4+AP/hiYFtw8xObpyDrpFM4MPjSFnWWV8cr0aqfeEjSNV9AoEis32ABNTXro2sYJ0E0VGA5xPp&#10;sg+E4+bsajGeT2aUcIzNlovJ8jrJkrHi5bp1PnyQ0JK4KKmDvRFfUdr0Bjs8+BBzYsXLufikB63E&#10;vdI6ObGd5FY7cmDYCNVuqOLilDakwwKX+SwfaPgDwu2qE8DtfJNPt4mJC4xWBexnrdqSLvL4DR0W&#10;yXtvROq2wJQe1piyNkc2I4EDlaGveqJESa+W8XJktwLxjPw6GPoX5y08oqk1YMJcK0tJA+7X5V48&#10;h62CEUo67PGS+p975iQl+qNBLZfj6TQORXKms+sJOu48Up1HmOEIVdJAybDchjRIkWADG9S8VkmI&#10;14yPtWHvJn2OcxaH49xPp17/BuvfAAAA//8DAFBLAwQUAAYACAAAACEAZNsYvd0AAAAJAQAADwAA&#10;AGRycy9kb3ducmV2LnhtbEyPwU7DMBBE70j8g7VI3KjTKlROiFNFlbhwaygHbk68JIF4HcVuGv6e&#10;5QSn0WpGM2+Lw+pGseAcBk8atpsEBFLr7UCdhvPr84MCEaIha0ZPqOEbAxzK25vC5NZf6YRLHTvB&#10;JRRyo6GPccqlDG2PzoSNn5DY+/CzM5HPuZN2Nlcud6PcJcleOjMQL/RmwmOP7Vd9cRqW8+mxUsf3&#10;tO7f5Gf2UqlGOaX1/d1aPYGIuMa/MPziMzqUzNT4C9kgRg3pNuUk624Pgn2lVAai0ZCpVIEsC/n/&#10;g/IHAAD//wMAUEsBAi0AFAAGAAgAAAAhALaDOJL+AAAA4QEAABMAAAAAAAAAAAAAAAAAAAAAAFtD&#10;b250ZW50X1R5cGVzXS54bWxQSwECLQAUAAYACAAAACEAOP0h/9YAAACUAQAACwAAAAAAAAAAAAAA&#10;AAAvAQAAX3JlbHMvLnJlbHNQSwECLQAUAAYACAAAACEAbUkBfjYCAABVBAAADgAAAAAAAAAAAAAA&#10;AAAuAgAAZHJzL2Uyb0RvYy54bWxQSwECLQAUAAYACAAAACEAZNsYvd0AAAAJAQAADwAAAAAAAAAA&#10;AAAAAACQBAAAZHJzL2Rvd25yZXYueG1sUEsFBgAAAAAEAAQA8wAAAJoFAAAAAA==&#10;" fillcolor="white [3212]" strokecolor="#b6a04c" strokeweight="1.5pt">
                <v:stroke joinstyle="miter"/>
                <v:textbox>
                  <w:txbxContent>
                    <w:p w14:paraId="03F2CD25" w14:textId="35874A0F" w:rsidR="005E5F6C" w:rsidRPr="00340CD5" w:rsidRDefault="005E5F6C" w:rsidP="00340CD5">
                      <w:pPr>
                        <w:jc w:val="center"/>
                        <w:rPr>
                          <w:rFonts w:asciiTheme="minorHAnsi" w:hAnsiTheme="minorHAnsi" w:cstheme="minorHAnsi"/>
                          <w:b/>
                          <w:bCs/>
                          <w:color w:val="B6A04C"/>
                          <w:sz w:val="20"/>
                          <w:szCs w:val="20"/>
                          <w:lang w:val="fr-FR"/>
                        </w:rPr>
                      </w:pPr>
                      <w:r w:rsidRPr="00340CD5">
                        <w:rPr>
                          <w:rFonts w:asciiTheme="minorHAnsi" w:hAnsiTheme="minorHAnsi" w:cstheme="minorHAnsi"/>
                          <w:b/>
                          <w:bCs/>
                          <w:color w:val="B6A04C"/>
                          <w:sz w:val="20"/>
                          <w:szCs w:val="20"/>
                          <w:lang w:val="fr-FR"/>
                        </w:rPr>
                        <w:t>Conseil d’Etat, 2ème – 7ème chambres réunies, 30/01/2017, No.</w:t>
                      </w:r>
                      <w:r w:rsidRPr="00340CD5">
                        <w:rPr>
                          <w:color w:val="B6A04C"/>
                          <w:lang w:val="fr-FR"/>
                        </w:rPr>
                        <w:t xml:space="preserve"> </w:t>
                      </w:r>
                      <w:r w:rsidRPr="00340CD5">
                        <w:rPr>
                          <w:rFonts w:asciiTheme="minorHAnsi" w:hAnsiTheme="minorHAnsi" w:cstheme="minorHAnsi"/>
                          <w:b/>
                          <w:bCs/>
                          <w:color w:val="B6A04C"/>
                          <w:sz w:val="20"/>
                          <w:szCs w:val="20"/>
                          <w:lang w:val="fr-FR"/>
                        </w:rPr>
                        <w:t>394686</w:t>
                      </w:r>
                    </w:p>
                    <w:p w14:paraId="14B4AFC1" w14:textId="77777777" w:rsidR="005E5F6C" w:rsidRPr="00327D5A" w:rsidRDefault="005E5F6C" w:rsidP="005E5F6C">
                      <w:pPr>
                        <w:jc w:val="right"/>
                        <w:rPr>
                          <w:rFonts w:asciiTheme="minorHAnsi" w:hAnsiTheme="minorHAnsi" w:cstheme="minorHAnsi"/>
                          <w:b/>
                          <w:bCs/>
                          <w:sz w:val="20"/>
                          <w:szCs w:val="20"/>
                          <w:lang w:val="fr-FR"/>
                        </w:rPr>
                      </w:pPr>
                    </w:p>
                    <w:p w14:paraId="72C73223" w14:textId="3604E67E" w:rsidR="005E5F6C" w:rsidRPr="00340CD5" w:rsidRDefault="005E5F6C" w:rsidP="005E5F6C">
                      <w:pPr>
                        <w:jc w:val="both"/>
                        <w:rPr>
                          <w:rFonts w:asciiTheme="minorHAnsi" w:hAnsiTheme="minorHAnsi" w:cstheme="minorHAnsi"/>
                          <w:b/>
                          <w:bCs/>
                          <w:color w:val="2C2D5B"/>
                          <w:sz w:val="20"/>
                          <w:szCs w:val="20"/>
                        </w:rPr>
                      </w:pPr>
                      <w:r w:rsidRPr="00340CD5">
                        <w:rPr>
                          <w:rFonts w:asciiTheme="minorHAnsi" w:hAnsiTheme="minorHAnsi" w:cstheme="minorHAnsi"/>
                          <w:b/>
                          <w:bCs/>
                          <w:color w:val="2C2D5B"/>
                          <w:sz w:val="20"/>
                          <w:szCs w:val="20"/>
                        </w:rPr>
                        <w:t>Facts</w:t>
                      </w:r>
                      <w:r w:rsidR="00340CD5" w:rsidRPr="00340CD5">
                        <w:rPr>
                          <w:rFonts w:asciiTheme="minorHAnsi" w:hAnsiTheme="minorHAnsi" w:cstheme="minorHAnsi"/>
                          <w:b/>
                          <w:bCs/>
                          <w:color w:val="2C2D5B"/>
                          <w:sz w:val="20"/>
                          <w:szCs w:val="20"/>
                        </w:rPr>
                        <w:t xml:space="preserve"> </w:t>
                      </w:r>
                      <w:r w:rsidRPr="00340CD5">
                        <w:rPr>
                          <w:rFonts w:asciiTheme="minorHAnsi" w:hAnsiTheme="minorHAnsi" w:cstheme="minorHAnsi"/>
                          <w:b/>
                          <w:bCs/>
                          <w:color w:val="2C2D5B"/>
                          <w:sz w:val="20"/>
                          <w:szCs w:val="20"/>
                        </w:rPr>
                        <w:t xml:space="preserve">: </w:t>
                      </w:r>
                    </w:p>
                    <w:p w14:paraId="5EDB5D4D" w14:textId="77777777" w:rsidR="005E5F6C" w:rsidRPr="00340CD5" w:rsidRDefault="005E5F6C" w:rsidP="005E5F6C">
                      <w:pPr>
                        <w:jc w:val="both"/>
                        <w:rPr>
                          <w:rFonts w:asciiTheme="minorHAnsi" w:hAnsiTheme="minorHAnsi" w:cstheme="minorHAnsi"/>
                          <w:color w:val="2C2D5B"/>
                          <w:sz w:val="20"/>
                          <w:szCs w:val="20"/>
                          <w:lang w:val="en-US"/>
                        </w:rPr>
                      </w:pPr>
                      <w:r w:rsidRPr="00340CD5">
                        <w:rPr>
                          <w:rFonts w:asciiTheme="minorHAnsi" w:hAnsiTheme="minorHAnsi" w:cstheme="minorHAnsi"/>
                          <w:i/>
                          <w:iCs/>
                          <w:color w:val="2C2D5B"/>
                          <w:sz w:val="20"/>
                          <w:szCs w:val="20"/>
                          <w:lang w:val="en-US"/>
                        </w:rPr>
                        <w:t xml:space="preserve">The Code de </w:t>
                      </w:r>
                      <w:proofErr w:type="spellStart"/>
                      <w:r w:rsidRPr="00340CD5">
                        <w:rPr>
                          <w:rFonts w:asciiTheme="minorHAnsi" w:hAnsiTheme="minorHAnsi" w:cstheme="minorHAnsi"/>
                          <w:i/>
                          <w:iCs/>
                          <w:color w:val="2C2D5B"/>
                          <w:sz w:val="20"/>
                          <w:szCs w:val="20"/>
                          <w:lang w:val="en-US"/>
                        </w:rPr>
                        <w:t>l’Entrée</w:t>
                      </w:r>
                      <w:proofErr w:type="spellEnd"/>
                      <w:r w:rsidRPr="00340CD5">
                        <w:rPr>
                          <w:rFonts w:asciiTheme="minorHAnsi" w:hAnsiTheme="minorHAnsi" w:cstheme="minorHAnsi"/>
                          <w:i/>
                          <w:iCs/>
                          <w:color w:val="2C2D5B"/>
                          <w:sz w:val="20"/>
                          <w:szCs w:val="20"/>
                          <w:lang w:val="en-US"/>
                        </w:rPr>
                        <w:t xml:space="preserve"> et du Séjour des </w:t>
                      </w:r>
                      <w:proofErr w:type="spellStart"/>
                      <w:r w:rsidRPr="00340CD5">
                        <w:rPr>
                          <w:rFonts w:asciiTheme="minorHAnsi" w:hAnsiTheme="minorHAnsi" w:cstheme="minorHAnsi"/>
                          <w:i/>
                          <w:iCs/>
                          <w:color w:val="2C2D5B"/>
                          <w:sz w:val="20"/>
                          <w:szCs w:val="20"/>
                          <w:lang w:val="en-US"/>
                        </w:rPr>
                        <w:t>Etrangers</w:t>
                      </w:r>
                      <w:proofErr w:type="spellEnd"/>
                      <w:r w:rsidRPr="00340CD5">
                        <w:rPr>
                          <w:rFonts w:asciiTheme="minorHAnsi" w:hAnsiTheme="minorHAnsi" w:cstheme="minorHAnsi"/>
                          <w:i/>
                          <w:iCs/>
                          <w:color w:val="2C2D5B"/>
                          <w:sz w:val="20"/>
                          <w:szCs w:val="20"/>
                          <w:lang w:val="en-US"/>
                        </w:rPr>
                        <w:t xml:space="preserve"> et du Droit </w:t>
                      </w:r>
                      <w:proofErr w:type="spellStart"/>
                      <w:r w:rsidRPr="00340CD5">
                        <w:rPr>
                          <w:rFonts w:asciiTheme="minorHAnsi" w:hAnsiTheme="minorHAnsi" w:cstheme="minorHAnsi"/>
                          <w:i/>
                          <w:iCs/>
                          <w:color w:val="2C2D5B"/>
                          <w:sz w:val="20"/>
                          <w:szCs w:val="20"/>
                          <w:lang w:val="en-US"/>
                        </w:rPr>
                        <w:t>d’Asile</w:t>
                      </w:r>
                      <w:proofErr w:type="spellEnd"/>
                      <w:r w:rsidRPr="00340CD5">
                        <w:rPr>
                          <w:rFonts w:asciiTheme="minorHAnsi" w:hAnsiTheme="minorHAnsi" w:cstheme="minorHAnsi"/>
                          <w:color w:val="2C2D5B"/>
                          <w:sz w:val="20"/>
                          <w:szCs w:val="20"/>
                          <w:lang w:val="en-US"/>
                        </w:rPr>
                        <w:t xml:space="preserve"> (Code on the Entry and Residence of Foreigners and the Right of Asylum) provided for the possibility of taking fingerprints, in accordance with Regulation (EU) no. 603/2013 of June 26, 2013 “</w:t>
                      </w:r>
                      <w:r w:rsidRPr="00340CD5">
                        <w:rPr>
                          <w:rFonts w:asciiTheme="minorHAnsi" w:hAnsiTheme="minorHAnsi" w:cstheme="minorHAnsi"/>
                          <w:i/>
                          <w:iCs/>
                          <w:color w:val="2C2D5B"/>
                          <w:sz w:val="20"/>
                          <w:szCs w:val="20"/>
                          <w:lang w:val="en-US"/>
                        </w:rPr>
                        <w:t>on the Eurodac system for the comparison of the fingerprints of applicants for asylum for the purpose of determining the Member State responsible for examining an application for international protection lodged in one of the Member State</w:t>
                      </w:r>
                      <w:r w:rsidRPr="00340CD5">
                        <w:rPr>
                          <w:rFonts w:asciiTheme="minorHAnsi" w:hAnsiTheme="minorHAnsi" w:cstheme="minorHAnsi"/>
                          <w:color w:val="2C2D5B"/>
                          <w:sz w:val="20"/>
                          <w:szCs w:val="20"/>
                          <w:lang w:val="en-US"/>
                        </w:rPr>
                        <w:t>s”. Associations for the defense of migrants challenged the legality of the decree under the Charter of Fundamental Rights.</w:t>
                      </w:r>
                    </w:p>
                    <w:p w14:paraId="20974517" w14:textId="77777777" w:rsidR="005E5F6C" w:rsidRPr="00340CD5" w:rsidRDefault="005E5F6C" w:rsidP="005E5F6C">
                      <w:pPr>
                        <w:jc w:val="both"/>
                        <w:rPr>
                          <w:rFonts w:asciiTheme="minorHAnsi" w:hAnsiTheme="minorHAnsi" w:cstheme="minorHAnsi"/>
                          <w:color w:val="2C2D5B"/>
                          <w:sz w:val="20"/>
                          <w:szCs w:val="20"/>
                          <w:lang w:val="en-US"/>
                        </w:rPr>
                      </w:pPr>
                    </w:p>
                    <w:p w14:paraId="66424F55" w14:textId="750B3F92" w:rsidR="005E5F6C" w:rsidRPr="00340CD5" w:rsidRDefault="005E5F6C" w:rsidP="005E5F6C">
                      <w:pPr>
                        <w:jc w:val="both"/>
                        <w:rPr>
                          <w:rFonts w:asciiTheme="minorHAnsi" w:hAnsiTheme="minorHAnsi" w:cstheme="minorHAnsi"/>
                          <w:b/>
                          <w:bCs/>
                          <w:color w:val="2C2D5B"/>
                          <w:sz w:val="20"/>
                          <w:szCs w:val="20"/>
                          <w:lang w:val="en-US"/>
                        </w:rPr>
                      </w:pPr>
                      <w:r w:rsidRPr="00340CD5">
                        <w:rPr>
                          <w:rFonts w:asciiTheme="minorHAnsi" w:hAnsiTheme="minorHAnsi" w:cstheme="minorHAnsi"/>
                          <w:b/>
                          <w:bCs/>
                          <w:color w:val="2C2D5B"/>
                          <w:sz w:val="20"/>
                          <w:szCs w:val="20"/>
                          <w:lang w:val="en-US"/>
                        </w:rPr>
                        <w:t>Ruling</w:t>
                      </w:r>
                      <w:r w:rsidR="00340CD5" w:rsidRPr="00340CD5">
                        <w:rPr>
                          <w:rFonts w:asciiTheme="minorHAnsi" w:hAnsiTheme="minorHAnsi" w:cstheme="minorHAnsi"/>
                          <w:b/>
                          <w:bCs/>
                          <w:color w:val="2C2D5B"/>
                          <w:sz w:val="20"/>
                          <w:szCs w:val="20"/>
                          <w:lang w:val="en-US"/>
                        </w:rPr>
                        <w:t xml:space="preserve"> </w:t>
                      </w:r>
                      <w:r w:rsidRPr="00340CD5">
                        <w:rPr>
                          <w:rFonts w:asciiTheme="minorHAnsi" w:hAnsiTheme="minorHAnsi" w:cstheme="minorHAnsi"/>
                          <w:b/>
                          <w:bCs/>
                          <w:color w:val="2C2D5B"/>
                          <w:sz w:val="20"/>
                          <w:szCs w:val="20"/>
                          <w:lang w:val="en-US"/>
                        </w:rPr>
                        <w:t xml:space="preserve">: </w:t>
                      </w:r>
                    </w:p>
                    <w:p w14:paraId="18EA50C4" w14:textId="77777777" w:rsidR="005E5F6C" w:rsidRPr="00340CD5" w:rsidRDefault="005E5F6C" w:rsidP="005E5F6C">
                      <w:pPr>
                        <w:jc w:val="both"/>
                        <w:rPr>
                          <w:rFonts w:asciiTheme="minorHAnsi" w:hAnsiTheme="minorHAnsi" w:cstheme="minorHAnsi"/>
                          <w:color w:val="2C2D5B"/>
                          <w:sz w:val="20"/>
                          <w:szCs w:val="20"/>
                          <w:lang w:val="en-US"/>
                        </w:rPr>
                      </w:pPr>
                      <w:r w:rsidRPr="00340CD5">
                        <w:rPr>
                          <w:rFonts w:asciiTheme="minorHAnsi" w:hAnsiTheme="minorHAnsi" w:cstheme="minorHAnsi"/>
                          <w:color w:val="2C2D5B"/>
                          <w:sz w:val="20"/>
                          <w:szCs w:val="20"/>
                          <w:lang w:val="en-US"/>
                        </w:rPr>
                        <w:t xml:space="preserve">The </w:t>
                      </w:r>
                      <w:r w:rsidRPr="00340CD5">
                        <w:rPr>
                          <w:rFonts w:asciiTheme="minorHAnsi" w:hAnsiTheme="minorHAnsi" w:cstheme="minorHAnsi"/>
                          <w:i/>
                          <w:iCs/>
                          <w:color w:val="2C2D5B"/>
                          <w:sz w:val="20"/>
                          <w:szCs w:val="20"/>
                          <w:lang w:val="en-US"/>
                        </w:rPr>
                        <w:t xml:space="preserve">Conseil </w:t>
                      </w:r>
                      <w:proofErr w:type="spellStart"/>
                      <w:r w:rsidRPr="00340CD5">
                        <w:rPr>
                          <w:rFonts w:asciiTheme="minorHAnsi" w:hAnsiTheme="minorHAnsi" w:cstheme="minorHAnsi"/>
                          <w:i/>
                          <w:iCs/>
                          <w:color w:val="2C2D5B"/>
                          <w:sz w:val="20"/>
                          <w:szCs w:val="20"/>
                          <w:lang w:val="en-US"/>
                        </w:rPr>
                        <w:t>d’Etat</w:t>
                      </w:r>
                      <w:proofErr w:type="spellEnd"/>
                      <w:r w:rsidRPr="00340CD5">
                        <w:rPr>
                          <w:rFonts w:asciiTheme="minorHAnsi" w:hAnsiTheme="minorHAnsi" w:cstheme="minorHAnsi"/>
                          <w:color w:val="2C2D5B"/>
                          <w:sz w:val="20"/>
                          <w:szCs w:val="20"/>
                          <w:lang w:val="en-US"/>
                        </w:rPr>
                        <w:t xml:space="preserve"> upheld the Eurodac provisions, noting that they were proportionate, necessary and served objectives of general EU interest, such as combating serious crime and terrorism, thereby finding no infringement of Charter Articles 8 and 18. </w:t>
                      </w:r>
                    </w:p>
                    <w:p w14:paraId="70291D5B" w14:textId="77777777" w:rsidR="005E5F6C" w:rsidRPr="00340CD5" w:rsidRDefault="005E5F6C" w:rsidP="005E5F6C">
                      <w:pPr>
                        <w:jc w:val="both"/>
                        <w:rPr>
                          <w:rFonts w:asciiTheme="minorHAnsi" w:hAnsiTheme="minorHAnsi" w:cstheme="minorHAnsi"/>
                          <w:color w:val="2C2D5B"/>
                          <w:sz w:val="20"/>
                          <w:szCs w:val="20"/>
                          <w:lang w:val="en-US"/>
                        </w:rPr>
                      </w:pPr>
                    </w:p>
                    <w:p w14:paraId="74582810" w14:textId="77777777" w:rsidR="005E5F6C" w:rsidRPr="00340CD5" w:rsidRDefault="005E5F6C" w:rsidP="005E5F6C">
                      <w:pPr>
                        <w:spacing w:after="120" w:line="276" w:lineRule="auto"/>
                        <w:jc w:val="both"/>
                        <w:rPr>
                          <w:rFonts w:asciiTheme="minorHAnsi" w:hAnsiTheme="minorHAnsi" w:cstheme="minorHAnsi"/>
                          <w:color w:val="2C2D5B"/>
                          <w:sz w:val="20"/>
                          <w:szCs w:val="20"/>
                          <w:lang w:val="en-US"/>
                        </w:rPr>
                      </w:pPr>
                      <w:r w:rsidRPr="00340CD5">
                        <w:rPr>
                          <w:rFonts w:asciiTheme="minorHAnsi" w:hAnsiTheme="minorHAnsi" w:cstheme="minorHAnsi"/>
                          <w:i/>
                          <w:iCs/>
                          <w:color w:val="2C2D5B"/>
                          <w:sz w:val="20"/>
                          <w:szCs w:val="20"/>
                          <w:lang w:val="en-US"/>
                        </w:rPr>
                        <w:t>“Whereas, in accordance with Article 52(1) of the Charter of Fundamental Rights of the European Union, any limitation on the exercise of the rights and freedoms enshrined in the Charter must be provided for by law, respect their essence and, subject to the principle of proportionality, limitations may be made on those rights only if they are necessary and genuinely meet objectives of general interest recognized by the Union or the European Union, need to protect the rights and freedoms of others; whereas it is clear from the case-law of the Court of Justice of the European Union that the fight against international terrorism with a view to maintaining international peace and security and the fight against serious crime in order to guarantee public security constitutes an objective of general interest of the Union; whereas, without there being any need to refer a question to the Court of Justice of the European Union for a preliminary ruling, taking into account the criteria allowing access to the data contained in the Eurodac system by the competent authorities and the safeguards provided for the use of those data in the light of the objective pursued, it is clear from the contested provisions of Regulation (EU) No 603/2013 that consultation of the Eurodac system for law enforcement purposes does not infringe the Articles 8 and 18 of the Charter of Fundamental Rights of the European Union.”</w:t>
                      </w:r>
                    </w:p>
                    <w:p w14:paraId="7505DF53" w14:textId="77777777" w:rsidR="005E5F6C" w:rsidRDefault="005E5F6C" w:rsidP="005E5F6C">
                      <w:pPr>
                        <w:jc w:val="both"/>
                        <w:rPr>
                          <w:rFonts w:asciiTheme="minorHAnsi" w:hAnsiTheme="minorHAnsi" w:cstheme="minorHAnsi"/>
                          <w:sz w:val="20"/>
                          <w:szCs w:val="20"/>
                          <w:lang w:val="en-US"/>
                        </w:rPr>
                      </w:pPr>
                    </w:p>
                    <w:p w14:paraId="7D557A8B" w14:textId="77777777" w:rsidR="005E5F6C" w:rsidRDefault="005E5F6C" w:rsidP="005E5F6C">
                      <w:pPr>
                        <w:jc w:val="both"/>
                        <w:rPr>
                          <w:rFonts w:asciiTheme="minorHAnsi" w:hAnsiTheme="minorHAnsi" w:cstheme="minorHAnsi"/>
                          <w:sz w:val="20"/>
                          <w:szCs w:val="20"/>
                          <w:lang w:val="en-US"/>
                        </w:rPr>
                      </w:pPr>
                    </w:p>
                    <w:p w14:paraId="534B2F64" w14:textId="77777777" w:rsidR="005E5F6C" w:rsidRPr="005E5F6C" w:rsidRDefault="005E5F6C" w:rsidP="00327D5A">
                      <w:pPr>
                        <w:jc w:val="both"/>
                        <w:rPr>
                          <w:rFonts w:asciiTheme="minorHAnsi" w:hAnsiTheme="minorHAnsi" w:cstheme="minorHAnsi"/>
                          <w:sz w:val="20"/>
                          <w:szCs w:val="20"/>
                          <w:lang w:val="en-US"/>
                        </w:rPr>
                      </w:pPr>
                    </w:p>
                  </w:txbxContent>
                </v:textbox>
                <w10:wrap type="square" anchorx="margin"/>
              </v:roundrect>
            </w:pict>
          </mc:Fallback>
        </mc:AlternateContent>
      </w:r>
    </w:p>
    <w:p w14:paraId="305F4945" w14:textId="77777777" w:rsidR="006232DA" w:rsidRDefault="006232DA" w:rsidP="006232DA">
      <w:pPr>
        <w:pStyle w:val="Odstavecseseznamem"/>
        <w:spacing w:after="120" w:line="276" w:lineRule="auto"/>
        <w:jc w:val="both"/>
        <w:rPr>
          <w:rFonts w:ascii="Calibri" w:hAnsi="Calibri" w:cs="Calibri"/>
          <w:b/>
          <w:bCs/>
        </w:rPr>
      </w:pPr>
    </w:p>
    <w:p w14:paraId="6D667598" w14:textId="77777777" w:rsidR="00340CD5" w:rsidRDefault="00340CD5" w:rsidP="006232DA">
      <w:pPr>
        <w:pStyle w:val="Odstavecseseznamem"/>
        <w:spacing w:after="120" w:line="276" w:lineRule="auto"/>
        <w:jc w:val="both"/>
        <w:rPr>
          <w:rFonts w:ascii="Calibri" w:hAnsi="Calibri" w:cs="Calibri"/>
          <w:b/>
          <w:bCs/>
        </w:rPr>
      </w:pPr>
    </w:p>
    <w:p w14:paraId="1957018E" w14:textId="77777777" w:rsidR="00340CD5" w:rsidRDefault="00340CD5" w:rsidP="006232DA">
      <w:pPr>
        <w:pStyle w:val="Odstavecseseznamem"/>
        <w:spacing w:after="120" w:line="276" w:lineRule="auto"/>
        <w:jc w:val="both"/>
        <w:rPr>
          <w:rFonts w:ascii="Calibri" w:hAnsi="Calibri" w:cs="Calibri"/>
          <w:b/>
          <w:bCs/>
        </w:rPr>
      </w:pPr>
    </w:p>
    <w:p w14:paraId="650BE913" w14:textId="77777777" w:rsidR="00340CD5" w:rsidRDefault="00340CD5" w:rsidP="006232DA">
      <w:pPr>
        <w:pStyle w:val="Odstavecseseznamem"/>
        <w:spacing w:after="120" w:line="276" w:lineRule="auto"/>
        <w:jc w:val="both"/>
        <w:rPr>
          <w:rFonts w:ascii="Calibri" w:hAnsi="Calibri" w:cs="Calibri"/>
          <w:b/>
          <w:bCs/>
        </w:rPr>
      </w:pPr>
    </w:p>
    <w:p w14:paraId="3D238022" w14:textId="77777777" w:rsidR="00340CD5" w:rsidRDefault="00340CD5" w:rsidP="006232DA">
      <w:pPr>
        <w:pStyle w:val="Odstavecseseznamem"/>
        <w:spacing w:after="120" w:line="276" w:lineRule="auto"/>
        <w:jc w:val="both"/>
        <w:rPr>
          <w:rFonts w:ascii="Calibri" w:hAnsi="Calibri" w:cs="Calibri"/>
          <w:b/>
          <w:bCs/>
        </w:rPr>
      </w:pPr>
    </w:p>
    <w:p w14:paraId="5303DB07" w14:textId="77777777" w:rsidR="00340CD5" w:rsidRDefault="00340CD5" w:rsidP="006232DA">
      <w:pPr>
        <w:pStyle w:val="Odstavecseseznamem"/>
        <w:spacing w:after="120" w:line="276" w:lineRule="auto"/>
        <w:jc w:val="both"/>
        <w:rPr>
          <w:rFonts w:ascii="Calibri" w:hAnsi="Calibri" w:cs="Calibri"/>
          <w:b/>
          <w:bCs/>
        </w:rPr>
      </w:pPr>
    </w:p>
    <w:p w14:paraId="6EF2F4E1" w14:textId="77777777" w:rsidR="00340CD5" w:rsidRDefault="00340CD5" w:rsidP="006232DA">
      <w:pPr>
        <w:pStyle w:val="Odstavecseseznamem"/>
        <w:spacing w:after="120" w:line="276" w:lineRule="auto"/>
        <w:jc w:val="both"/>
        <w:rPr>
          <w:rFonts w:ascii="Calibri" w:hAnsi="Calibri" w:cs="Calibri"/>
          <w:b/>
          <w:bCs/>
        </w:rPr>
      </w:pPr>
    </w:p>
    <w:p w14:paraId="138C9BF5" w14:textId="77777777" w:rsidR="00340CD5" w:rsidRPr="00200E08" w:rsidRDefault="00340CD5" w:rsidP="00200E08">
      <w:pPr>
        <w:spacing w:after="120" w:line="276" w:lineRule="auto"/>
        <w:jc w:val="both"/>
        <w:rPr>
          <w:rFonts w:ascii="Calibri" w:hAnsi="Calibri" w:cs="Calibri"/>
          <w:b/>
          <w:bCs/>
        </w:rPr>
      </w:pPr>
    </w:p>
    <w:p w14:paraId="1F304F05" w14:textId="77777777" w:rsidR="00340CD5" w:rsidRDefault="00340CD5" w:rsidP="006232DA">
      <w:pPr>
        <w:pStyle w:val="Odstavecseseznamem"/>
        <w:spacing w:after="120" w:line="276" w:lineRule="auto"/>
        <w:jc w:val="both"/>
        <w:rPr>
          <w:rFonts w:ascii="Calibri" w:hAnsi="Calibri" w:cs="Calibri"/>
          <w:b/>
          <w:bCs/>
        </w:rPr>
      </w:pPr>
    </w:p>
    <w:p w14:paraId="2301DB11" w14:textId="00FD136C" w:rsidR="00340CD5" w:rsidRDefault="00340CD5" w:rsidP="006232DA">
      <w:pPr>
        <w:pStyle w:val="Odstavecseseznamem"/>
        <w:spacing w:after="120" w:line="276" w:lineRule="auto"/>
        <w:jc w:val="both"/>
        <w:rPr>
          <w:rFonts w:ascii="Calibri" w:hAnsi="Calibri" w:cs="Calibri"/>
          <w:b/>
          <w:bCs/>
        </w:rPr>
      </w:pPr>
    </w:p>
    <w:p w14:paraId="31E3B92A" w14:textId="07DEB675" w:rsidR="005E5F6C" w:rsidRPr="00200E08" w:rsidRDefault="00200E08" w:rsidP="00253E61">
      <w:pPr>
        <w:pStyle w:val="Odstavecseseznamem"/>
        <w:numPr>
          <w:ilvl w:val="0"/>
          <w:numId w:val="18"/>
        </w:numPr>
        <w:spacing w:after="120" w:line="276" w:lineRule="auto"/>
        <w:jc w:val="both"/>
        <w:rPr>
          <w:rFonts w:ascii="Calibri" w:hAnsi="Calibri" w:cs="Calibri"/>
          <w:b/>
          <w:bCs/>
          <w:i/>
          <w:iCs/>
          <w:color w:val="2F5496" w:themeColor="accent1" w:themeShade="BF"/>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73632" behindDoc="0" locked="0" layoutInCell="1" allowOverlap="1" wp14:anchorId="4D2B4FE6" wp14:editId="5165D5FC">
            <wp:simplePos x="0" y="0"/>
            <wp:positionH relativeFrom="column">
              <wp:posOffset>4989688</wp:posOffset>
            </wp:positionH>
            <wp:positionV relativeFrom="paragraph">
              <wp:posOffset>179988</wp:posOffset>
            </wp:positionV>
            <wp:extent cx="713105" cy="575310"/>
            <wp:effectExtent l="0" t="0" r="0" b="0"/>
            <wp:wrapNone/>
            <wp:docPr id="902080859"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006232DA" w:rsidRPr="00200E08">
        <w:rPr>
          <w:rFonts w:eastAsiaTheme="minorHAnsi"/>
          <w:i/>
          <w:iCs/>
          <w:noProof/>
          <w:color w:val="2F5496" w:themeColor="accent1" w:themeShade="BF"/>
          <w:lang w:val="fr-FR" w:eastAsia="fr-FR"/>
        </w:rPr>
        <mc:AlternateContent>
          <mc:Choice Requires="wps">
            <w:drawing>
              <wp:anchor distT="45720" distB="45720" distL="114300" distR="114300" simplePos="0" relativeHeight="251766784" behindDoc="0" locked="0" layoutInCell="1" allowOverlap="1" wp14:anchorId="72289EFA" wp14:editId="48203F27">
                <wp:simplePos x="0" y="0"/>
                <wp:positionH relativeFrom="margin">
                  <wp:posOffset>121338</wp:posOffset>
                </wp:positionH>
                <wp:positionV relativeFrom="paragraph">
                  <wp:posOffset>513022</wp:posOffset>
                </wp:positionV>
                <wp:extent cx="5372100" cy="2181225"/>
                <wp:effectExtent l="0" t="0" r="19050" b="28575"/>
                <wp:wrapSquare wrapText="bothSides"/>
                <wp:docPr id="1438082299" name="Zone de texte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2181225"/>
                        </a:xfrm>
                        <a:prstGeom prst="roundRect">
                          <a:avLst/>
                        </a:prstGeom>
                        <a:solidFill>
                          <a:schemeClr val="bg1"/>
                        </a:solidFill>
                        <a:ln w="19050">
                          <a:solidFill>
                            <a:srgbClr val="B6A04C"/>
                          </a:solidFill>
                          <a:miter lim="800000"/>
                          <a:headEnd/>
                          <a:tailEnd/>
                        </a:ln>
                      </wps:spPr>
                      <wps:txbx>
                        <w:txbxContent>
                          <w:p w14:paraId="1B67D23C" w14:textId="77777777" w:rsidR="005E5F6C" w:rsidRPr="00340CD5" w:rsidRDefault="005E5F6C" w:rsidP="00340CD5">
                            <w:pPr>
                              <w:jc w:val="center"/>
                              <w:rPr>
                                <w:rFonts w:asciiTheme="minorHAnsi" w:hAnsiTheme="minorHAnsi" w:cstheme="minorHAnsi"/>
                                <w:b/>
                                <w:bCs/>
                                <w:color w:val="B6A04C"/>
                                <w:sz w:val="20"/>
                                <w:szCs w:val="20"/>
                                <w:lang w:val="en-US"/>
                              </w:rPr>
                            </w:pPr>
                            <w:r w:rsidRPr="00340CD5">
                              <w:rPr>
                                <w:rFonts w:asciiTheme="minorHAnsi" w:hAnsiTheme="minorHAnsi" w:cstheme="minorHAnsi"/>
                                <w:b/>
                                <w:bCs/>
                                <w:color w:val="B6A04C"/>
                                <w:sz w:val="20"/>
                                <w:szCs w:val="20"/>
                                <w:lang w:val="en-US"/>
                              </w:rPr>
                              <w:t>CE, Ass. 21 Apr. 2021, French Data Network, No. 393099</w:t>
                            </w:r>
                          </w:p>
                          <w:p w14:paraId="78F9138C" w14:textId="77777777" w:rsidR="005E5F6C" w:rsidRDefault="005E5F6C" w:rsidP="005E5F6C">
                            <w:pPr>
                              <w:jc w:val="right"/>
                              <w:rPr>
                                <w:rFonts w:asciiTheme="minorHAnsi" w:hAnsiTheme="minorHAnsi" w:cstheme="minorHAnsi"/>
                                <w:b/>
                                <w:bCs/>
                                <w:sz w:val="20"/>
                                <w:szCs w:val="20"/>
                                <w:lang w:val="en-US"/>
                              </w:rPr>
                            </w:pPr>
                          </w:p>
                          <w:p w14:paraId="066FD434" w14:textId="189697CC" w:rsidR="005E5F6C" w:rsidRPr="00340CD5" w:rsidRDefault="005E5F6C" w:rsidP="005E5F6C">
                            <w:pPr>
                              <w:jc w:val="both"/>
                              <w:rPr>
                                <w:rFonts w:asciiTheme="minorHAnsi" w:hAnsiTheme="minorHAnsi" w:cstheme="minorHAnsi"/>
                                <w:b/>
                                <w:bCs/>
                                <w:color w:val="2C2D5B"/>
                                <w:sz w:val="20"/>
                                <w:szCs w:val="20"/>
                                <w:lang w:val="en-US"/>
                              </w:rPr>
                            </w:pPr>
                            <w:r w:rsidRPr="00340CD5">
                              <w:rPr>
                                <w:rFonts w:asciiTheme="minorHAnsi" w:hAnsiTheme="minorHAnsi" w:cstheme="minorHAnsi"/>
                                <w:b/>
                                <w:bCs/>
                                <w:color w:val="2C2D5B"/>
                                <w:sz w:val="20"/>
                                <w:szCs w:val="20"/>
                                <w:lang w:val="en-US"/>
                              </w:rPr>
                              <w:t>Facts</w:t>
                            </w:r>
                            <w:r w:rsidR="00340CD5" w:rsidRPr="00340CD5">
                              <w:rPr>
                                <w:rFonts w:asciiTheme="minorHAnsi" w:hAnsiTheme="minorHAnsi" w:cstheme="minorHAnsi"/>
                                <w:b/>
                                <w:bCs/>
                                <w:color w:val="2C2D5B"/>
                                <w:sz w:val="20"/>
                                <w:szCs w:val="20"/>
                                <w:lang w:val="en-US"/>
                              </w:rPr>
                              <w:t xml:space="preserve"> </w:t>
                            </w:r>
                            <w:r w:rsidRPr="00340CD5">
                              <w:rPr>
                                <w:rFonts w:asciiTheme="minorHAnsi" w:hAnsiTheme="minorHAnsi" w:cstheme="minorHAnsi"/>
                                <w:b/>
                                <w:bCs/>
                                <w:color w:val="2C2D5B"/>
                                <w:sz w:val="20"/>
                                <w:szCs w:val="20"/>
                                <w:lang w:val="en-US"/>
                              </w:rPr>
                              <w:t xml:space="preserve">: </w:t>
                            </w:r>
                          </w:p>
                          <w:p w14:paraId="0B2C8990" w14:textId="77777777" w:rsidR="005E5F6C" w:rsidRPr="00340CD5" w:rsidRDefault="005E5F6C" w:rsidP="005E5F6C">
                            <w:pPr>
                              <w:jc w:val="both"/>
                              <w:rPr>
                                <w:rFonts w:asciiTheme="minorHAnsi" w:hAnsiTheme="minorHAnsi" w:cstheme="minorHAnsi"/>
                                <w:color w:val="2C2D5B"/>
                                <w:sz w:val="20"/>
                                <w:szCs w:val="20"/>
                                <w:lang w:val="en-US"/>
                              </w:rPr>
                            </w:pPr>
                            <w:r w:rsidRPr="00340CD5">
                              <w:rPr>
                                <w:rFonts w:asciiTheme="minorHAnsi" w:hAnsiTheme="minorHAnsi" w:cstheme="minorHAnsi"/>
                                <w:color w:val="2C2D5B"/>
                                <w:sz w:val="20"/>
                                <w:szCs w:val="20"/>
                                <w:lang w:val="en-US"/>
                              </w:rPr>
                              <w:t xml:space="preserve">A requirement imposed on electronic communication operators to retain data for criminal investigations was challenged as violating Articles 7 and 8 of the EChFR, protecting private life and data protection. </w:t>
                            </w:r>
                          </w:p>
                          <w:p w14:paraId="46A61568" w14:textId="77777777" w:rsidR="005E5F6C" w:rsidRPr="00340CD5" w:rsidRDefault="005E5F6C" w:rsidP="005E5F6C">
                            <w:pPr>
                              <w:jc w:val="both"/>
                              <w:rPr>
                                <w:rFonts w:asciiTheme="minorHAnsi" w:hAnsiTheme="minorHAnsi" w:cstheme="minorHAnsi"/>
                                <w:color w:val="2C2D5B"/>
                                <w:sz w:val="20"/>
                                <w:szCs w:val="20"/>
                                <w:lang w:val="en-US"/>
                              </w:rPr>
                            </w:pPr>
                          </w:p>
                          <w:p w14:paraId="6C90042E" w14:textId="644A2634" w:rsidR="005E5F6C" w:rsidRPr="00340CD5" w:rsidRDefault="005E5F6C" w:rsidP="005E5F6C">
                            <w:pPr>
                              <w:jc w:val="both"/>
                              <w:rPr>
                                <w:rFonts w:asciiTheme="minorHAnsi" w:hAnsiTheme="minorHAnsi" w:cstheme="minorHAnsi"/>
                                <w:b/>
                                <w:bCs/>
                                <w:color w:val="2C2D5B"/>
                                <w:sz w:val="20"/>
                                <w:szCs w:val="20"/>
                                <w:lang w:val="en-US"/>
                              </w:rPr>
                            </w:pPr>
                            <w:r w:rsidRPr="00340CD5">
                              <w:rPr>
                                <w:rFonts w:asciiTheme="minorHAnsi" w:hAnsiTheme="minorHAnsi" w:cstheme="minorHAnsi"/>
                                <w:b/>
                                <w:bCs/>
                                <w:color w:val="2C2D5B"/>
                                <w:sz w:val="20"/>
                                <w:szCs w:val="20"/>
                                <w:lang w:val="en-US"/>
                              </w:rPr>
                              <w:t>Ruling</w:t>
                            </w:r>
                            <w:r w:rsidR="00340CD5" w:rsidRPr="00340CD5">
                              <w:rPr>
                                <w:rFonts w:asciiTheme="minorHAnsi" w:hAnsiTheme="minorHAnsi" w:cstheme="minorHAnsi"/>
                                <w:b/>
                                <w:bCs/>
                                <w:color w:val="2C2D5B"/>
                                <w:sz w:val="20"/>
                                <w:szCs w:val="20"/>
                                <w:lang w:val="en-US"/>
                              </w:rPr>
                              <w:t xml:space="preserve"> </w:t>
                            </w:r>
                            <w:r w:rsidRPr="00340CD5">
                              <w:rPr>
                                <w:rFonts w:asciiTheme="minorHAnsi" w:hAnsiTheme="minorHAnsi" w:cstheme="minorHAnsi"/>
                                <w:b/>
                                <w:bCs/>
                                <w:color w:val="2C2D5B"/>
                                <w:sz w:val="20"/>
                                <w:szCs w:val="20"/>
                                <w:lang w:val="en-US"/>
                              </w:rPr>
                              <w:t xml:space="preserve">: </w:t>
                            </w:r>
                          </w:p>
                          <w:p w14:paraId="6BFD4AE6" w14:textId="77777777" w:rsidR="005E5F6C" w:rsidRPr="00340CD5" w:rsidRDefault="005E5F6C" w:rsidP="00327D5A">
                            <w:pPr>
                              <w:jc w:val="both"/>
                              <w:rPr>
                                <w:rFonts w:asciiTheme="minorHAnsi" w:hAnsiTheme="minorHAnsi" w:cstheme="minorHAnsi"/>
                                <w:color w:val="2C2D5B"/>
                                <w:sz w:val="20"/>
                                <w:szCs w:val="20"/>
                                <w:lang w:val="es-ES"/>
                              </w:rPr>
                            </w:pPr>
                            <w:r w:rsidRPr="00340CD5">
                              <w:rPr>
                                <w:rFonts w:asciiTheme="minorHAnsi" w:hAnsiTheme="minorHAnsi" w:cstheme="minorHAnsi"/>
                                <w:color w:val="2C2D5B"/>
                                <w:sz w:val="20"/>
                                <w:szCs w:val="20"/>
                                <w:lang w:val="en-US"/>
                              </w:rPr>
                              <w:t xml:space="preserve">The Conseil d’Etat has significantly reduced the protection of fundamental rights to data protection and respect for private life, as enshrined in Articles 7 and 8 of the EChFR, in the name of the constitutional objective of safeguarding the Nation’s fundamental interest, preventing public order violations, identifying perpetrators of criminal offenses and combating terrorism. </w:t>
                            </w: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72289EFA" id="Zone de texte 57" o:spid="_x0000_s1066" style="position:absolute;left:0;text-align:left;margin-left:9.55pt;margin-top:40.4pt;width:423pt;height:171.75pt;z-index:2517667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GSlNAIAAFUEAAAOAAAAZHJzL2Uyb0RvYy54bWysVNtu2zAMfR+wfxD0vviypE2NOEWarsOA&#10;bh3W7QNkWY6FyaImKbG7rx8lu2mavQ3zAyGK0iF5eOTV9dApchDWSdAlzWYpJUJzqKXelfTH97t3&#10;S0qcZ7pmCrQo6ZNw9Hr99s2qN4XIoQVVC0sQRLuiNyVtvTdFkjjeio65GRihMdiA7ZhH1+6S2rIe&#10;0TuV5Gl6kfRga2OBC+dw93YM0nXEbxrB/UPTOOGJKinW5qO10VbBJusVK3aWmVbyqQz2D1V0TGpM&#10;eoS6ZZ6RvZV/QXWSW3DQ+BmHLoGmkVzEHrCbLD3r5rFlRsRekBxnjjS5/wfLvxwezVdL/HADAw4w&#10;NuHMPfCfjmjYtkzvxMZa6FvBakycBcqS3rhiuhqodoULIFX/GWocMtt7iEBDY7vACvZJEB0H8HQk&#10;XQyecNxcvL/MsxRDHGN5tszyfBFzsOL5urHOfxTQkbAoqYW9rr/haGMOdrh3PtTEiudzIaUDJes7&#10;qVR0gpzEVllyYCiEajd2cXZKadJjg1fpIh1peAVhd9UR4OZik863U5WvMnXSo56V7Eq6TMM3KiyQ&#10;90HXUW2eSTWusWSlJzYDgSOVfqgGIuuSzuPlwG4F9RPya2HUL743/4CmUYAFcyUNJS3Y3+d74RxK&#10;BSOU9Kjxkrpfe2YFJeqTxlleZXPMQXx05ovLHB17GqlOI0xzhCqpp2Rcbn18SIFgDRuceSPjIF4q&#10;nnpD7cb5TO8sPI5TP556+Rus/wAAAP//AwBQSwMEFAAGAAgAAAAhAE15qE3dAAAACQEAAA8AAABk&#10;cnMvZG93bnJldi54bWxMj8FOwzAQRO9I/IO1SNyo05JWbohTRZW4cGsoB25OvCSBeB3Fbhr+nuUE&#10;x9kZzb7JD4sbxIxT6D1pWK8SEEiNtz21Gs6vzw8KRIiGrBk8oYZvDHAobm9yk1l/pRPOVWwFl1DI&#10;jIYuxjGTMjQdOhNWfkRi78NPzkSWUyvtZK5c7ga5SZKddKYn/tCZEY8dNl/VxWmYz6dtqY7vadW9&#10;yc/9S6lq5ZTW93dL+QQi4hL/wvCLz+hQMFPtL2SDGFjv15zUoBJewL7abflQa0g36SPIIpf/FxQ/&#10;AAAA//8DAFBLAQItABQABgAIAAAAIQC2gziS/gAAAOEBAAATAAAAAAAAAAAAAAAAAAAAAABbQ29u&#10;dGVudF9UeXBlc10ueG1sUEsBAi0AFAAGAAgAAAAhADj9If/WAAAAlAEAAAsAAAAAAAAAAAAAAAAA&#10;LwEAAF9yZWxzLy5yZWxzUEsBAi0AFAAGAAgAAAAhANKAZKU0AgAAVQQAAA4AAAAAAAAAAAAAAAAA&#10;LgIAAGRycy9lMm9Eb2MueG1sUEsBAi0AFAAGAAgAAAAhAE15qE3dAAAACQEAAA8AAAAAAAAAAAAA&#10;AAAAjgQAAGRycy9kb3ducmV2LnhtbFBLBQYAAAAABAAEAPMAAACYBQAAAAA=&#10;" fillcolor="white [3212]" strokecolor="#b6a04c" strokeweight="1.5pt">
                <v:stroke joinstyle="miter"/>
                <v:textbox>
                  <w:txbxContent>
                    <w:p w14:paraId="1B67D23C" w14:textId="77777777" w:rsidR="005E5F6C" w:rsidRPr="00340CD5" w:rsidRDefault="005E5F6C" w:rsidP="00340CD5">
                      <w:pPr>
                        <w:jc w:val="center"/>
                        <w:rPr>
                          <w:rFonts w:asciiTheme="minorHAnsi" w:hAnsiTheme="minorHAnsi" w:cstheme="minorHAnsi"/>
                          <w:b/>
                          <w:bCs/>
                          <w:color w:val="B6A04C"/>
                          <w:sz w:val="20"/>
                          <w:szCs w:val="20"/>
                          <w:lang w:val="en-US"/>
                        </w:rPr>
                      </w:pPr>
                      <w:r w:rsidRPr="00340CD5">
                        <w:rPr>
                          <w:rFonts w:asciiTheme="minorHAnsi" w:hAnsiTheme="minorHAnsi" w:cstheme="minorHAnsi"/>
                          <w:b/>
                          <w:bCs/>
                          <w:color w:val="B6A04C"/>
                          <w:sz w:val="20"/>
                          <w:szCs w:val="20"/>
                          <w:lang w:val="en-US"/>
                        </w:rPr>
                        <w:t>CE, Ass. 21 Apr. 2021, French Data Network, No. 393099</w:t>
                      </w:r>
                    </w:p>
                    <w:p w14:paraId="78F9138C" w14:textId="77777777" w:rsidR="005E5F6C" w:rsidRDefault="005E5F6C" w:rsidP="005E5F6C">
                      <w:pPr>
                        <w:jc w:val="right"/>
                        <w:rPr>
                          <w:rFonts w:asciiTheme="minorHAnsi" w:hAnsiTheme="minorHAnsi" w:cstheme="minorHAnsi"/>
                          <w:b/>
                          <w:bCs/>
                          <w:sz w:val="20"/>
                          <w:szCs w:val="20"/>
                          <w:lang w:val="en-US"/>
                        </w:rPr>
                      </w:pPr>
                    </w:p>
                    <w:p w14:paraId="066FD434" w14:textId="189697CC" w:rsidR="005E5F6C" w:rsidRPr="00340CD5" w:rsidRDefault="005E5F6C" w:rsidP="005E5F6C">
                      <w:pPr>
                        <w:jc w:val="both"/>
                        <w:rPr>
                          <w:rFonts w:asciiTheme="minorHAnsi" w:hAnsiTheme="minorHAnsi" w:cstheme="minorHAnsi"/>
                          <w:b/>
                          <w:bCs/>
                          <w:color w:val="2C2D5B"/>
                          <w:sz w:val="20"/>
                          <w:szCs w:val="20"/>
                          <w:lang w:val="en-US"/>
                        </w:rPr>
                      </w:pPr>
                      <w:r w:rsidRPr="00340CD5">
                        <w:rPr>
                          <w:rFonts w:asciiTheme="minorHAnsi" w:hAnsiTheme="minorHAnsi" w:cstheme="minorHAnsi"/>
                          <w:b/>
                          <w:bCs/>
                          <w:color w:val="2C2D5B"/>
                          <w:sz w:val="20"/>
                          <w:szCs w:val="20"/>
                          <w:lang w:val="en-US"/>
                        </w:rPr>
                        <w:t>Facts</w:t>
                      </w:r>
                      <w:r w:rsidR="00340CD5" w:rsidRPr="00340CD5">
                        <w:rPr>
                          <w:rFonts w:asciiTheme="minorHAnsi" w:hAnsiTheme="minorHAnsi" w:cstheme="minorHAnsi"/>
                          <w:b/>
                          <w:bCs/>
                          <w:color w:val="2C2D5B"/>
                          <w:sz w:val="20"/>
                          <w:szCs w:val="20"/>
                          <w:lang w:val="en-US"/>
                        </w:rPr>
                        <w:t xml:space="preserve"> </w:t>
                      </w:r>
                      <w:r w:rsidRPr="00340CD5">
                        <w:rPr>
                          <w:rFonts w:asciiTheme="minorHAnsi" w:hAnsiTheme="minorHAnsi" w:cstheme="minorHAnsi"/>
                          <w:b/>
                          <w:bCs/>
                          <w:color w:val="2C2D5B"/>
                          <w:sz w:val="20"/>
                          <w:szCs w:val="20"/>
                          <w:lang w:val="en-US"/>
                        </w:rPr>
                        <w:t xml:space="preserve">: </w:t>
                      </w:r>
                    </w:p>
                    <w:p w14:paraId="0B2C8990" w14:textId="77777777" w:rsidR="005E5F6C" w:rsidRPr="00340CD5" w:rsidRDefault="005E5F6C" w:rsidP="005E5F6C">
                      <w:pPr>
                        <w:jc w:val="both"/>
                        <w:rPr>
                          <w:rFonts w:asciiTheme="minorHAnsi" w:hAnsiTheme="minorHAnsi" w:cstheme="minorHAnsi"/>
                          <w:color w:val="2C2D5B"/>
                          <w:sz w:val="20"/>
                          <w:szCs w:val="20"/>
                          <w:lang w:val="en-US"/>
                        </w:rPr>
                      </w:pPr>
                      <w:r w:rsidRPr="00340CD5">
                        <w:rPr>
                          <w:rFonts w:asciiTheme="minorHAnsi" w:hAnsiTheme="minorHAnsi" w:cstheme="minorHAnsi"/>
                          <w:color w:val="2C2D5B"/>
                          <w:sz w:val="20"/>
                          <w:szCs w:val="20"/>
                          <w:lang w:val="en-US"/>
                        </w:rPr>
                        <w:t xml:space="preserve">A requirement imposed on electronic communication operators to retain data for criminal investigations was challenged as violating Articles 7 and 8 of the EChFR, protecting private life and data protection. </w:t>
                      </w:r>
                    </w:p>
                    <w:p w14:paraId="46A61568" w14:textId="77777777" w:rsidR="005E5F6C" w:rsidRPr="00340CD5" w:rsidRDefault="005E5F6C" w:rsidP="005E5F6C">
                      <w:pPr>
                        <w:jc w:val="both"/>
                        <w:rPr>
                          <w:rFonts w:asciiTheme="minorHAnsi" w:hAnsiTheme="minorHAnsi" w:cstheme="minorHAnsi"/>
                          <w:color w:val="2C2D5B"/>
                          <w:sz w:val="20"/>
                          <w:szCs w:val="20"/>
                          <w:lang w:val="en-US"/>
                        </w:rPr>
                      </w:pPr>
                    </w:p>
                    <w:p w14:paraId="6C90042E" w14:textId="644A2634" w:rsidR="005E5F6C" w:rsidRPr="00340CD5" w:rsidRDefault="005E5F6C" w:rsidP="005E5F6C">
                      <w:pPr>
                        <w:jc w:val="both"/>
                        <w:rPr>
                          <w:rFonts w:asciiTheme="minorHAnsi" w:hAnsiTheme="minorHAnsi" w:cstheme="minorHAnsi"/>
                          <w:b/>
                          <w:bCs/>
                          <w:color w:val="2C2D5B"/>
                          <w:sz w:val="20"/>
                          <w:szCs w:val="20"/>
                          <w:lang w:val="en-US"/>
                        </w:rPr>
                      </w:pPr>
                      <w:r w:rsidRPr="00340CD5">
                        <w:rPr>
                          <w:rFonts w:asciiTheme="minorHAnsi" w:hAnsiTheme="minorHAnsi" w:cstheme="minorHAnsi"/>
                          <w:b/>
                          <w:bCs/>
                          <w:color w:val="2C2D5B"/>
                          <w:sz w:val="20"/>
                          <w:szCs w:val="20"/>
                          <w:lang w:val="en-US"/>
                        </w:rPr>
                        <w:t>Ruling</w:t>
                      </w:r>
                      <w:r w:rsidR="00340CD5" w:rsidRPr="00340CD5">
                        <w:rPr>
                          <w:rFonts w:asciiTheme="minorHAnsi" w:hAnsiTheme="minorHAnsi" w:cstheme="minorHAnsi"/>
                          <w:b/>
                          <w:bCs/>
                          <w:color w:val="2C2D5B"/>
                          <w:sz w:val="20"/>
                          <w:szCs w:val="20"/>
                          <w:lang w:val="en-US"/>
                        </w:rPr>
                        <w:t xml:space="preserve"> </w:t>
                      </w:r>
                      <w:r w:rsidRPr="00340CD5">
                        <w:rPr>
                          <w:rFonts w:asciiTheme="minorHAnsi" w:hAnsiTheme="minorHAnsi" w:cstheme="minorHAnsi"/>
                          <w:b/>
                          <w:bCs/>
                          <w:color w:val="2C2D5B"/>
                          <w:sz w:val="20"/>
                          <w:szCs w:val="20"/>
                          <w:lang w:val="en-US"/>
                        </w:rPr>
                        <w:t xml:space="preserve">: </w:t>
                      </w:r>
                    </w:p>
                    <w:p w14:paraId="6BFD4AE6" w14:textId="77777777" w:rsidR="005E5F6C" w:rsidRPr="00340CD5" w:rsidRDefault="005E5F6C" w:rsidP="00327D5A">
                      <w:pPr>
                        <w:jc w:val="both"/>
                        <w:rPr>
                          <w:rFonts w:asciiTheme="minorHAnsi" w:hAnsiTheme="minorHAnsi" w:cstheme="minorHAnsi"/>
                          <w:color w:val="2C2D5B"/>
                          <w:sz w:val="20"/>
                          <w:szCs w:val="20"/>
                          <w:lang w:val="es-ES"/>
                        </w:rPr>
                      </w:pPr>
                      <w:r w:rsidRPr="00340CD5">
                        <w:rPr>
                          <w:rFonts w:asciiTheme="minorHAnsi" w:hAnsiTheme="minorHAnsi" w:cstheme="minorHAnsi"/>
                          <w:color w:val="2C2D5B"/>
                          <w:sz w:val="20"/>
                          <w:szCs w:val="20"/>
                          <w:lang w:val="en-US"/>
                        </w:rPr>
                        <w:t xml:space="preserve">The Conseil </w:t>
                      </w:r>
                      <w:proofErr w:type="spellStart"/>
                      <w:r w:rsidRPr="00340CD5">
                        <w:rPr>
                          <w:rFonts w:asciiTheme="minorHAnsi" w:hAnsiTheme="minorHAnsi" w:cstheme="minorHAnsi"/>
                          <w:color w:val="2C2D5B"/>
                          <w:sz w:val="20"/>
                          <w:szCs w:val="20"/>
                          <w:lang w:val="en-US"/>
                        </w:rPr>
                        <w:t>d’Etat</w:t>
                      </w:r>
                      <w:proofErr w:type="spellEnd"/>
                      <w:r w:rsidRPr="00340CD5">
                        <w:rPr>
                          <w:rFonts w:asciiTheme="minorHAnsi" w:hAnsiTheme="minorHAnsi" w:cstheme="minorHAnsi"/>
                          <w:color w:val="2C2D5B"/>
                          <w:sz w:val="20"/>
                          <w:szCs w:val="20"/>
                          <w:lang w:val="en-US"/>
                        </w:rPr>
                        <w:t xml:space="preserve"> has significantly reduced the protection of fundamental rights to data protection and respect for private life, as enshrined in Articles 7 and 8 of the EChFR, in the name of the constitutional objective of safeguarding the Nation’s fundamental interest, preventing public order violations, identifying perpetrators of criminal offenses and combating terrorism. </w:t>
                      </w:r>
                    </w:p>
                  </w:txbxContent>
                </v:textbox>
                <w10:wrap type="square" anchorx="margin"/>
              </v:roundrect>
            </w:pict>
          </mc:Fallback>
        </mc:AlternateContent>
      </w:r>
      <w:r w:rsidR="005E5F6C" w:rsidRPr="00200E08">
        <w:rPr>
          <w:rFonts w:ascii="Calibri" w:hAnsi="Calibri" w:cs="Calibri"/>
          <w:b/>
          <w:bCs/>
          <w:i/>
          <w:iCs/>
          <w:color w:val="2F5496" w:themeColor="accent1" w:themeShade="BF"/>
        </w:rPr>
        <w:t xml:space="preserve">Data Protection </w:t>
      </w:r>
    </w:p>
    <w:p w14:paraId="6125C6F6" w14:textId="21E619C4" w:rsidR="005E5F6C" w:rsidRDefault="005E5F6C" w:rsidP="005E5F6C">
      <w:pPr>
        <w:spacing w:after="120" w:line="276" w:lineRule="auto"/>
        <w:jc w:val="both"/>
        <w:rPr>
          <w:rFonts w:ascii="Calibri" w:hAnsi="Calibri" w:cs="Calibri"/>
        </w:rPr>
      </w:pPr>
    </w:p>
    <w:p w14:paraId="1C7286CF" w14:textId="77777777" w:rsidR="006232DA" w:rsidRPr="005A6959" w:rsidRDefault="006232DA" w:rsidP="005E5F6C">
      <w:pPr>
        <w:spacing w:after="120" w:line="276" w:lineRule="auto"/>
        <w:jc w:val="both"/>
        <w:rPr>
          <w:rFonts w:ascii="Calibri" w:hAnsi="Calibri" w:cs="Calibri"/>
        </w:rPr>
      </w:pPr>
    </w:p>
    <w:p w14:paraId="46C3DB06" w14:textId="47927EA2" w:rsidR="005E5F6C" w:rsidRPr="00200E08" w:rsidRDefault="00200E08" w:rsidP="00253E61">
      <w:pPr>
        <w:pStyle w:val="Odstavecseseznamem"/>
        <w:numPr>
          <w:ilvl w:val="0"/>
          <w:numId w:val="18"/>
        </w:numPr>
        <w:spacing w:after="120" w:line="276" w:lineRule="auto"/>
        <w:jc w:val="both"/>
        <w:rPr>
          <w:rFonts w:ascii="Calibri" w:hAnsi="Calibri" w:cs="Calibri"/>
          <w:b/>
          <w:bCs/>
          <w:i/>
          <w:iCs/>
          <w:color w:val="2F5496" w:themeColor="accent1" w:themeShade="BF"/>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77728" behindDoc="0" locked="0" layoutInCell="1" allowOverlap="1" wp14:anchorId="56767515" wp14:editId="1C66CA99">
            <wp:simplePos x="0" y="0"/>
            <wp:positionH relativeFrom="column">
              <wp:posOffset>4953494</wp:posOffset>
            </wp:positionH>
            <wp:positionV relativeFrom="paragraph">
              <wp:posOffset>290195</wp:posOffset>
            </wp:positionV>
            <wp:extent cx="713105" cy="575310"/>
            <wp:effectExtent l="0" t="0" r="0" b="0"/>
            <wp:wrapNone/>
            <wp:docPr id="2081627596"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005E5F6C" w:rsidRPr="00200E08">
        <w:rPr>
          <w:rFonts w:ascii="Calibri" w:hAnsi="Calibri" w:cs="Calibri"/>
          <w:b/>
          <w:bCs/>
          <w:i/>
          <w:iCs/>
          <w:color w:val="2F5496" w:themeColor="accent1" w:themeShade="BF"/>
        </w:rPr>
        <w:t>Exchange of information in the field of taxation</w:t>
      </w:r>
    </w:p>
    <w:p w14:paraId="148DDB77" w14:textId="38D11153" w:rsidR="005E5F6C" w:rsidRPr="005A6959" w:rsidRDefault="00200E08" w:rsidP="005E5F6C">
      <w:pPr>
        <w:spacing w:after="120" w:line="276" w:lineRule="auto"/>
        <w:jc w:val="both"/>
        <w:rPr>
          <w:rFonts w:ascii="Calibri" w:hAnsi="Calibri" w:cs="Calibri"/>
          <w:b/>
          <w:bCs/>
        </w:rPr>
      </w:pPr>
      <w:r w:rsidRPr="00340CD5">
        <w:rPr>
          <w:rFonts w:ascii="Calibri" w:eastAsiaTheme="minorHAnsi" w:hAnsi="Calibri" w:cs="Calibri"/>
          <w:b/>
          <w:bCs/>
          <w:i/>
          <w:iCs/>
          <w:noProof/>
          <w:color w:val="4472C4" w:themeColor="accent1"/>
          <w:lang w:val="fr-FR" w:eastAsia="fr-FR"/>
        </w:rPr>
        <mc:AlternateContent>
          <mc:Choice Requires="wps">
            <w:drawing>
              <wp:anchor distT="45720" distB="45720" distL="114300" distR="114300" simplePos="0" relativeHeight="251820032" behindDoc="0" locked="0" layoutInCell="1" allowOverlap="1" wp14:anchorId="6FD27BF5" wp14:editId="0E1C18E3">
                <wp:simplePos x="0" y="0"/>
                <wp:positionH relativeFrom="margin">
                  <wp:posOffset>104775</wp:posOffset>
                </wp:positionH>
                <wp:positionV relativeFrom="paragraph">
                  <wp:posOffset>245110</wp:posOffset>
                </wp:positionV>
                <wp:extent cx="5381625" cy="3556000"/>
                <wp:effectExtent l="0" t="0" r="28575" b="25400"/>
                <wp:wrapSquare wrapText="bothSides"/>
                <wp:docPr id="1440042884" name="Zone de texte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1625" cy="3556000"/>
                        </a:xfrm>
                        <a:prstGeom prst="roundRect">
                          <a:avLst/>
                        </a:prstGeom>
                        <a:solidFill>
                          <a:schemeClr val="bg1"/>
                        </a:solidFill>
                        <a:ln w="19050">
                          <a:solidFill>
                            <a:srgbClr val="B6A04C"/>
                          </a:solidFill>
                          <a:miter lim="800000"/>
                          <a:headEnd/>
                          <a:tailEnd/>
                        </a:ln>
                      </wps:spPr>
                      <wps:txbx>
                        <w:txbxContent>
                          <w:p w14:paraId="6612DAE2" w14:textId="77777777" w:rsidR="006232DA" w:rsidRPr="00340CD5" w:rsidRDefault="006232DA" w:rsidP="00340CD5">
                            <w:pPr>
                              <w:ind w:left="720"/>
                              <w:jc w:val="center"/>
                              <w:rPr>
                                <w:rFonts w:asciiTheme="minorHAnsi" w:hAnsiTheme="minorHAnsi" w:cstheme="minorHAnsi"/>
                                <w:b/>
                                <w:bCs/>
                                <w:color w:val="B6A04C"/>
                                <w:sz w:val="20"/>
                                <w:szCs w:val="20"/>
                                <w:lang w:val="en-US"/>
                              </w:rPr>
                            </w:pPr>
                            <w:r w:rsidRPr="00340CD5">
                              <w:rPr>
                                <w:rFonts w:asciiTheme="minorHAnsi" w:hAnsiTheme="minorHAnsi" w:cstheme="minorHAnsi"/>
                                <w:b/>
                                <w:bCs/>
                                <w:color w:val="B6A04C"/>
                                <w:sz w:val="20"/>
                                <w:szCs w:val="20"/>
                              </w:rPr>
                              <w:t xml:space="preserve">C.E, </w:t>
                            </w:r>
                            <w:r w:rsidRPr="00340CD5">
                              <w:rPr>
                                <w:rFonts w:asciiTheme="minorHAnsi" w:hAnsiTheme="minorHAnsi" w:cstheme="minorHAnsi"/>
                                <w:b/>
                                <w:bCs/>
                                <w:color w:val="B6A04C"/>
                                <w:sz w:val="20"/>
                                <w:szCs w:val="20"/>
                                <w:lang w:val="en-US"/>
                              </w:rPr>
                              <w:t>25 June 2021, No. 448486.</w:t>
                            </w:r>
                          </w:p>
                          <w:p w14:paraId="7C640B94" w14:textId="77777777" w:rsidR="006232DA" w:rsidRDefault="006232DA" w:rsidP="006232DA">
                            <w:pPr>
                              <w:ind w:left="720"/>
                              <w:jc w:val="right"/>
                              <w:rPr>
                                <w:rFonts w:asciiTheme="minorHAnsi" w:hAnsiTheme="minorHAnsi" w:cstheme="minorHAnsi"/>
                                <w:b/>
                                <w:bCs/>
                                <w:sz w:val="20"/>
                                <w:szCs w:val="20"/>
                                <w:lang w:val="en-US"/>
                              </w:rPr>
                            </w:pPr>
                          </w:p>
                          <w:p w14:paraId="251D3A28" w14:textId="2D958B7F" w:rsidR="006232DA" w:rsidRPr="00340CD5" w:rsidRDefault="006232DA" w:rsidP="006232DA">
                            <w:pPr>
                              <w:jc w:val="both"/>
                              <w:rPr>
                                <w:rFonts w:asciiTheme="minorHAnsi" w:hAnsiTheme="minorHAnsi" w:cstheme="minorHAnsi"/>
                                <w:b/>
                                <w:bCs/>
                                <w:color w:val="2C2D5B"/>
                                <w:sz w:val="20"/>
                                <w:szCs w:val="20"/>
                                <w:lang w:val="en-US"/>
                              </w:rPr>
                            </w:pPr>
                            <w:r w:rsidRPr="00340CD5">
                              <w:rPr>
                                <w:rFonts w:asciiTheme="minorHAnsi" w:hAnsiTheme="minorHAnsi" w:cstheme="minorHAnsi"/>
                                <w:b/>
                                <w:bCs/>
                                <w:color w:val="2C2D5B"/>
                                <w:sz w:val="20"/>
                                <w:szCs w:val="20"/>
                                <w:lang w:val="en-US"/>
                              </w:rPr>
                              <w:t>Facts</w:t>
                            </w:r>
                            <w:r w:rsidR="00340CD5" w:rsidRPr="00340CD5">
                              <w:rPr>
                                <w:rFonts w:asciiTheme="minorHAnsi" w:hAnsiTheme="minorHAnsi" w:cstheme="minorHAnsi"/>
                                <w:b/>
                                <w:bCs/>
                                <w:color w:val="2C2D5B"/>
                                <w:sz w:val="20"/>
                                <w:szCs w:val="20"/>
                                <w:lang w:val="en-US"/>
                              </w:rPr>
                              <w:t xml:space="preserve"> </w:t>
                            </w:r>
                            <w:r w:rsidRPr="00340CD5">
                              <w:rPr>
                                <w:rFonts w:asciiTheme="minorHAnsi" w:hAnsiTheme="minorHAnsi" w:cstheme="minorHAnsi"/>
                                <w:b/>
                                <w:bCs/>
                                <w:color w:val="2C2D5B"/>
                                <w:sz w:val="20"/>
                                <w:szCs w:val="20"/>
                                <w:lang w:val="en-US"/>
                              </w:rPr>
                              <w:t>:</w:t>
                            </w:r>
                          </w:p>
                          <w:p w14:paraId="6D4CE114" w14:textId="77777777" w:rsidR="006232DA" w:rsidRPr="00340CD5" w:rsidRDefault="006232DA" w:rsidP="006232DA">
                            <w:pPr>
                              <w:jc w:val="both"/>
                              <w:rPr>
                                <w:rFonts w:asciiTheme="minorHAnsi" w:hAnsiTheme="minorHAnsi" w:cstheme="minorHAnsi"/>
                                <w:color w:val="2C2D5B"/>
                                <w:sz w:val="20"/>
                                <w:szCs w:val="20"/>
                                <w:lang w:val="en-US"/>
                              </w:rPr>
                            </w:pPr>
                            <w:r w:rsidRPr="00340CD5">
                              <w:rPr>
                                <w:rFonts w:asciiTheme="minorHAnsi" w:hAnsiTheme="minorHAnsi" w:cstheme="minorHAnsi"/>
                                <w:color w:val="2C2D5B"/>
                                <w:sz w:val="20"/>
                                <w:szCs w:val="20"/>
                                <w:lang w:val="en-US"/>
                              </w:rPr>
                              <w:t xml:space="preserve">This case concerns the transposition of Council Directive 2018/822 of May 25, 2018 which mandates the automatic and compulsory exchange of information in tax matters for reportable cross-border arrangements. This Directive introduced a requirement for entities to report to the tax authorities legal arrangements likely to result in a loss of tax matter involving several European Union member states or a member state and a third country. </w:t>
                            </w:r>
                          </w:p>
                          <w:p w14:paraId="3963A039" w14:textId="77777777" w:rsidR="006232DA" w:rsidRPr="00340CD5" w:rsidRDefault="006232DA" w:rsidP="006232DA">
                            <w:pPr>
                              <w:jc w:val="both"/>
                              <w:rPr>
                                <w:rFonts w:asciiTheme="minorHAnsi" w:hAnsiTheme="minorHAnsi" w:cstheme="minorHAnsi"/>
                                <w:color w:val="2C2D5B"/>
                                <w:sz w:val="20"/>
                                <w:szCs w:val="20"/>
                              </w:rPr>
                            </w:pPr>
                            <w:r w:rsidRPr="00340CD5">
                              <w:rPr>
                                <w:rFonts w:asciiTheme="minorHAnsi" w:hAnsiTheme="minorHAnsi" w:cstheme="minorHAnsi"/>
                                <w:color w:val="2C2D5B"/>
                                <w:sz w:val="20"/>
                                <w:szCs w:val="20"/>
                              </w:rPr>
                              <w:t xml:space="preserve">The </w:t>
                            </w:r>
                            <w:r w:rsidRPr="00340CD5">
                              <w:rPr>
                                <w:rFonts w:asciiTheme="minorHAnsi" w:hAnsiTheme="minorHAnsi" w:cstheme="minorHAnsi"/>
                                <w:i/>
                                <w:iCs/>
                                <w:color w:val="2C2D5B"/>
                                <w:sz w:val="20"/>
                                <w:szCs w:val="20"/>
                              </w:rPr>
                              <w:t xml:space="preserve">Conseil National des Barreaux </w:t>
                            </w:r>
                            <w:r w:rsidRPr="00340CD5">
                              <w:rPr>
                                <w:rFonts w:asciiTheme="minorHAnsi" w:hAnsiTheme="minorHAnsi" w:cstheme="minorHAnsi"/>
                                <w:color w:val="2C2D5B"/>
                                <w:sz w:val="20"/>
                                <w:szCs w:val="20"/>
                              </w:rPr>
                              <w:t xml:space="preserve">(National Council of Bars) and various lawyers’ organizations contested this transposition law, arguing that its reporting obligations compromised lawyer-client confidentiality. They claimed that this requirement violated fundamental rights under both EU and international law  - specifically, Articles 7 and 47 EChFR, which protects private life and the right to a fair trial, as well as Articles 8 and 6 of the ECHR. </w:t>
                            </w:r>
                          </w:p>
                          <w:p w14:paraId="3E066A2C" w14:textId="77777777" w:rsidR="006232DA" w:rsidRPr="00340CD5" w:rsidRDefault="006232DA" w:rsidP="006232DA">
                            <w:pPr>
                              <w:jc w:val="both"/>
                              <w:rPr>
                                <w:rFonts w:asciiTheme="minorHAnsi" w:hAnsiTheme="minorHAnsi" w:cstheme="minorHAnsi"/>
                                <w:color w:val="2C2D5B"/>
                                <w:sz w:val="20"/>
                                <w:szCs w:val="20"/>
                              </w:rPr>
                            </w:pPr>
                          </w:p>
                          <w:p w14:paraId="1723EE0F" w14:textId="5D155D61" w:rsidR="006232DA" w:rsidRPr="00340CD5" w:rsidRDefault="006232DA" w:rsidP="006232DA">
                            <w:pPr>
                              <w:jc w:val="both"/>
                              <w:rPr>
                                <w:rFonts w:asciiTheme="minorHAnsi" w:hAnsiTheme="minorHAnsi" w:cstheme="minorHAnsi"/>
                                <w:b/>
                                <w:bCs/>
                                <w:color w:val="2C2D5B"/>
                                <w:sz w:val="20"/>
                                <w:szCs w:val="20"/>
                              </w:rPr>
                            </w:pPr>
                            <w:r w:rsidRPr="00340CD5">
                              <w:rPr>
                                <w:rFonts w:asciiTheme="minorHAnsi" w:hAnsiTheme="minorHAnsi" w:cstheme="minorHAnsi"/>
                                <w:b/>
                                <w:bCs/>
                                <w:color w:val="2C2D5B"/>
                                <w:sz w:val="20"/>
                                <w:szCs w:val="20"/>
                              </w:rPr>
                              <w:t>Ruling</w:t>
                            </w:r>
                            <w:r w:rsidR="00340CD5" w:rsidRPr="00340CD5">
                              <w:rPr>
                                <w:rFonts w:asciiTheme="minorHAnsi" w:hAnsiTheme="minorHAnsi" w:cstheme="minorHAnsi"/>
                                <w:b/>
                                <w:bCs/>
                                <w:color w:val="2C2D5B"/>
                                <w:sz w:val="20"/>
                                <w:szCs w:val="20"/>
                              </w:rPr>
                              <w:t xml:space="preserve"> </w:t>
                            </w:r>
                            <w:r w:rsidRPr="00340CD5">
                              <w:rPr>
                                <w:rFonts w:asciiTheme="minorHAnsi" w:hAnsiTheme="minorHAnsi" w:cstheme="minorHAnsi"/>
                                <w:b/>
                                <w:bCs/>
                                <w:color w:val="2C2D5B"/>
                                <w:sz w:val="20"/>
                                <w:szCs w:val="20"/>
                              </w:rPr>
                              <w:t xml:space="preserve">: </w:t>
                            </w:r>
                          </w:p>
                          <w:p w14:paraId="58706148" w14:textId="77777777" w:rsidR="006232DA" w:rsidRPr="00340CD5" w:rsidRDefault="006232DA" w:rsidP="006232DA">
                            <w:pPr>
                              <w:jc w:val="both"/>
                              <w:rPr>
                                <w:rFonts w:asciiTheme="minorHAnsi" w:hAnsiTheme="minorHAnsi" w:cstheme="minorHAnsi"/>
                                <w:color w:val="2C2D5B"/>
                                <w:sz w:val="20"/>
                                <w:szCs w:val="20"/>
                              </w:rPr>
                            </w:pPr>
                            <w:r w:rsidRPr="00340CD5">
                              <w:rPr>
                                <w:rFonts w:asciiTheme="minorHAnsi" w:hAnsiTheme="minorHAnsi" w:cstheme="minorHAnsi"/>
                                <w:color w:val="2C2D5B"/>
                                <w:sz w:val="20"/>
                                <w:szCs w:val="20"/>
                              </w:rPr>
                              <w:t xml:space="preserve">The Conseil d’Etat recognised the validity of the applicants’ concerns regarding fundamental rights. It acknowledged that the rights guaranteed by the EChFR were critically implicated in this case. Furthermore, the court indicated that it may grant relief sought by the parties, which included the option to make a preliminary reference to the CJEU to clarify the compatibility of the reporting obligations with EU law. </w:t>
                            </w:r>
                          </w:p>
                          <w:p w14:paraId="6A50EAF5" w14:textId="77777777" w:rsidR="006232DA" w:rsidRPr="00340CD5" w:rsidRDefault="006232DA" w:rsidP="006232DA">
                            <w:pPr>
                              <w:jc w:val="both"/>
                              <w:rPr>
                                <w:rFonts w:asciiTheme="minorHAnsi" w:hAnsiTheme="minorHAnsi" w:cstheme="minorHAnsi"/>
                                <w:color w:val="2C2D5B"/>
                                <w:sz w:val="20"/>
                                <w:szCs w:val="20"/>
                              </w:rPr>
                            </w:pPr>
                          </w:p>
                          <w:p w14:paraId="3D52B71C" w14:textId="77777777" w:rsidR="006232DA" w:rsidRPr="005E5F6C" w:rsidRDefault="006232DA" w:rsidP="006232DA">
                            <w:pPr>
                              <w:ind w:left="720"/>
                              <w:jc w:val="both"/>
                              <w:rPr>
                                <w:rFonts w:asciiTheme="minorHAnsi" w:hAnsiTheme="minorHAnsi" w:cstheme="minorHAnsi"/>
                                <w:b/>
                                <w:bCs/>
                                <w:sz w:val="20"/>
                                <w:szCs w:val="20"/>
                              </w:rPr>
                            </w:pPr>
                          </w:p>
                          <w:p w14:paraId="29477B8C" w14:textId="77777777" w:rsidR="006232DA" w:rsidRPr="005E5F6C" w:rsidRDefault="006232DA" w:rsidP="006232DA">
                            <w:pPr>
                              <w:jc w:val="right"/>
                              <w:rPr>
                                <w:rFonts w:asciiTheme="minorHAnsi" w:hAnsiTheme="minorHAnsi" w:cstheme="minorHAnsi"/>
                                <w:sz w:val="20"/>
                                <w:szCs w:val="20"/>
                                <w:lang w:val="es-ES"/>
                              </w:rPr>
                            </w:pPr>
                            <w:r>
                              <w:rPr>
                                <w:rFonts w:asciiTheme="minorHAnsi" w:hAnsiTheme="minorHAnsi" w:cstheme="minorHAnsi"/>
                                <w:sz w:val="20"/>
                                <w:szCs w:val="20"/>
                              </w:rPr>
                              <w:t xml:space="preserve"> </w:t>
                            </w: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6FD27BF5" id="Zone de texte 58" o:spid="_x0000_s1067" style="position:absolute;left:0;text-align:left;margin-left:8.25pt;margin-top:19.3pt;width:423.75pt;height:280pt;z-index:2518200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wacNAIAAFUEAAAOAAAAZHJzL2Uyb0RvYy54bWysVNFu0zAUfUfiHyy/06RdU7qo6dR1DCEN&#10;hhh8gOM4iYXja2y3Sff1XDtdV8ob4sXy9XWO7znn3qxuhk6RvbBOgi7odJJSIjSHSuqmoD++379b&#10;UuI80xVToEVBD8LRm/XbN6ve5GIGLahKWIIg2uW9KWjrvcmTxPFWdMxNwAiNyRpsxzyGtkkqy3pE&#10;71QyS9NF0oOtjAUunMPTuzFJ1xG/rgX3j3XthCeqoFibj6uNaxnWZL1ieWOZaSU/lsH+oYqOSY2P&#10;nqDumGdkZ+VfUJ3kFhzUfsKhS6CuJReRA7KZphdsnlpmROSC4jhzksn9P1j+Zf9kvlrih1sY0MBI&#10;wpkH4D8d0bBtmW7ExlroW8EqfHgaJEt64/Ljp0Fql7sAUvafoUKT2c5DBBpq2wVVkCdBdDTgcBJd&#10;DJ5wPMyultPFLKOEY+4qyxZpGm1JWP7yubHOfxTQkbApqIWdrr6htfENtn9wPtTE8pd74UkHSlb3&#10;UqkYhHYSW2XJnmEjlM3I4uKW0qRHgtdplo4y/AFhm/IEcLvYpPNtVOICo5Me+1nJrqBLJDJSYXkQ&#10;74OuYrd5JtW4x5KVPqoZBByl9EM5EFkVdB6rDOqWUB1QXwtj/+K8+UdcagVYMFfSUNKCfb48C/ew&#10;VTBDSY89XlD3a8esoER90ujl9XQ+D0MRg3n2foaBPc+U5xmmOUIV1FMybrc+DlIQWMMGPa9lNOK1&#10;4iM37N3oz3HOwnCcx/HW699g/RsAAP//AwBQSwMEFAAGAAgAAAAhAHnfT5HcAAAACQEAAA8AAABk&#10;cnMvZG93bnJldi54bWxMj0FPhDAQhe8m/odmTLy5RV1IFykbsokXb4vrwVuhI6B0SmiXxX/veNLj&#10;m/fy5nvFfnWjWHAOgycN95sEBFLr7UCdhtPr850CEaIha0ZPqOEbA+zL66vC5NZf6IhLHTvBJRRy&#10;o6GPccqlDG2PzoSNn5DY+/CzM5Hl3Ek7mwuXu1E+JEkmnRmIP/RmwkOP7Vd9dhqW0zGt1OF9W/dv&#10;8nP3UqlGOaX17c1aPYGIuMa/MPziMzqUzNT4M9kgRtZZykkNjyoDwb7Ktryt0ZDu+CLLQv5fUP4A&#10;AAD//wMAUEsBAi0AFAAGAAgAAAAhALaDOJL+AAAA4QEAABMAAAAAAAAAAAAAAAAAAAAAAFtDb250&#10;ZW50X1R5cGVzXS54bWxQSwECLQAUAAYACAAAACEAOP0h/9YAAACUAQAACwAAAAAAAAAAAAAAAAAv&#10;AQAAX3JlbHMvLnJlbHNQSwECLQAUAAYACAAAACEA2b8GnDQCAABVBAAADgAAAAAAAAAAAAAAAAAu&#10;AgAAZHJzL2Uyb0RvYy54bWxQSwECLQAUAAYACAAAACEAed9PkdwAAAAJAQAADwAAAAAAAAAAAAAA&#10;AACOBAAAZHJzL2Rvd25yZXYueG1sUEsFBgAAAAAEAAQA8wAAAJcFAAAAAA==&#10;" fillcolor="white [3212]" strokecolor="#b6a04c" strokeweight="1.5pt">
                <v:stroke joinstyle="miter"/>
                <v:textbox>
                  <w:txbxContent>
                    <w:p w14:paraId="6612DAE2" w14:textId="77777777" w:rsidR="006232DA" w:rsidRPr="00340CD5" w:rsidRDefault="006232DA" w:rsidP="00340CD5">
                      <w:pPr>
                        <w:ind w:left="720"/>
                        <w:jc w:val="center"/>
                        <w:rPr>
                          <w:rFonts w:asciiTheme="minorHAnsi" w:hAnsiTheme="minorHAnsi" w:cstheme="minorHAnsi"/>
                          <w:b/>
                          <w:bCs/>
                          <w:color w:val="B6A04C"/>
                          <w:sz w:val="20"/>
                          <w:szCs w:val="20"/>
                          <w:lang w:val="en-US"/>
                        </w:rPr>
                      </w:pPr>
                      <w:r w:rsidRPr="00340CD5">
                        <w:rPr>
                          <w:rFonts w:asciiTheme="minorHAnsi" w:hAnsiTheme="minorHAnsi" w:cstheme="minorHAnsi"/>
                          <w:b/>
                          <w:bCs/>
                          <w:color w:val="B6A04C"/>
                          <w:sz w:val="20"/>
                          <w:szCs w:val="20"/>
                        </w:rPr>
                        <w:t xml:space="preserve">C.E, </w:t>
                      </w:r>
                      <w:r w:rsidRPr="00340CD5">
                        <w:rPr>
                          <w:rFonts w:asciiTheme="minorHAnsi" w:hAnsiTheme="minorHAnsi" w:cstheme="minorHAnsi"/>
                          <w:b/>
                          <w:bCs/>
                          <w:color w:val="B6A04C"/>
                          <w:sz w:val="20"/>
                          <w:szCs w:val="20"/>
                          <w:lang w:val="en-US"/>
                        </w:rPr>
                        <w:t>25 June 2021, No. 448486.</w:t>
                      </w:r>
                    </w:p>
                    <w:p w14:paraId="7C640B94" w14:textId="77777777" w:rsidR="006232DA" w:rsidRDefault="006232DA" w:rsidP="006232DA">
                      <w:pPr>
                        <w:ind w:left="720"/>
                        <w:jc w:val="right"/>
                        <w:rPr>
                          <w:rFonts w:asciiTheme="minorHAnsi" w:hAnsiTheme="minorHAnsi" w:cstheme="minorHAnsi"/>
                          <w:b/>
                          <w:bCs/>
                          <w:sz w:val="20"/>
                          <w:szCs w:val="20"/>
                          <w:lang w:val="en-US"/>
                        </w:rPr>
                      </w:pPr>
                    </w:p>
                    <w:p w14:paraId="251D3A28" w14:textId="2D958B7F" w:rsidR="006232DA" w:rsidRPr="00340CD5" w:rsidRDefault="006232DA" w:rsidP="006232DA">
                      <w:pPr>
                        <w:jc w:val="both"/>
                        <w:rPr>
                          <w:rFonts w:asciiTheme="minorHAnsi" w:hAnsiTheme="minorHAnsi" w:cstheme="minorHAnsi"/>
                          <w:b/>
                          <w:bCs/>
                          <w:color w:val="2C2D5B"/>
                          <w:sz w:val="20"/>
                          <w:szCs w:val="20"/>
                          <w:lang w:val="en-US"/>
                        </w:rPr>
                      </w:pPr>
                      <w:r w:rsidRPr="00340CD5">
                        <w:rPr>
                          <w:rFonts w:asciiTheme="minorHAnsi" w:hAnsiTheme="minorHAnsi" w:cstheme="minorHAnsi"/>
                          <w:b/>
                          <w:bCs/>
                          <w:color w:val="2C2D5B"/>
                          <w:sz w:val="20"/>
                          <w:szCs w:val="20"/>
                          <w:lang w:val="en-US"/>
                        </w:rPr>
                        <w:t>Facts</w:t>
                      </w:r>
                      <w:r w:rsidR="00340CD5" w:rsidRPr="00340CD5">
                        <w:rPr>
                          <w:rFonts w:asciiTheme="minorHAnsi" w:hAnsiTheme="minorHAnsi" w:cstheme="minorHAnsi"/>
                          <w:b/>
                          <w:bCs/>
                          <w:color w:val="2C2D5B"/>
                          <w:sz w:val="20"/>
                          <w:szCs w:val="20"/>
                          <w:lang w:val="en-US"/>
                        </w:rPr>
                        <w:t xml:space="preserve"> </w:t>
                      </w:r>
                      <w:r w:rsidRPr="00340CD5">
                        <w:rPr>
                          <w:rFonts w:asciiTheme="minorHAnsi" w:hAnsiTheme="minorHAnsi" w:cstheme="minorHAnsi"/>
                          <w:b/>
                          <w:bCs/>
                          <w:color w:val="2C2D5B"/>
                          <w:sz w:val="20"/>
                          <w:szCs w:val="20"/>
                          <w:lang w:val="en-US"/>
                        </w:rPr>
                        <w:t>:</w:t>
                      </w:r>
                    </w:p>
                    <w:p w14:paraId="6D4CE114" w14:textId="77777777" w:rsidR="006232DA" w:rsidRPr="00340CD5" w:rsidRDefault="006232DA" w:rsidP="006232DA">
                      <w:pPr>
                        <w:jc w:val="both"/>
                        <w:rPr>
                          <w:rFonts w:asciiTheme="minorHAnsi" w:hAnsiTheme="minorHAnsi" w:cstheme="minorHAnsi"/>
                          <w:color w:val="2C2D5B"/>
                          <w:sz w:val="20"/>
                          <w:szCs w:val="20"/>
                          <w:lang w:val="en-US"/>
                        </w:rPr>
                      </w:pPr>
                      <w:r w:rsidRPr="00340CD5">
                        <w:rPr>
                          <w:rFonts w:asciiTheme="minorHAnsi" w:hAnsiTheme="minorHAnsi" w:cstheme="minorHAnsi"/>
                          <w:color w:val="2C2D5B"/>
                          <w:sz w:val="20"/>
                          <w:szCs w:val="20"/>
                          <w:lang w:val="en-US"/>
                        </w:rPr>
                        <w:t xml:space="preserve">This case concerns the transposition of Council Directive 2018/822 of May 25, 2018 which mandates the automatic and compulsory exchange of information in tax matters for reportable cross-border arrangements. This Directive introduced a requirement for entities to report to the tax authorities legal arrangements likely to result in a loss of tax matter involving several European Union member states or a member state and a third country. </w:t>
                      </w:r>
                    </w:p>
                    <w:p w14:paraId="3963A039" w14:textId="77777777" w:rsidR="006232DA" w:rsidRPr="00340CD5" w:rsidRDefault="006232DA" w:rsidP="006232DA">
                      <w:pPr>
                        <w:jc w:val="both"/>
                        <w:rPr>
                          <w:rFonts w:asciiTheme="minorHAnsi" w:hAnsiTheme="minorHAnsi" w:cstheme="minorHAnsi"/>
                          <w:color w:val="2C2D5B"/>
                          <w:sz w:val="20"/>
                          <w:szCs w:val="20"/>
                        </w:rPr>
                      </w:pPr>
                      <w:r w:rsidRPr="00340CD5">
                        <w:rPr>
                          <w:rFonts w:asciiTheme="minorHAnsi" w:hAnsiTheme="minorHAnsi" w:cstheme="minorHAnsi"/>
                          <w:color w:val="2C2D5B"/>
                          <w:sz w:val="20"/>
                          <w:szCs w:val="20"/>
                        </w:rPr>
                        <w:t xml:space="preserve">The </w:t>
                      </w:r>
                      <w:r w:rsidRPr="00340CD5">
                        <w:rPr>
                          <w:rFonts w:asciiTheme="minorHAnsi" w:hAnsiTheme="minorHAnsi" w:cstheme="minorHAnsi"/>
                          <w:i/>
                          <w:iCs/>
                          <w:color w:val="2C2D5B"/>
                          <w:sz w:val="20"/>
                          <w:szCs w:val="20"/>
                        </w:rPr>
                        <w:t xml:space="preserve">Conseil National des </w:t>
                      </w:r>
                      <w:proofErr w:type="spellStart"/>
                      <w:r w:rsidRPr="00340CD5">
                        <w:rPr>
                          <w:rFonts w:asciiTheme="minorHAnsi" w:hAnsiTheme="minorHAnsi" w:cstheme="minorHAnsi"/>
                          <w:i/>
                          <w:iCs/>
                          <w:color w:val="2C2D5B"/>
                          <w:sz w:val="20"/>
                          <w:szCs w:val="20"/>
                        </w:rPr>
                        <w:t>Barreaux</w:t>
                      </w:r>
                      <w:proofErr w:type="spellEnd"/>
                      <w:r w:rsidRPr="00340CD5">
                        <w:rPr>
                          <w:rFonts w:asciiTheme="minorHAnsi" w:hAnsiTheme="minorHAnsi" w:cstheme="minorHAnsi"/>
                          <w:i/>
                          <w:iCs/>
                          <w:color w:val="2C2D5B"/>
                          <w:sz w:val="20"/>
                          <w:szCs w:val="20"/>
                        </w:rPr>
                        <w:t xml:space="preserve"> </w:t>
                      </w:r>
                      <w:r w:rsidRPr="00340CD5">
                        <w:rPr>
                          <w:rFonts w:asciiTheme="minorHAnsi" w:hAnsiTheme="minorHAnsi" w:cstheme="minorHAnsi"/>
                          <w:color w:val="2C2D5B"/>
                          <w:sz w:val="20"/>
                          <w:szCs w:val="20"/>
                        </w:rPr>
                        <w:t xml:space="preserve">(National Council of Bars) and various lawyers’ organizations contested this transposition law, arguing that its reporting obligations compromised lawyer-client confidentiality. They claimed that this requirement violated fundamental rights under both EU and international law  - specifically, Articles 7 and 47 EChFR, which protects private life and the right to a fair trial, as well as Articles 8 and 6 of the ECHR. </w:t>
                      </w:r>
                    </w:p>
                    <w:p w14:paraId="3E066A2C" w14:textId="77777777" w:rsidR="006232DA" w:rsidRPr="00340CD5" w:rsidRDefault="006232DA" w:rsidP="006232DA">
                      <w:pPr>
                        <w:jc w:val="both"/>
                        <w:rPr>
                          <w:rFonts w:asciiTheme="minorHAnsi" w:hAnsiTheme="minorHAnsi" w:cstheme="minorHAnsi"/>
                          <w:color w:val="2C2D5B"/>
                          <w:sz w:val="20"/>
                          <w:szCs w:val="20"/>
                        </w:rPr>
                      </w:pPr>
                    </w:p>
                    <w:p w14:paraId="1723EE0F" w14:textId="5D155D61" w:rsidR="006232DA" w:rsidRPr="00340CD5" w:rsidRDefault="006232DA" w:rsidP="006232DA">
                      <w:pPr>
                        <w:jc w:val="both"/>
                        <w:rPr>
                          <w:rFonts w:asciiTheme="minorHAnsi" w:hAnsiTheme="minorHAnsi" w:cstheme="minorHAnsi"/>
                          <w:b/>
                          <w:bCs/>
                          <w:color w:val="2C2D5B"/>
                          <w:sz w:val="20"/>
                          <w:szCs w:val="20"/>
                        </w:rPr>
                      </w:pPr>
                      <w:r w:rsidRPr="00340CD5">
                        <w:rPr>
                          <w:rFonts w:asciiTheme="minorHAnsi" w:hAnsiTheme="minorHAnsi" w:cstheme="minorHAnsi"/>
                          <w:b/>
                          <w:bCs/>
                          <w:color w:val="2C2D5B"/>
                          <w:sz w:val="20"/>
                          <w:szCs w:val="20"/>
                        </w:rPr>
                        <w:t>Ruling</w:t>
                      </w:r>
                      <w:r w:rsidR="00340CD5" w:rsidRPr="00340CD5">
                        <w:rPr>
                          <w:rFonts w:asciiTheme="minorHAnsi" w:hAnsiTheme="minorHAnsi" w:cstheme="minorHAnsi"/>
                          <w:b/>
                          <w:bCs/>
                          <w:color w:val="2C2D5B"/>
                          <w:sz w:val="20"/>
                          <w:szCs w:val="20"/>
                        </w:rPr>
                        <w:t xml:space="preserve"> </w:t>
                      </w:r>
                      <w:r w:rsidRPr="00340CD5">
                        <w:rPr>
                          <w:rFonts w:asciiTheme="minorHAnsi" w:hAnsiTheme="minorHAnsi" w:cstheme="minorHAnsi"/>
                          <w:b/>
                          <w:bCs/>
                          <w:color w:val="2C2D5B"/>
                          <w:sz w:val="20"/>
                          <w:szCs w:val="20"/>
                        </w:rPr>
                        <w:t xml:space="preserve">: </w:t>
                      </w:r>
                    </w:p>
                    <w:p w14:paraId="58706148" w14:textId="77777777" w:rsidR="006232DA" w:rsidRPr="00340CD5" w:rsidRDefault="006232DA" w:rsidP="006232DA">
                      <w:pPr>
                        <w:jc w:val="both"/>
                        <w:rPr>
                          <w:rFonts w:asciiTheme="minorHAnsi" w:hAnsiTheme="minorHAnsi" w:cstheme="minorHAnsi"/>
                          <w:color w:val="2C2D5B"/>
                          <w:sz w:val="20"/>
                          <w:szCs w:val="20"/>
                        </w:rPr>
                      </w:pPr>
                      <w:r w:rsidRPr="00340CD5">
                        <w:rPr>
                          <w:rFonts w:asciiTheme="minorHAnsi" w:hAnsiTheme="minorHAnsi" w:cstheme="minorHAnsi"/>
                          <w:color w:val="2C2D5B"/>
                          <w:sz w:val="20"/>
                          <w:szCs w:val="20"/>
                        </w:rPr>
                        <w:t xml:space="preserve">The Conseil </w:t>
                      </w:r>
                      <w:proofErr w:type="spellStart"/>
                      <w:r w:rsidRPr="00340CD5">
                        <w:rPr>
                          <w:rFonts w:asciiTheme="minorHAnsi" w:hAnsiTheme="minorHAnsi" w:cstheme="minorHAnsi"/>
                          <w:color w:val="2C2D5B"/>
                          <w:sz w:val="20"/>
                          <w:szCs w:val="20"/>
                        </w:rPr>
                        <w:t>d’Etat</w:t>
                      </w:r>
                      <w:proofErr w:type="spellEnd"/>
                      <w:r w:rsidRPr="00340CD5">
                        <w:rPr>
                          <w:rFonts w:asciiTheme="minorHAnsi" w:hAnsiTheme="minorHAnsi" w:cstheme="minorHAnsi"/>
                          <w:color w:val="2C2D5B"/>
                          <w:sz w:val="20"/>
                          <w:szCs w:val="20"/>
                        </w:rPr>
                        <w:t xml:space="preserve"> recognised the validity of the applicants’ concerns regarding fundamental rights. It acknowledged that the rights guaranteed by the EChFR were critically implicated in this case. Furthermore, the court indicated that it may grant relief sought by the parties, which included the option to make a preliminary reference to the CJEU to clarify the compatibility of the reporting obligations with EU law. </w:t>
                      </w:r>
                    </w:p>
                    <w:p w14:paraId="6A50EAF5" w14:textId="77777777" w:rsidR="006232DA" w:rsidRPr="00340CD5" w:rsidRDefault="006232DA" w:rsidP="006232DA">
                      <w:pPr>
                        <w:jc w:val="both"/>
                        <w:rPr>
                          <w:rFonts w:asciiTheme="minorHAnsi" w:hAnsiTheme="minorHAnsi" w:cstheme="minorHAnsi"/>
                          <w:color w:val="2C2D5B"/>
                          <w:sz w:val="20"/>
                          <w:szCs w:val="20"/>
                        </w:rPr>
                      </w:pPr>
                    </w:p>
                    <w:p w14:paraId="3D52B71C" w14:textId="77777777" w:rsidR="006232DA" w:rsidRPr="005E5F6C" w:rsidRDefault="006232DA" w:rsidP="006232DA">
                      <w:pPr>
                        <w:ind w:left="720"/>
                        <w:jc w:val="both"/>
                        <w:rPr>
                          <w:rFonts w:asciiTheme="minorHAnsi" w:hAnsiTheme="minorHAnsi" w:cstheme="minorHAnsi"/>
                          <w:b/>
                          <w:bCs/>
                          <w:sz w:val="20"/>
                          <w:szCs w:val="20"/>
                        </w:rPr>
                      </w:pPr>
                    </w:p>
                    <w:p w14:paraId="29477B8C" w14:textId="77777777" w:rsidR="006232DA" w:rsidRPr="005E5F6C" w:rsidRDefault="006232DA" w:rsidP="006232DA">
                      <w:pPr>
                        <w:jc w:val="right"/>
                        <w:rPr>
                          <w:rFonts w:asciiTheme="minorHAnsi" w:hAnsiTheme="minorHAnsi" w:cstheme="minorHAnsi"/>
                          <w:sz w:val="20"/>
                          <w:szCs w:val="20"/>
                          <w:lang w:val="es-ES"/>
                        </w:rPr>
                      </w:pPr>
                      <w:r>
                        <w:rPr>
                          <w:rFonts w:asciiTheme="minorHAnsi" w:hAnsiTheme="minorHAnsi" w:cstheme="minorHAnsi"/>
                          <w:sz w:val="20"/>
                          <w:szCs w:val="20"/>
                        </w:rPr>
                        <w:t xml:space="preserve"> </w:t>
                      </w:r>
                    </w:p>
                  </w:txbxContent>
                </v:textbox>
                <w10:wrap type="square" anchorx="margin"/>
              </v:roundrect>
            </w:pict>
          </mc:Fallback>
        </mc:AlternateContent>
      </w:r>
    </w:p>
    <w:p w14:paraId="5BE802CE" w14:textId="77777777" w:rsidR="005E5F6C" w:rsidRDefault="005E5F6C" w:rsidP="00327D5A">
      <w:pPr>
        <w:pStyle w:val="Odstavecseseznamem"/>
        <w:spacing w:after="120" w:line="276" w:lineRule="auto"/>
        <w:jc w:val="both"/>
        <w:rPr>
          <w:rFonts w:ascii="Calibri" w:hAnsi="Calibri" w:cs="Calibri"/>
          <w:b/>
          <w:bCs/>
          <w:i/>
          <w:iCs/>
          <w:color w:val="002060"/>
        </w:rPr>
      </w:pPr>
    </w:p>
    <w:p w14:paraId="0A784CF1" w14:textId="77777777" w:rsidR="00340CD5" w:rsidRDefault="00340CD5" w:rsidP="00327D5A">
      <w:pPr>
        <w:pStyle w:val="Odstavecseseznamem"/>
        <w:spacing w:after="120" w:line="276" w:lineRule="auto"/>
        <w:jc w:val="both"/>
        <w:rPr>
          <w:rFonts w:ascii="Calibri" w:hAnsi="Calibri" w:cs="Calibri"/>
          <w:b/>
          <w:bCs/>
          <w:i/>
          <w:iCs/>
          <w:color w:val="002060"/>
        </w:rPr>
      </w:pPr>
    </w:p>
    <w:p w14:paraId="6EC26631" w14:textId="77777777" w:rsidR="00340CD5" w:rsidRPr="00200E08" w:rsidRDefault="00340CD5" w:rsidP="00200E08">
      <w:pPr>
        <w:spacing w:after="120" w:line="276" w:lineRule="auto"/>
        <w:jc w:val="both"/>
        <w:rPr>
          <w:rFonts w:ascii="Calibri" w:hAnsi="Calibri" w:cs="Calibri"/>
          <w:b/>
          <w:bCs/>
          <w:i/>
          <w:iCs/>
          <w:color w:val="002060"/>
        </w:rPr>
      </w:pPr>
    </w:p>
    <w:p w14:paraId="09C204F3" w14:textId="7CD3A3CA" w:rsidR="00340CD5" w:rsidRPr="00200E08" w:rsidRDefault="00200E08" w:rsidP="00327D5A">
      <w:pPr>
        <w:pStyle w:val="Odstavecseseznamem"/>
        <w:spacing w:after="120" w:line="276" w:lineRule="auto"/>
        <w:jc w:val="both"/>
        <w:rPr>
          <w:rFonts w:ascii="Calibri" w:hAnsi="Calibri" w:cs="Calibri"/>
          <w:b/>
          <w:bCs/>
          <w:i/>
          <w:iCs/>
          <w:color w:val="2F5496" w:themeColor="accent1" w:themeShade="BF"/>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75680" behindDoc="0" locked="0" layoutInCell="1" allowOverlap="1" wp14:anchorId="768A7125" wp14:editId="0BBF38C1">
            <wp:simplePos x="0" y="0"/>
            <wp:positionH relativeFrom="column">
              <wp:posOffset>4900154</wp:posOffset>
            </wp:positionH>
            <wp:positionV relativeFrom="paragraph">
              <wp:posOffset>213360</wp:posOffset>
            </wp:positionV>
            <wp:extent cx="713105" cy="575310"/>
            <wp:effectExtent l="0" t="0" r="0" b="0"/>
            <wp:wrapNone/>
            <wp:docPr id="2071908715"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p>
    <w:p w14:paraId="3FBA99B7" w14:textId="77777777" w:rsidR="00200E08" w:rsidRDefault="00200E08" w:rsidP="00200E08">
      <w:pPr>
        <w:pStyle w:val="Odstavecseseznamem"/>
        <w:numPr>
          <w:ilvl w:val="0"/>
          <w:numId w:val="18"/>
        </w:numPr>
        <w:spacing w:after="120" w:line="276" w:lineRule="auto"/>
        <w:jc w:val="both"/>
        <w:rPr>
          <w:rFonts w:ascii="Calibri" w:hAnsi="Calibri" w:cs="Calibri"/>
          <w:b/>
          <w:bCs/>
          <w:i/>
          <w:iCs/>
          <w:color w:val="2F5496" w:themeColor="accent1" w:themeShade="BF"/>
        </w:rPr>
      </w:pPr>
      <w:r w:rsidRPr="00200E08">
        <w:rPr>
          <w:rFonts w:ascii="Calibri" w:hAnsi="Calibri" w:cs="Calibri"/>
          <w:b/>
          <w:bCs/>
          <w:noProof/>
          <w:color w:val="2F5496" w:themeColor="accent1" w:themeShade="BF"/>
        </w:rPr>
        <mc:AlternateContent>
          <mc:Choice Requires="wps">
            <w:drawing>
              <wp:anchor distT="45720" distB="45720" distL="114300" distR="114300" simplePos="0" relativeHeight="251770880" behindDoc="0" locked="0" layoutInCell="1" allowOverlap="1" wp14:anchorId="034F8820" wp14:editId="5BF5C336">
                <wp:simplePos x="0" y="0"/>
                <wp:positionH relativeFrom="margin">
                  <wp:posOffset>116205</wp:posOffset>
                </wp:positionH>
                <wp:positionV relativeFrom="paragraph">
                  <wp:posOffset>304095</wp:posOffset>
                </wp:positionV>
                <wp:extent cx="5372100" cy="2753995"/>
                <wp:effectExtent l="0" t="0" r="19050" b="27305"/>
                <wp:wrapSquare wrapText="bothSides"/>
                <wp:docPr id="110468034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2753995"/>
                        </a:xfrm>
                        <a:prstGeom prst="roundRect">
                          <a:avLst/>
                        </a:prstGeom>
                        <a:solidFill>
                          <a:schemeClr val="bg1"/>
                        </a:solidFill>
                        <a:ln w="19050">
                          <a:solidFill>
                            <a:srgbClr val="B6A04C"/>
                          </a:solidFill>
                          <a:miter lim="800000"/>
                          <a:headEnd/>
                          <a:tailEnd/>
                        </a:ln>
                      </wps:spPr>
                      <wps:txbx>
                        <w:txbxContent>
                          <w:p w14:paraId="4D281EBA" w14:textId="70132F58" w:rsidR="002B4610" w:rsidRPr="00340CD5" w:rsidRDefault="002B4610" w:rsidP="00340CD5">
                            <w:pPr>
                              <w:jc w:val="center"/>
                              <w:rPr>
                                <w:rFonts w:asciiTheme="minorHAnsi" w:hAnsiTheme="minorHAnsi" w:cstheme="minorHAnsi"/>
                                <w:b/>
                                <w:bCs/>
                                <w:color w:val="B6A04C"/>
                                <w:sz w:val="20"/>
                                <w:szCs w:val="20"/>
                              </w:rPr>
                            </w:pPr>
                            <w:r w:rsidRPr="00340CD5">
                              <w:rPr>
                                <w:rFonts w:asciiTheme="minorHAnsi" w:hAnsiTheme="minorHAnsi" w:cstheme="minorHAnsi"/>
                                <w:b/>
                                <w:bCs/>
                                <w:i/>
                                <w:iCs/>
                                <w:color w:val="B6A04C"/>
                                <w:sz w:val="20"/>
                                <w:szCs w:val="20"/>
                              </w:rPr>
                              <w:t>Cour d’Appel de Lyon,</w:t>
                            </w:r>
                            <w:r w:rsidRPr="00340CD5">
                              <w:rPr>
                                <w:rFonts w:asciiTheme="minorHAnsi" w:hAnsiTheme="minorHAnsi" w:cstheme="minorHAnsi"/>
                                <w:b/>
                                <w:bCs/>
                                <w:color w:val="B6A04C"/>
                                <w:sz w:val="20"/>
                                <w:szCs w:val="20"/>
                              </w:rPr>
                              <w:t xml:space="preserve"> March 31, 2015, No.</w:t>
                            </w:r>
                            <w:r w:rsidRPr="00340CD5">
                              <w:rPr>
                                <w:rFonts w:eastAsia="Aptos"/>
                                <w:b/>
                                <w:bCs/>
                                <w:color w:val="B6A04C"/>
                                <w:kern w:val="2"/>
                                <w:lang w:eastAsia="en-US"/>
                                <w14:ligatures w14:val="standardContextual"/>
                              </w:rPr>
                              <w:t xml:space="preserve"> </w:t>
                            </w:r>
                            <w:r w:rsidRPr="00340CD5">
                              <w:rPr>
                                <w:rFonts w:asciiTheme="minorHAnsi" w:hAnsiTheme="minorHAnsi" w:cstheme="minorHAnsi"/>
                                <w:b/>
                                <w:bCs/>
                                <w:color w:val="B6A04C"/>
                                <w:sz w:val="20"/>
                                <w:szCs w:val="20"/>
                              </w:rPr>
                              <w:t>14/05509</w:t>
                            </w:r>
                          </w:p>
                          <w:p w14:paraId="3D6FC6EC" w14:textId="77777777" w:rsidR="002B4610" w:rsidRPr="00340CD5" w:rsidRDefault="002B4610" w:rsidP="002B4610">
                            <w:pPr>
                              <w:jc w:val="right"/>
                              <w:rPr>
                                <w:rFonts w:asciiTheme="minorHAnsi" w:hAnsiTheme="minorHAnsi" w:cstheme="minorHAnsi"/>
                                <w:b/>
                                <w:bCs/>
                                <w:sz w:val="20"/>
                                <w:szCs w:val="20"/>
                              </w:rPr>
                            </w:pPr>
                          </w:p>
                          <w:p w14:paraId="0FF17D99" w14:textId="64A7FE4A" w:rsidR="002B4610" w:rsidRPr="00200E08" w:rsidRDefault="002B4610" w:rsidP="002B4610">
                            <w:pPr>
                              <w:jc w:val="both"/>
                              <w:rPr>
                                <w:rFonts w:asciiTheme="minorHAnsi" w:hAnsiTheme="minorHAnsi" w:cstheme="minorHAnsi"/>
                                <w:b/>
                                <w:bCs/>
                                <w:color w:val="2C2D5B"/>
                                <w:sz w:val="19"/>
                                <w:szCs w:val="19"/>
                              </w:rPr>
                            </w:pPr>
                            <w:r w:rsidRPr="00200E08">
                              <w:rPr>
                                <w:rFonts w:asciiTheme="minorHAnsi" w:hAnsiTheme="minorHAnsi" w:cstheme="minorHAnsi"/>
                                <w:b/>
                                <w:bCs/>
                                <w:color w:val="2C2D5B"/>
                                <w:sz w:val="19"/>
                                <w:szCs w:val="19"/>
                              </w:rPr>
                              <w:t>Facts</w:t>
                            </w:r>
                            <w:r w:rsidR="00340CD5" w:rsidRPr="00200E08">
                              <w:rPr>
                                <w:rFonts w:asciiTheme="minorHAnsi" w:hAnsiTheme="minorHAnsi" w:cstheme="minorHAnsi"/>
                                <w:b/>
                                <w:bCs/>
                                <w:color w:val="2C2D5B"/>
                                <w:sz w:val="19"/>
                                <w:szCs w:val="19"/>
                              </w:rPr>
                              <w:t xml:space="preserve"> </w:t>
                            </w:r>
                            <w:r w:rsidRPr="00200E08">
                              <w:rPr>
                                <w:rFonts w:asciiTheme="minorHAnsi" w:hAnsiTheme="minorHAnsi" w:cstheme="minorHAnsi"/>
                                <w:b/>
                                <w:bCs/>
                                <w:color w:val="2C2D5B"/>
                                <w:sz w:val="19"/>
                                <w:szCs w:val="19"/>
                              </w:rPr>
                              <w:t xml:space="preserve">: </w:t>
                            </w:r>
                          </w:p>
                          <w:p w14:paraId="4E0F4F34" w14:textId="6723F594" w:rsidR="002B4610" w:rsidRPr="00200E08" w:rsidRDefault="002B4610" w:rsidP="002B4610">
                            <w:pPr>
                              <w:jc w:val="both"/>
                              <w:rPr>
                                <w:rFonts w:asciiTheme="minorHAnsi" w:hAnsiTheme="minorHAnsi" w:cstheme="minorHAnsi"/>
                                <w:color w:val="2C2D5B"/>
                                <w:sz w:val="19"/>
                                <w:szCs w:val="19"/>
                              </w:rPr>
                            </w:pPr>
                            <w:r w:rsidRPr="00200E08">
                              <w:rPr>
                                <w:rFonts w:asciiTheme="minorHAnsi" w:hAnsiTheme="minorHAnsi" w:cstheme="minorHAnsi"/>
                                <w:color w:val="2C2D5B"/>
                                <w:sz w:val="19"/>
                                <w:szCs w:val="19"/>
                              </w:rPr>
                              <w:t>This case involved the review of a legislative provision that condition the granting of the solidarity allowance for the elderly on a residence requirement. The applicant questioned the conformity of Article L816-1 of the French Social Security Code</w:t>
                            </w:r>
                            <w:r w:rsidR="009D0854" w:rsidRPr="00200E08">
                              <w:rPr>
                                <w:rFonts w:asciiTheme="minorHAnsi" w:hAnsiTheme="minorHAnsi" w:cstheme="minorHAnsi"/>
                                <w:color w:val="2C2D5B"/>
                                <w:sz w:val="19"/>
                                <w:szCs w:val="19"/>
                              </w:rPr>
                              <w:t xml:space="preserve">. The applicant questioned the conformity of Article L816-1 of the French Social Security Code with international standards, arguing that it deprived him of the minimum means of subsistence, as required by international texts of higher value under Article 55 of the French Constitution. </w:t>
                            </w:r>
                          </w:p>
                          <w:p w14:paraId="7B6DA462" w14:textId="77777777" w:rsidR="009D0854" w:rsidRPr="00200E08" w:rsidRDefault="009D0854" w:rsidP="002B4610">
                            <w:pPr>
                              <w:jc w:val="both"/>
                              <w:rPr>
                                <w:rFonts w:asciiTheme="minorHAnsi" w:hAnsiTheme="minorHAnsi" w:cstheme="minorHAnsi"/>
                                <w:color w:val="2C2D5B"/>
                                <w:sz w:val="19"/>
                                <w:szCs w:val="19"/>
                              </w:rPr>
                            </w:pPr>
                          </w:p>
                          <w:p w14:paraId="615187C4" w14:textId="1BD33C32" w:rsidR="009D0854" w:rsidRPr="00200E08" w:rsidRDefault="009D0854" w:rsidP="002B4610">
                            <w:pPr>
                              <w:jc w:val="both"/>
                              <w:rPr>
                                <w:rFonts w:asciiTheme="minorHAnsi" w:hAnsiTheme="minorHAnsi" w:cstheme="minorHAnsi"/>
                                <w:b/>
                                <w:bCs/>
                                <w:color w:val="2C2D5B"/>
                                <w:sz w:val="19"/>
                                <w:szCs w:val="19"/>
                              </w:rPr>
                            </w:pPr>
                            <w:r w:rsidRPr="00200E08">
                              <w:rPr>
                                <w:rFonts w:asciiTheme="minorHAnsi" w:hAnsiTheme="minorHAnsi" w:cstheme="minorHAnsi"/>
                                <w:b/>
                                <w:bCs/>
                                <w:color w:val="2C2D5B"/>
                                <w:sz w:val="19"/>
                                <w:szCs w:val="19"/>
                              </w:rPr>
                              <w:t>Ruling</w:t>
                            </w:r>
                            <w:r w:rsidR="00340CD5" w:rsidRPr="00200E08">
                              <w:rPr>
                                <w:rFonts w:asciiTheme="minorHAnsi" w:hAnsiTheme="minorHAnsi" w:cstheme="minorHAnsi"/>
                                <w:b/>
                                <w:bCs/>
                                <w:color w:val="2C2D5B"/>
                                <w:sz w:val="19"/>
                                <w:szCs w:val="19"/>
                              </w:rPr>
                              <w:t xml:space="preserve"> </w:t>
                            </w:r>
                            <w:r w:rsidRPr="00200E08">
                              <w:rPr>
                                <w:rFonts w:asciiTheme="minorHAnsi" w:hAnsiTheme="minorHAnsi" w:cstheme="minorHAnsi"/>
                                <w:b/>
                                <w:bCs/>
                                <w:color w:val="2C2D5B"/>
                                <w:sz w:val="19"/>
                                <w:szCs w:val="19"/>
                              </w:rPr>
                              <w:t xml:space="preserve">: </w:t>
                            </w:r>
                          </w:p>
                          <w:p w14:paraId="3F25D76A" w14:textId="4D26AD00" w:rsidR="009D0854" w:rsidRPr="00200E08" w:rsidRDefault="009D0854" w:rsidP="00327D5A">
                            <w:pPr>
                              <w:jc w:val="both"/>
                              <w:rPr>
                                <w:rFonts w:asciiTheme="minorHAnsi" w:hAnsiTheme="minorHAnsi" w:cstheme="minorHAnsi"/>
                                <w:color w:val="2C2D5B"/>
                                <w:sz w:val="19"/>
                                <w:szCs w:val="19"/>
                              </w:rPr>
                            </w:pPr>
                            <w:r w:rsidRPr="00200E08">
                              <w:rPr>
                                <w:rFonts w:asciiTheme="minorHAnsi" w:hAnsiTheme="minorHAnsi" w:cstheme="minorHAnsi"/>
                                <w:color w:val="2C2D5B"/>
                                <w:sz w:val="19"/>
                                <w:szCs w:val="19"/>
                              </w:rPr>
                              <w:t xml:space="preserve">The Lyon Court of Appeal determined that, while the residence condition aimed to ensure that assistance was granted to individuals residing permanently in France – a legitimate objective – the provision’s application in this case deprived the applicant of necessary subsistence means before the age of 75. This deprivation was found to contravene the rights to dignity and independence required the EChFR, prompting the court to deem the provision inconsistent with the EChFR. </w:t>
                            </w:r>
                          </w:p>
                          <w:p w14:paraId="0E1A755D" w14:textId="77777777" w:rsidR="002B4610" w:rsidRPr="00340CD5" w:rsidRDefault="002B4610" w:rsidP="002B4610">
                            <w:pPr>
                              <w:jc w:val="right"/>
                              <w:rPr>
                                <w:rFonts w:asciiTheme="minorHAnsi" w:hAnsiTheme="minorHAnsi" w:cstheme="minorHAnsi"/>
                                <w:color w:val="2C2D5B"/>
                                <w:sz w:val="20"/>
                                <w:szCs w:val="20"/>
                              </w:rPr>
                            </w:pPr>
                          </w:p>
                          <w:p w14:paraId="359E79C4" w14:textId="1E99D203" w:rsidR="002B4610" w:rsidRPr="00327D5A" w:rsidRDefault="002B4610" w:rsidP="00327D5A">
                            <w:pPr>
                              <w:jc w:val="both"/>
                              <w:rPr>
                                <w:rFonts w:asciiTheme="minorHAnsi" w:hAnsiTheme="minorHAnsi" w:cstheme="minorHAnsi"/>
                                <w:sz w:val="20"/>
                                <w:szCs w:val="20"/>
                              </w:rPr>
                            </w:pPr>
                            <w:r>
                              <w:rPr>
                                <w:rFonts w:asciiTheme="minorHAnsi" w:hAnsiTheme="minorHAnsi" w:cstheme="minorHAnsi"/>
                                <w:sz w:val="20"/>
                                <w:szCs w:val="20"/>
                              </w:rPr>
                              <w:t xml:space="preserve"> </w:t>
                            </w:r>
                            <w:r w:rsidRPr="00327D5A">
                              <w:rPr>
                                <w:rFonts w:asciiTheme="minorHAnsi" w:hAnsiTheme="minorHAnsi" w:cstheme="minorHAnsi"/>
                                <w:sz w:val="20"/>
                                <w:szCs w:val="20"/>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34F8820" id="_x0000_s1068" style="position:absolute;left:0;text-align:left;margin-left:9.15pt;margin-top:23.95pt;width:423pt;height:216.85pt;z-index:2517708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h79JAIAAC0EAAAOAAAAZHJzL2Uyb0RvYy54bWysU9tu2zAMfR+wfxD0vthxk6Yx4hRpug4D&#10;ugvW7QNkSbaFyaInKbG7rx8lu2navQ3zg0Ca0iF5eLi5HlpNjtI6Baag81lKiTQchDJ1QX98v3t3&#10;RYnzzAimwciCPkpHr7dv32z6LpcZNKCFtARBjMv7rqCN912eJI43smVuBp00GKzAtsyja+tEWNYj&#10;equTLE0vkx6s6Cxw6Rz+vR2DdBvxq0py/6WqnPREFxRr8/G08SzDmWw3LK8t6xrFpzLYP1TRMmUw&#10;6QnqlnlGDlb9BdUqbsFB5Wcc2gSqSnEZe8Bu5umrbh4a1snYC5LjuhNN7v/B8s/Hh+6rJX64gQEH&#10;GJtw3T3wn44Y2DfM1HJnLfSNZAITzwNlSd+5fHoaqHa5CyBl/wkEDpkdPESgobJtYAX7JIiOA3g8&#10;kS4HTzj+XF6ssnmKIY6xbLW8WK+XMQfLn5531vkPEloSjIJaOBjxDUcbc7DjvfOhJpY/3QspHWgl&#10;7pTW0QlyknttyZGhEMp67OLVLW1Ijw2u02U60vACwtblCeDmcpcu9lOVLzK1yqOetWoLepWGb1RY&#10;IO+9EVFtnik92liyNhObgcCRSj+UA1GioIssPA7sliAekV8Lo35x39BowP6mpEftFtT9OjArKdEf&#10;Dc5oPV8sgtijs1iuMnTseaQ8jzDDEaqgnpLR3Pu4IIE4AzucZaUiwc+VTDWjJiPv0/4E0Z/78dbz&#10;lm//AAAA//8DAFBLAwQUAAYACAAAACEA6ldAdNwAAAAJAQAADwAAAGRycy9kb3ducmV2LnhtbEyP&#10;PU/DMBCGdyT+g3VIbNQphOCmcaqoEgtbQxnYnPgaB2I7it00/HuOiY7vh957rtgtdmAzTqH3TsJ6&#10;lQBD13rdu07C8f31QQALUTmtBu9Qwg8G2JW3N4XKtb+4A8517BiNuJArCSbGMec8tAatCis/oqPs&#10;5CerIsmp43pSFxq3A39Mkoxb1Tu6YNSIe4Ptd322Eubj4bkS+8+0Nh/8a/NWiUZYIeX93VJtgUVc&#10;4n8Z/vAJHUpiavzZ6cAG0uKJmhLSlw0wykWWktGQIdYZ8LLg1x+UvwAAAP//AwBQSwECLQAUAAYA&#10;CAAAACEAtoM4kv4AAADhAQAAEwAAAAAAAAAAAAAAAAAAAAAAW0NvbnRlbnRfVHlwZXNdLnhtbFBL&#10;AQItABQABgAIAAAAIQA4/SH/1gAAAJQBAAALAAAAAAAAAAAAAAAAAC8BAABfcmVscy8ucmVsc1BL&#10;AQItABQABgAIAAAAIQBXkh79JAIAAC0EAAAOAAAAAAAAAAAAAAAAAC4CAABkcnMvZTJvRG9jLnht&#10;bFBLAQItABQABgAIAAAAIQDqV0B03AAAAAkBAAAPAAAAAAAAAAAAAAAAAH4EAABkcnMvZG93bnJl&#10;di54bWxQSwUGAAAAAAQABADzAAAAhwUAAAAA&#10;" fillcolor="white [3212]" strokecolor="#b6a04c" strokeweight="1.5pt">
                <v:stroke joinstyle="miter"/>
                <v:textbox>
                  <w:txbxContent>
                    <w:p w14:paraId="4D281EBA" w14:textId="70132F58" w:rsidR="002B4610" w:rsidRPr="00340CD5" w:rsidRDefault="002B4610" w:rsidP="00340CD5">
                      <w:pPr>
                        <w:jc w:val="center"/>
                        <w:rPr>
                          <w:rFonts w:asciiTheme="minorHAnsi" w:hAnsiTheme="minorHAnsi" w:cstheme="minorHAnsi"/>
                          <w:b/>
                          <w:bCs/>
                          <w:color w:val="B6A04C"/>
                          <w:sz w:val="20"/>
                          <w:szCs w:val="20"/>
                        </w:rPr>
                      </w:pPr>
                      <w:r w:rsidRPr="00340CD5">
                        <w:rPr>
                          <w:rFonts w:asciiTheme="minorHAnsi" w:hAnsiTheme="minorHAnsi" w:cstheme="minorHAnsi"/>
                          <w:b/>
                          <w:bCs/>
                          <w:i/>
                          <w:iCs/>
                          <w:color w:val="B6A04C"/>
                          <w:sz w:val="20"/>
                          <w:szCs w:val="20"/>
                        </w:rPr>
                        <w:t xml:space="preserve">Cour </w:t>
                      </w:r>
                      <w:proofErr w:type="spellStart"/>
                      <w:r w:rsidRPr="00340CD5">
                        <w:rPr>
                          <w:rFonts w:asciiTheme="minorHAnsi" w:hAnsiTheme="minorHAnsi" w:cstheme="minorHAnsi"/>
                          <w:b/>
                          <w:bCs/>
                          <w:i/>
                          <w:iCs/>
                          <w:color w:val="B6A04C"/>
                          <w:sz w:val="20"/>
                          <w:szCs w:val="20"/>
                        </w:rPr>
                        <w:t>d’Appel</w:t>
                      </w:r>
                      <w:proofErr w:type="spellEnd"/>
                      <w:r w:rsidRPr="00340CD5">
                        <w:rPr>
                          <w:rFonts w:asciiTheme="minorHAnsi" w:hAnsiTheme="minorHAnsi" w:cstheme="minorHAnsi"/>
                          <w:b/>
                          <w:bCs/>
                          <w:i/>
                          <w:iCs/>
                          <w:color w:val="B6A04C"/>
                          <w:sz w:val="20"/>
                          <w:szCs w:val="20"/>
                        </w:rPr>
                        <w:t xml:space="preserve"> de Lyon,</w:t>
                      </w:r>
                      <w:r w:rsidRPr="00340CD5">
                        <w:rPr>
                          <w:rFonts w:asciiTheme="minorHAnsi" w:hAnsiTheme="minorHAnsi" w:cstheme="minorHAnsi"/>
                          <w:b/>
                          <w:bCs/>
                          <w:color w:val="B6A04C"/>
                          <w:sz w:val="20"/>
                          <w:szCs w:val="20"/>
                        </w:rPr>
                        <w:t xml:space="preserve"> March 31, 2015, No.</w:t>
                      </w:r>
                      <w:r w:rsidRPr="00340CD5">
                        <w:rPr>
                          <w:rFonts w:eastAsia="Aptos"/>
                          <w:b/>
                          <w:bCs/>
                          <w:color w:val="B6A04C"/>
                          <w:kern w:val="2"/>
                          <w:lang w:eastAsia="en-US"/>
                          <w14:ligatures w14:val="standardContextual"/>
                        </w:rPr>
                        <w:t xml:space="preserve"> </w:t>
                      </w:r>
                      <w:r w:rsidRPr="00340CD5">
                        <w:rPr>
                          <w:rFonts w:asciiTheme="minorHAnsi" w:hAnsiTheme="minorHAnsi" w:cstheme="minorHAnsi"/>
                          <w:b/>
                          <w:bCs/>
                          <w:color w:val="B6A04C"/>
                          <w:sz w:val="20"/>
                          <w:szCs w:val="20"/>
                        </w:rPr>
                        <w:t>14/05509</w:t>
                      </w:r>
                    </w:p>
                    <w:p w14:paraId="3D6FC6EC" w14:textId="77777777" w:rsidR="002B4610" w:rsidRPr="00340CD5" w:rsidRDefault="002B4610" w:rsidP="002B4610">
                      <w:pPr>
                        <w:jc w:val="right"/>
                        <w:rPr>
                          <w:rFonts w:asciiTheme="minorHAnsi" w:hAnsiTheme="minorHAnsi" w:cstheme="minorHAnsi"/>
                          <w:b/>
                          <w:bCs/>
                          <w:sz w:val="20"/>
                          <w:szCs w:val="20"/>
                        </w:rPr>
                      </w:pPr>
                    </w:p>
                    <w:p w14:paraId="0FF17D99" w14:textId="64A7FE4A" w:rsidR="002B4610" w:rsidRPr="00200E08" w:rsidRDefault="002B4610" w:rsidP="002B4610">
                      <w:pPr>
                        <w:jc w:val="both"/>
                        <w:rPr>
                          <w:rFonts w:asciiTheme="minorHAnsi" w:hAnsiTheme="minorHAnsi" w:cstheme="minorHAnsi"/>
                          <w:b/>
                          <w:bCs/>
                          <w:color w:val="2C2D5B"/>
                          <w:sz w:val="19"/>
                          <w:szCs w:val="19"/>
                        </w:rPr>
                      </w:pPr>
                      <w:r w:rsidRPr="00200E08">
                        <w:rPr>
                          <w:rFonts w:asciiTheme="minorHAnsi" w:hAnsiTheme="minorHAnsi" w:cstheme="minorHAnsi"/>
                          <w:b/>
                          <w:bCs/>
                          <w:color w:val="2C2D5B"/>
                          <w:sz w:val="19"/>
                          <w:szCs w:val="19"/>
                        </w:rPr>
                        <w:t>Facts</w:t>
                      </w:r>
                      <w:r w:rsidR="00340CD5" w:rsidRPr="00200E08">
                        <w:rPr>
                          <w:rFonts w:asciiTheme="minorHAnsi" w:hAnsiTheme="minorHAnsi" w:cstheme="minorHAnsi"/>
                          <w:b/>
                          <w:bCs/>
                          <w:color w:val="2C2D5B"/>
                          <w:sz w:val="19"/>
                          <w:szCs w:val="19"/>
                        </w:rPr>
                        <w:t xml:space="preserve"> </w:t>
                      </w:r>
                      <w:r w:rsidRPr="00200E08">
                        <w:rPr>
                          <w:rFonts w:asciiTheme="minorHAnsi" w:hAnsiTheme="minorHAnsi" w:cstheme="minorHAnsi"/>
                          <w:b/>
                          <w:bCs/>
                          <w:color w:val="2C2D5B"/>
                          <w:sz w:val="19"/>
                          <w:szCs w:val="19"/>
                        </w:rPr>
                        <w:t xml:space="preserve">: </w:t>
                      </w:r>
                    </w:p>
                    <w:p w14:paraId="4E0F4F34" w14:textId="6723F594" w:rsidR="002B4610" w:rsidRPr="00200E08" w:rsidRDefault="002B4610" w:rsidP="002B4610">
                      <w:pPr>
                        <w:jc w:val="both"/>
                        <w:rPr>
                          <w:rFonts w:asciiTheme="minorHAnsi" w:hAnsiTheme="minorHAnsi" w:cstheme="minorHAnsi"/>
                          <w:color w:val="2C2D5B"/>
                          <w:sz w:val="19"/>
                          <w:szCs w:val="19"/>
                        </w:rPr>
                      </w:pPr>
                      <w:r w:rsidRPr="00200E08">
                        <w:rPr>
                          <w:rFonts w:asciiTheme="minorHAnsi" w:hAnsiTheme="minorHAnsi" w:cstheme="minorHAnsi"/>
                          <w:color w:val="2C2D5B"/>
                          <w:sz w:val="19"/>
                          <w:szCs w:val="19"/>
                        </w:rPr>
                        <w:t>This case involved the review of a legislative provision that condition the granting of the solidarity allowance for the elderly on a residence requirement. The applicant questioned the conformity of Article L816-1 of the French Social Security Code</w:t>
                      </w:r>
                      <w:r w:rsidR="009D0854" w:rsidRPr="00200E08">
                        <w:rPr>
                          <w:rFonts w:asciiTheme="minorHAnsi" w:hAnsiTheme="minorHAnsi" w:cstheme="minorHAnsi"/>
                          <w:color w:val="2C2D5B"/>
                          <w:sz w:val="19"/>
                          <w:szCs w:val="19"/>
                        </w:rPr>
                        <w:t xml:space="preserve">. The applicant questioned the conformity of Article L816-1 of the French Social Security Code with international standards, arguing that it deprived him of the minimum means of subsistence, as required by international texts of higher value under Article 55 of the French Constitution. </w:t>
                      </w:r>
                    </w:p>
                    <w:p w14:paraId="7B6DA462" w14:textId="77777777" w:rsidR="009D0854" w:rsidRPr="00200E08" w:rsidRDefault="009D0854" w:rsidP="002B4610">
                      <w:pPr>
                        <w:jc w:val="both"/>
                        <w:rPr>
                          <w:rFonts w:asciiTheme="minorHAnsi" w:hAnsiTheme="minorHAnsi" w:cstheme="minorHAnsi"/>
                          <w:color w:val="2C2D5B"/>
                          <w:sz w:val="19"/>
                          <w:szCs w:val="19"/>
                        </w:rPr>
                      </w:pPr>
                    </w:p>
                    <w:p w14:paraId="615187C4" w14:textId="1BD33C32" w:rsidR="009D0854" w:rsidRPr="00200E08" w:rsidRDefault="009D0854" w:rsidP="002B4610">
                      <w:pPr>
                        <w:jc w:val="both"/>
                        <w:rPr>
                          <w:rFonts w:asciiTheme="minorHAnsi" w:hAnsiTheme="minorHAnsi" w:cstheme="minorHAnsi"/>
                          <w:b/>
                          <w:bCs/>
                          <w:color w:val="2C2D5B"/>
                          <w:sz w:val="19"/>
                          <w:szCs w:val="19"/>
                        </w:rPr>
                      </w:pPr>
                      <w:r w:rsidRPr="00200E08">
                        <w:rPr>
                          <w:rFonts w:asciiTheme="minorHAnsi" w:hAnsiTheme="minorHAnsi" w:cstheme="minorHAnsi"/>
                          <w:b/>
                          <w:bCs/>
                          <w:color w:val="2C2D5B"/>
                          <w:sz w:val="19"/>
                          <w:szCs w:val="19"/>
                        </w:rPr>
                        <w:t>Ruling</w:t>
                      </w:r>
                      <w:r w:rsidR="00340CD5" w:rsidRPr="00200E08">
                        <w:rPr>
                          <w:rFonts w:asciiTheme="minorHAnsi" w:hAnsiTheme="minorHAnsi" w:cstheme="minorHAnsi"/>
                          <w:b/>
                          <w:bCs/>
                          <w:color w:val="2C2D5B"/>
                          <w:sz w:val="19"/>
                          <w:szCs w:val="19"/>
                        </w:rPr>
                        <w:t xml:space="preserve"> </w:t>
                      </w:r>
                      <w:r w:rsidRPr="00200E08">
                        <w:rPr>
                          <w:rFonts w:asciiTheme="minorHAnsi" w:hAnsiTheme="minorHAnsi" w:cstheme="minorHAnsi"/>
                          <w:b/>
                          <w:bCs/>
                          <w:color w:val="2C2D5B"/>
                          <w:sz w:val="19"/>
                          <w:szCs w:val="19"/>
                        </w:rPr>
                        <w:t xml:space="preserve">: </w:t>
                      </w:r>
                    </w:p>
                    <w:p w14:paraId="3F25D76A" w14:textId="4D26AD00" w:rsidR="009D0854" w:rsidRPr="00200E08" w:rsidRDefault="009D0854" w:rsidP="00327D5A">
                      <w:pPr>
                        <w:jc w:val="both"/>
                        <w:rPr>
                          <w:rFonts w:asciiTheme="minorHAnsi" w:hAnsiTheme="minorHAnsi" w:cstheme="minorHAnsi"/>
                          <w:color w:val="2C2D5B"/>
                          <w:sz w:val="19"/>
                          <w:szCs w:val="19"/>
                        </w:rPr>
                      </w:pPr>
                      <w:r w:rsidRPr="00200E08">
                        <w:rPr>
                          <w:rFonts w:asciiTheme="minorHAnsi" w:hAnsiTheme="minorHAnsi" w:cstheme="minorHAnsi"/>
                          <w:color w:val="2C2D5B"/>
                          <w:sz w:val="19"/>
                          <w:szCs w:val="19"/>
                        </w:rPr>
                        <w:t xml:space="preserve">The Lyon Court of Appeal determined that, while the residence condition aimed to ensure that assistance was granted to individuals residing permanently in France – a legitimate objective – the provision’s application in this case deprived the applicant of necessary subsistence means before the age of 75. This deprivation was found to contravene the rights to dignity and independence required the EChFR, prompting the court to deem the provision inconsistent with the EChFR. </w:t>
                      </w:r>
                    </w:p>
                    <w:p w14:paraId="0E1A755D" w14:textId="77777777" w:rsidR="002B4610" w:rsidRPr="00340CD5" w:rsidRDefault="002B4610" w:rsidP="002B4610">
                      <w:pPr>
                        <w:jc w:val="right"/>
                        <w:rPr>
                          <w:rFonts w:asciiTheme="minorHAnsi" w:hAnsiTheme="minorHAnsi" w:cstheme="minorHAnsi"/>
                          <w:color w:val="2C2D5B"/>
                          <w:sz w:val="20"/>
                          <w:szCs w:val="20"/>
                        </w:rPr>
                      </w:pPr>
                    </w:p>
                    <w:p w14:paraId="359E79C4" w14:textId="1E99D203" w:rsidR="002B4610" w:rsidRPr="00327D5A" w:rsidRDefault="002B4610" w:rsidP="00327D5A">
                      <w:pPr>
                        <w:jc w:val="both"/>
                        <w:rPr>
                          <w:rFonts w:asciiTheme="minorHAnsi" w:hAnsiTheme="minorHAnsi" w:cstheme="minorHAnsi"/>
                          <w:sz w:val="20"/>
                          <w:szCs w:val="20"/>
                        </w:rPr>
                      </w:pPr>
                      <w:r>
                        <w:rPr>
                          <w:rFonts w:asciiTheme="minorHAnsi" w:hAnsiTheme="minorHAnsi" w:cstheme="minorHAnsi"/>
                          <w:sz w:val="20"/>
                          <w:szCs w:val="20"/>
                        </w:rPr>
                        <w:t xml:space="preserve"> </w:t>
                      </w:r>
                      <w:r w:rsidRPr="00327D5A">
                        <w:rPr>
                          <w:rFonts w:asciiTheme="minorHAnsi" w:hAnsiTheme="minorHAnsi" w:cstheme="minorHAnsi"/>
                          <w:sz w:val="20"/>
                          <w:szCs w:val="20"/>
                        </w:rPr>
                        <w:t xml:space="preserve"> </w:t>
                      </w:r>
                    </w:p>
                  </w:txbxContent>
                </v:textbox>
                <w10:wrap type="square" anchorx="margin"/>
              </v:roundrect>
            </w:pict>
          </mc:Fallback>
        </mc:AlternateContent>
      </w:r>
      <w:r w:rsidR="005E5F6C" w:rsidRPr="00200E08">
        <w:rPr>
          <w:rFonts w:ascii="Calibri" w:hAnsi="Calibri" w:cs="Calibri"/>
          <w:b/>
          <w:bCs/>
          <w:i/>
          <w:iCs/>
          <w:color w:val="2F5496" w:themeColor="accent1" w:themeShade="BF"/>
        </w:rPr>
        <w:t>Social protections</w:t>
      </w:r>
    </w:p>
    <w:p w14:paraId="30DA11C1" w14:textId="5A074F10" w:rsidR="006C3DBB" w:rsidRPr="006C3DBB" w:rsidRDefault="006C3DBB" w:rsidP="006C3DBB">
      <w:pPr>
        <w:pStyle w:val="Odstavecseseznamem"/>
        <w:rPr>
          <w:rFonts w:ascii="Calibri" w:hAnsi="Calibri" w:cs="Calibri"/>
          <w:b/>
          <w:bCs/>
          <w:i/>
          <w:iCs/>
          <w:color w:val="2F5496" w:themeColor="accent1" w:themeShade="BF"/>
          <w:sz w:val="16"/>
          <w:szCs w:val="16"/>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79776" behindDoc="0" locked="0" layoutInCell="1" allowOverlap="1" wp14:anchorId="153DDB56" wp14:editId="3DCA9E55">
            <wp:simplePos x="0" y="0"/>
            <wp:positionH relativeFrom="column">
              <wp:posOffset>5017064</wp:posOffset>
            </wp:positionH>
            <wp:positionV relativeFrom="paragraph">
              <wp:posOffset>3039745</wp:posOffset>
            </wp:positionV>
            <wp:extent cx="713105" cy="575310"/>
            <wp:effectExtent l="0" t="0" r="0" b="0"/>
            <wp:wrapNone/>
            <wp:docPr id="492037288"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p>
    <w:p w14:paraId="528E86CE" w14:textId="6B028077" w:rsidR="00A33A89" w:rsidRPr="006C3DBB" w:rsidRDefault="006C3DBB" w:rsidP="006C3DBB">
      <w:pPr>
        <w:pStyle w:val="Odstavecseseznamem"/>
        <w:numPr>
          <w:ilvl w:val="0"/>
          <w:numId w:val="18"/>
        </w:numPr>
        <w:rPr>
          <w:rFonts w:ascii="Calibri" w:hAnsi="Calibri" w:cs="Calibri"/>
          <w:b/>
          <w:bCs/>
          <w:i/>
          <w:iCs/>
          <w:color w:val="2F5496" w:themeColor="accent1" w:themeShade="BF"/>
        </w:rPr>
      </w:pPr>
      <w:r w:rsidRPr="00200E08">
        <w:rPr>
          <w:noProof/>
        </w:rPr>
        <mc:AlternateContent>
          <mc:Choice Requires="wps">
            <w:drawing>
              <wp:anchor distT="45720" distB="45720" distL="114300" distR="114300" simplePos="0" relativeHeight="251772928" behindDoc="0" locked="0" layoutInCell="1" allowOverlap="1" wp14:anchorId="38DD5720" wp14:editId="5F06F8B5">
                <wp:simplePos x="0" y="0"/>
                <wp:positionH relativeFrom="margin">
                  <wp:posOffset>243487</wp:posOffset>
                </wp:positionH>
                <wp:positionV relativeFrom="paragraph">
                  <wp:posOffset>326390</wp:posOffset>
                </wp:positionV>
                <wp:extent cx="5372100" cy="4176395"/>
                <wp:effectExtent l="0" t="0" r="19050" b="14605"/>
                <wp:wrapSquare wrapText="bothSides"/>
                <wp:docPr id="82826214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4176395"/>
                        </a:xfrm>
                        <a:prstGeom prst="roundRect">
                          <a:avLst/>
                        </a:prstGeom>
                        <a:solidFill>
                          <a:schemeClr val="bg1"/>
                        </a:solidFill>
                        <a:ln w="19050">
                          <a:solidFill>
                            <a:srgbClr val="B6A04C"/>
                          </a:solidFill>
                          <a:miter lim="800000"/>
                          <a:headEnd/>
                          <a:tailEnd/>
                        </a:ln>
                      </wps:spPr>
                      <wps:txbx>
                        <w:txbxContent>
                          <w:p w14:paraId="7623146B" w14:textId="1C0E8B72" w:rsidR="009D0854" w:rsidRPr="00340CD5" w:rsidRDefault="009D0854" w:rsidP="00340CD5">
                            <w:pPr>
                              <w:jc w:val="center"/>
                              <w:rPr>
                                <w:rFonts w:asciiTheme="minorHAnsi" w:hAnsiTheme="minorHAnsi" w:cstheme="minorHAnsi"/>
                                <w:b/>
                                <w:bCs/>
                                <w:color w:val="B6A04C"/>
                                <w:sz w:val="20"/>
                                <w:szCs w:val="20"/>
                                <w:lang w:val="fr-FR"/>
                              </w:rPr>
                            </w:pPr>
                            <w:r w:rsidRPr="00340CD5">
                              <w:rPr>
                                <w:rFonts w:asciiTheme="minorHAnsi" w:hAnsiTheme="minorHAnsi" w:cstheme="minorHAnsi"/>
                                <w:b/>
                                <w:bCs/>
                                <w:i/>
                                <w:iCs/>
                                <w:color w:val="B6A04C"/>
                                <w:sz w:val="20"/>
                                <w:szCs w:val="20"/>
                                <w:lang w:val="fr-FR"/>
                              </w:rPr>
                              <w:t xml:space="preserve">Cour de Cassation, Chambre Sociale, </w:t>
                            </w:r>
                            <w:r w:rsidRPr="00340CD5">
                              <w:rPr>
                                <w:rFonts w:asciiTheme="minorHAnsi" w:hAnsiTheme="minorHAnsi" w:cstheme="minorHAnsi"/>
                                <w:b/>
                                <w:bCs/>
                                <w:color w:val="B6A04C"/>
                                <w:sz w:val="20"/>
                                <w:szCs w:val="20"/>
                                <w:lang w:val="fr-FR"/>
                              </w:rPr>
                              <w:t>March 2, 2022, No. 20-077</w:t>
                            </w:r>
                          </w:p>
                          <w:p w14:paraId="152617E4" w14:textId="511204DD" w:rsidR="007C48B2" w:rsidRPr="00340CD5" w:rsidRDefault="007C48B2" w:rsidP="00340CD5">
                            <w:pPr>
                              <w:jc w:val="center"/>
                              <w:rPr>
                                <w:rFonts w:asciiTheme="minorHAnsi" w:hAnsiTheme="minorHAnsi" w:cstheme="minorHAnsi"/>
                                <w:b/>
                                <w:bCs/>
                                <w:color w:val="B6A04C"/>
                                <w:sz w:val="20"/>
                                <w:szCs w:val="20"/>
                                <w:lang w:val="fr-FR"/>
                              </w:rPr>
                            </w:pPr>
                          </w:p>
                          <w:p w14:paraId="5C9F82B4" w14:textId="04DC1C61" w:rsidR="007C48B2" w:rsidRPr="00340CD5" w:rsidRDefault="007C48B2" w:rsidP="009D0854">
                            <w:pPr>
                              <w:jc w:val="both"/>
                              <w:rPr>
                                <w:rFonts w:asciiTheme="minorHAnsi" w:hAnsiTheme="minorHAnsi" w:cstheme="minorHAnsi"/>
                                <w:b/>
                                <w:bCs/>
                                <w:color w:val="2C2D5B"/>
                                <w:sz w:val="20"/>
                                <w:szCs w:val="20"/>
                              </w:rPr>
                            </w:pPr>
                            <w:r w:rsidRPr="00340CD5">
                              <w:rPr>
                                <w:rFonts w:asciiTheme="minorHAnsi" w:hAnsiTheme="minorHAnsi" w:cstheme="minorHAnsi"/>
                                <w:b/>
                                <w:bCs/>
                                <w:color w:val="2C2D5B"/>
                                <w:sz w:val="20"/>
                                <w:szCs w:val="20"/>
                              </w:rPr>
                              <w:t>Facts</w:t>
                            </w:r>
                            <w:r w:rsidR="00340CD5" w:rsidRPr="00340CD5">
                              <w:rPr>
                                <w:rFonts w:asciiTheme="minorHAnsi" w:hAnsiTheme="minorHAnsi" w:cstheme="minorHAnsi"/>
                                <w:b/>
                                <w:bCs/>
                                <w:color w:val="2C2D5B"/>
                                <w:sz w:val="20"/>
                                <w:szCs w:val="20"/>
                              </w:rPr>
                              <w:t xml:space="preserve"> </w:t>
                            </w:r>
                            <w:r w:rsidRPr="00340CD5">
                              <w:rPr>
                                <w:rFonts w:asciiTheme="minorHAnsi" w:hAnsiTheme="minorHAnsi" w:cstheme="minorHAnsi"/>
                                <w:b/>
                                <w:bCs/>
                                <w:color w:val="2C2D5B"/>
                                <w:sz w:val="20"/>
                                <w:szCs w:val="20"/>
                              </w:rPr>
                              <w:t>:</w:t>
                            </w:r>
                          </w:p>
                          <w:p w14:paraId="5DBBE483" w14:textId="4458E679" w:rsidR="007C48B2" w:rsidRPr="00200E08" w:rsidRDefault="007C48B2" w:rsidP="009D0854">
                            <w:pPr>
                              <w:jc w:val="both"/>
                              <w:rPr>
                                <w:rFonts w:asciiTheme="minorHAnsi" w:hAnsiTheme="minorHAnsi" w:cstheme="minorHAnsi"/>
                                <w:color w:val="2C2D5B"/>
                                <w:sz w:val="19"/>
                                <w:szCs w:val="19"/>
                              </w:rPr>
                            </w:pPr>
                            <w:r w:rsidRPr="00200E08">
                              <w:rPr>
                                <w:rFonts w:asciiTheme="minorHAnsi" w:hAnsiTheme="minorHAnsi" w:cstheme="minorHAnsi"/>
                                <w:color w:val="2C2D5B"/>
                                <w:sz w:val="19"/>
                                <w:szCs w:val="19"/>
                              </w:rPr>
                              <w:t xml:space="preserve">This dispute involved a company’s social and economic committee (CSE), which initiated a consultation process on social policy within the company and appointed an expert to assist. The employer objected, citing an agreement with trade unions stipulating that consultations on economic, social and strategic policies were to take place solely at the central CSE level. </w:t>
                            </w:r>
                          </w:p>
                          <w:p w14:paraId="2CC31194" w14:textId="77777777" w:rsidR="007C48B2" w:rsidRPr="00200E08" w:rsidRDefault="007C48B2" w:rsidP="009D0854">
                            <w:pPr>
                              <w:jc w:val="both"/>
                              <w:rPr>
                                <w:rFonts w:asciiTheme="minorHAnsi" w:hAnsiTheme="minorHAnsi" w:cstheme="minorHAnsi"/>
                                <w:color w:val="2C2D5B"/>
                                <w:sz w:val="19"/>
                                <w:szCs w:val="19"/>
                              </w:rPr>
                            </w:pPr>
                          </w:p>
                          <w:p w14:paraId="0D474EF1" w14:textId="0B396FB0" w:rsidR="007C48B2" w:rsidRPr="00200E08" w:rsidRDefault="007C48B2" w:rsidP="009D0854">
                            <w:pPr>
                              <w:jc w:val="both"/>
                              <w:rPr>
                                <w:rFonts w:asciiTheme="minorHAnsi" w:hAnsiTheme="minorHAnsi" w:cstheme="minorHAnsi"/>
                                <w:b/>
                                <w:bCs/>
                                <w:color w:val="2C2D5B"/>
                                <w:sz w:val="19"/>
                                <w:szCs w:val="19"/>
                              </w:rPr>
                            </w:pPr>
                            <w:r w:rsidRPr="00200E08">
                              <w:rPr>
                                <w:rFonts w:asciiTheme="minorHAnsi" w:hAnsiTheme="minorHAnsi" w:cstheme="minorHAnsi"/>
                                <w:b/>
                                <w:bCs/>
                                <w:color w:val="2C2D5B"/>
                                <w:sz w:val="19"/>
                                <w:szCs w:val="19"/>
                              </w:rPr>
                              <w:t>Ruling</w:t>
                            </w:r>
                            <w:r w:rsidR="00340CD5" w:rsidRPr="00200E08">
                              <w:rPr>
                                <w:rFonts w:asciiTheme="minorHAnsi" w:hAnsiTheme="minorHAnsi" w:cstheme="minorHAnsi"/>
                                <w:b/>
                                <w:bCs/>
                                <w:color w:val="2C2D5B"/>
                                <w:sz w:val="19"/>
                                <w:szCs w:val="19"/>
                              </w:rPr>
                              <w:t xml:space="preserve"> </w:t>
                            </w:r>
                            <w:r w:rsidRPr="00200E08">
                              <w:rPr>
                                <w:rFonts w:asciiTheme="minorHAnsi" w:hAnsiTheme="minorHAnsi" w:cstheme="minorHAnsi"/>
                                <w:b/>
                                <w:bCs/>
                                <w:color w:val="2C2D5B"/>
                                <w:sz w:val="19"/>
                                <w:szCs w:val="19"/>
                              </w:rPr>
                              <w:t xml:space="preserve">: </w:t>
                            </w:r>
                          </w:p>
                          <w:p w14:paraId="3A8E75AB" w14:textId="540DE887" w:rsidR="007C48B2" w:rsidRPr="00200E08" w:rsidRDefault="007C48B2" w:rsidP="009D0854">
                            <w:pPr>
                              <w:jc w:val="both"/>
                              <w:rPr>
                                <w:rFonts w:asciiTheme="minorHAnsi" w:hAnsiTheme="minorHAnsi" w:cstheme="minorHAnsi"/>
                                <w:color w:val="2C2D5B"/>
                                <w:sz w:val="19"/>
                                <w:szCs w:val="19"/>
                              </w:rPr>
                            </w:pPr>
                            <w:r w:rsidRPr="00200E08">
                              <w:rPr>
                                <w:rFonts w:asciiTheme="minorHAnsi" w:hAnsiTheme="minorHAnsi" w:cstheme="minorHAnsi"/>
                                <w:color w:val="2C2D5B"/>
                                <w:sz w:val="19"/>
                                <w:szCs w:val="19"/>
                              </w:rPr>
                              <w:t xml:space="preserve">The </w:t>
                            </w:r>
                            <w:r w:rsidRPr="00200E08">
                              <w:rPr>
                                <w:rFonts w:asciiTheme="minorHAnsi" w:hAnsiTheme="minorHAnsi" w:cstheme="minorHAnsi"/>
                                <w:i/>
                                <w:iCs/>
                                <w:color w:val="2C2D5B"/>
                                <w:sz w:val="19"/>
                                <w:szCs w:val="19"/>
                              </w:rPr>
                              <w:t xml:space="preserve">Cour de Cassation </w:t>
                            </w:r>
                            <w:r w:rsidRPr="00200E08">
                              <w:rPr>
                                <w:rFonts w:asciiTheme="minorHAnsi" w:hAnsiTheme="minorHAnsi" w:cstheme="minorHAnsi"/>
                                <w:color w:val="2C2D5B"/>
                                <w:sz w:val="19"/>
                                <w:szCs w:val="19"/>
                              </w:rPr>
                              <w:t xml:space="preserve">upheld the CSE’s right to an effective judicial remedy, citing Article 47 of the EChFR, Article 16 of the 1789 Declaration and Directive 2002/14/EC on employee consultation. The Court ruled that the CSE could contest the legality of the collective agreement clauses that infringed its legally granted prerogatives, affirming the right of the CSE to pursue its claims without time limit. </w:t>
                            </w:r>
                          </w:p>
                          <w:p w14:paraId="1E615F55" w14:textId="77777777" w:rsidR="007C48B2" w:rsidRPr="00200E08" w:rsidRDefault="007C48B2" w:rsidP="009D0854">
                            <w:pPr>
                              <w:jc w:val="both"/>
                              <w:rPr>
                                <w:rFonts w:asciiTheme="minorHAnsi" w:hAnsiTheme="minorHAnsi" w:cstheme="minorHAnsi"/>
                                <w:color w:val="2C2D5B"/>
                                <w:sz w:val="19"/>
                                <w:szCs w:val="19"/>
                              </w:rPr>
                            </w:pPr>
                          </w:p>
                          <w:p w14:paraId="5FA29975" w14:textId="1D0A3E97" w:rsidR="007C48B2" w:rsidRPr="00200E08" w:rsidRDefault="007C48B2" w:rsidP="009D0854">
                            <w:pPr>
                              <w:jc w:val="both"/>
                              <w:rPr>
                                <w:rFonts w:asciiTheme="minorHAnsi" w:hAnsiTheme="minorHAnsi" w:cstheme="minorHAnsi"/>
                                <w:b/>
                                <w:bCs/>
                                <w:color w:val="2C2D5B"/>
                                <w:sz w:val="19"/>
                                <w:szCs w:val="19"/>
                              </w:rPr>
                            </w:pPr>
                            <w:r w:rsidRPr="00200E08">
                              <w:rPr>
                                <w:rFonts w:asciiTheme="minorHAnsi" w:hAnsiTheme="minorHAnsi" w:cstheme="minorHAnsi"/>
                                <w:color w:val="2C2D5B"/>
                                <w:sz w:val="19"/>
                                <w:szCs w:val="19"/>
                              </w:rPr>
                              <w:t>"</w:t>
                            </w:r>
                            <w:r w:rsidRPr="00200E08">
                              <w:rPr>
                                <w:rFonts w:asciiTheme="minorHAnsi" w:hAnsiTheme="minorHAnsi" w:cstheme="minorHAnsi"/>
                                <w:i/>
                                <w:iCs/>
                                <w:color w:val="2C2D5B"/>
                                <w:sz w:val="19"/>
                                <w:szCs w:val="19"/>
                              </w:rPr>
                              <w:t xml:space="preserve">'Having regard to the right to an effective judicial remedy guaranteed both by Article 16 of the 1789 Declaration and by Article 47 of the Charter of Fundamental Rights of the European Union, applicable in the present case by virtue of Directive 2002/14/EC of the European Parliament and of the Council of 11 March 2002 establishing a general framework for informing and consulting employees in the European Community,  and Article 6 of the Convention for the Protection of Human Rights and Fundamental Freedoms, </w:t>
                            </w:r>
                            <w:r w:rsidRPr="00200E08">
                              <w:rPr>
                                <w:rFonts w:asciiTheme="minorHAnsi" w:hAnsiTheme="minorHAnsi" w:cstheme="minorHAnsi"/>
                                <w:b/>
                                <w:bCs/>
                                <w:i/>
                                <w:iCs/>
                                <w:color w:val="2C2D5B"/>
                                <w:sz w:val="19"/>
                                <w:szCs w:val="19"/>
                              </w:rPr>
                              <w:t>a social and economic committee is entitled to invoke by way of exception, without any time limit, the illegality of a clause of a collective agreement on the grounds that the clause violates its own rights resulting from the prerogatives conferred on it by law”</w:t>
                            </w:r>
                            <w:r w:rsidR="00340CD5" w:rsidRPr="00200E08">
                              <w:rPr>
                                <w:rFonts w:asciiTheme="minorHAnsi" w:hAnsiTheme="minorHAnsi" w:cstheme="minorHAnsi"/>
                                <w:b/>
                                <w:bCs/>
                                <w:i/>
                                <w:iCs/>
                                <w:color w:val="2C2D5B"/>
                                <w:sz w:val="19"/>
                                <w:szCs w:val="19"/>
                              </w:rPr>
                              <w:t>.</w:t>
                            </w:r>
                          </w:p>
                          <w:p w14:paraId="2CCA2ADF" w14:textId="77777777" w:rsidR="007C48B2" w:rsidRPr="00200E08" w:rsidRDefault="007C48B2" w:rsidP="009D0854">
                            <w:pPr>
                              <w:jc w:val="both"/>
                              <w:rPr>
                                <w:rFonts w:asciiTheme="minorHAnsi" w:hAnsiTheme="minorHAnsi" w:cstheme="minorHAnsi"/>
                                <w:b/>
                                <w:bCs/>
                                <w:color w:val="2C2D5B"/>
                                <w:sz w:val="19"/>
                                <w:szCs w:val="19"/>
                              </w:rPr>
                            </w:pPr>
                          </w:p>
                          <w:p w14:paraId="2099383B" w14:textId="77777777" w:rsidR="009D0854" w:rsidRPr="00327D5A" w:rsidRDefault="009D0854" w:rsidP="00327D5A">
                            <w:pPr>
                              <w:jc w:val="both"/>
                              <w:rPr>
                                <w:rFonts w:asciiTheme="minorHAnsi" w:hAnsiTheme="minorHAnsi" w:cstheme="minorHAnsi"/>
                                <w:b/>
                                <w:bCs/>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38DD5720" id="_x0000_s1069" style="position:absolute;left:0;text-align:left;margin-left:19.15pt;margin-top:25.7pt;width:423pt;height:328.85pt;z-index:2517729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5HihIgIAAC0EAAAOAAAAZHJzL2Uyb0RvYy54bWysU9tu2zAMfR+wfxD0vti5N0acIk3XYUB3&#10;wbp9gCzJtjBZ9CQldvf1o2Q3Tbu3YX4QSFM6JA8Pt9d9o8lJWqfA5HQ6SSmRhoNQpsrpj+93764o&#10;cZ4ZwTQYmdNH6ej17u2bbddmcgY1aCEtQRDjsq7Nae19myWJ47VsmJtAKw0GS7AN8+jaKhGWdYje&#10;6GSWpqukAytaC1w6h39vhyDdRfyylNx/KUsnPdE5xdp8PG08i3Amuy3LKsvaWvGxDPYPVTRMGUx6&#10;hrplnpGjVX9BNYpbcFD6CYcmgbJUXMYesJtp+qqbh5q1MvaC5Lj2TJP7f7D88+mh/WqJ72+gxwHG&#10;Jlx7D/ynIwYONTOV3FsLXS2ZwMTTQFnStS4bnwaqXeYCSNF9AoFDZkcPEagvbRNYwT4JouMAHs+k&#10;y94Tjj+X8/VsmmKIY2wxXa/mm2XMwbKn5611/oOEhgQjpxaORnzD0cYc7HTvfKiJZU/3QkoHWok7&#10;pXV0gpzkQVtyYiiEohq6eHVLG9Jhg5t0mQ40vICwVXEGuFnt08VhrPJFpkZ51LNWTU6v0vANCgvk&#10;vTciqs0zpQcbS9ZmZDMQOFDp+6InSiAZ8/A4sFuAeER+LQz6xX1Dowb7m5IOtZtT9+vIrKREfzQ4&#10;o810sQhij85iuZ6hYy8jxWWEGY5QOfWUDObBxwUJxBnY4yxLFQl+rmSsGTUZeR/3J4j+0o+3nrd8&#10;9wcAAP//AwBQSwMEFAAGAAgAAAAhAGcLtTveAAAACQEAAA8AAABkcnMvZG93bnJldi54bWxMj8FO&#10;wzAQRO9I/IO1SNyoE5pSN8SpokpcuDWUAzcn3saBeB3Fbhr+HnOC4+yMZt4W+8UObMbJ944kpKsE&#10;GFLrdE+dhNPby4MA5oMirQZHKOEbPezL25tC5dpd6YhzHToWS8jnSoIJYcw5961Bq/zKjUjRO7vJ&#10;qhDl1HE9qWsstwN/TJInblVPccGoEQ8G26/6YiXMp+OmEoePrDbv/HP3WolGWCHl/d1SPQMLuIS/&#10;MPziR3QoI1PjLqQ9GySsxTomJWzSDFj0hcjioZGwTXYp8LLg/z8ofwAAAP//AwBQSwECLQAUAAYA&#10;CAAAACEAtoM4kv4AAADhAQAAEwAAAAAAAAAAAAAAAAAAAAAAW0NvbnRlbnRfVHlwZXNdLnhtbFBL&#10;AQItABQABgAIAAAAIQA4/SH/1gAAAJQBAAALAAAAAAAAAAAAAAAAAC8BAABfcmVscy8ucmVsc1BL&#10;AQItABQABgAIAAAAIQA85HihIgIAAC0EAAAOAAAAAAAAAAAAAAAAAC4CAABkcnMvZTJvRG9jLnht&#10;bFBLAQItABQABgAIAAAAIQBnC7U73gAAAAkBAAAPAAAAAAAAAAAAAAAAAHwEAABkcnMvZG93bnJl&#10;di54bWxQSwUGAAAAAAQABADzAAAAhwUAAAAA&#10;" fillcolor="white [3212]" strokecolor="#b6a04c" strokeweight="1.5pt">
                <v:stroke joinstyle="miter"/>
                <v:textbox>
                  <w:txbxContent>
                    <w:p w14:paraId="7623146B" w14:textId="1C0E8B72" w:rsidR="009D0854" w:rsidRPr="00340CD5" w:rsidRDefault="009D0854" w:rsidP="00340CD5">
                      <w:pPr>
                        <w:jc w:val="center"/>
                        <w:rPr>
                          <w:rFonts w:asciiTheme="minorHAnsi" w:hAnsiTheme="minorHAnsi" w:cstheme="minorHAnsi"/>
                          <w:b/>
                          <w:bCs/>
                          <w:color w:val="B6A04C"/>
                          <w:sz w:val="20"/>
                          <w:szCs w:val="20"/>
                          <w:lang w:val="fr-FR"/>
                        </w:rPr>
                      </w:pPr>
                      <w:r w:rsidRPr="00340CD5">
                        <w:rPr>
                          <w:rFonts w:asciiTheme="minorHAnsi" w:hAnsiTheme="minorHAnsi" w:cstheme="minorHAnsi"/>
                          <w:b/>
                          <w:bCs/>
                          <w:i/>
                          <w:iCs/>
                          <w:color w:val="B6A04C"/>
                          <w:sz w:val="20"/>
                          <w:szCs w:val="20"/>
                          <w:lang w:val="fr-FR"/>
                        </w:rPr>
                        <w:t xml:space="preserve">Cour de Cassation, Chambre Sociale, </w:t>
                      </w:r>
                      <w:r w:rsidRPr="00340CD5">
                        <w:rPr>
                          <w:rFonts w:asciiTheme="minorHAnsi" w:hAnsiTheme="minorHAnsi" w:cstheme="minorHAnsi"/>
                          <w:b/>
                          <w:bCs/>
                          <w:color w:val="B6A04C"/>
                          <w:sz w:val="20"/>
                          <w:szCs w:val="20"/>
                          <w:lang w:val="fr-FR"/>
                        </w:rPr>
                        <w:t>March 2, 2022, No. 20-077</w:t>
                      </w:r>
                    </w:p>
                    <w:p w14:paraId="152617E4" w14:textId="511204DD" w:rsidR="007C48B2" w:rsidRPr="00340CD5" w:rsidRDefault="007C48B2" w:rsidP="00340CD5">
                      <w:pPr>
                        <w:jc w:val="center"/>
                        <w:rPr>
                          <w:rFonts w:asciiTheme="minorHAnsi" w:hAnsiTheme="minorHAnsi" w:cstheme="minorHAnsi"/>
                          <w:b/>
                          <w:bCs/>
                          <w:color w:val="B6A04C"/>
                          <w:sz w:val="20"/>
                          <w:szCs w:val="20"/>
                          <w:lang w:val="fr-FR"/>
                        </w:rPr>
                      </w:pPr>
                    </w:p>
                    <w:p w14:paraId="5C9F82B4" w14:textId="04DC1C61" w:rsidR="007C48B2" w:rsidRPr="00340CD5" w:rsidRDefault="007C48B2" w:rsidP="009D0854">
                      <w:pPr>
                        <w:jc w:val="both"/>
                        <w:rPr>
                          <w:rFonts w:asciiTheme="minorHAnsi" w:hAnsiTheme="minorHAnsi" w:cstheme="minorHAnsi"/>
                          <w:b/>
                          <w:bCs/>
                          <w:color w:val="2C2D5B"/>
                          <w:sz w:val="20"/>
                          <w:szCs w:val="20"/>
                        </w:rPr>
                      </w:pPr>
                      <w:r w:rsidRPr="00340CD5">
                        <w:rPr>
                          <w:rFonts w:asciiTheme="minorHAnsi" w:hAnsiTheme="minorHAnsi" w:cstheme="minorHAnsi"/>
                          <w:b/>
                          <w:bCs/>
                          <w:color w:val="2C2D5B"/>
                          <w:sz w:val="20"/>
                          <w:szCs w:val="20"/>
                        </w:rPr>
                        <w:t>Facts</w:t>
                      </w:r>
                      <w:r w:rsidR="00340CD5" w:rsidRPr="00340CD5">
                        <w:rPr>
                          <w:rFonts w:asciiTheme="minorHAnsi" w:hAnsiTheme="minorHAnsi" w:cstheme="minorHAnsi"/>
                          <w:b/>
                          <w:bCs/>
                          <w:color w:val="2C2D5B"/>
                          <w:sz w:val="20"/>
                          <w:szCs w:val="20"/>
                        </w:rPr>
                        <w:t xml:space="preserve"> </w:t>
                      </w:r>
                      <w:r w:rsidRPr="00340CD5">
                        <w:rPr>
                          <w:rFonts w:asciiTheme="minorHAnsi" w:hAnsiTheme="minorHAnsi" w:cstheme="minorHAnsi"/>
                          <w:b/>
                          <w:bCs/>
                          <w:color w:val="2C2D5B"/>
                          <w:sz w:val="20"/>
                          <w:szCs w:val="20"/>
                        </w:rPr>
                        <w:t>:</w:t>
                      </w:r>
                    </w:p>
                    <w:p w14:paraId="5DBBE483" w14:textId="4458E679" w:rsidR="007C48B2" w:rsidRPr="00200E08" w:rsidRDefault="007C48B2" w:rsidP="009D0854">
                      <w:pPr>
                        <w:jc w:val="both"/>
                        <w:rPr>
                          <w:rFonts w:asciiTheme="minorHAnsi" w:hAnsiTheme="minorHAnsi" w:cstheme="minorHAnsi"/>
                          <w:color w:val="2C2D5B"/>
                          <w:sz w:val="19"/>
                          <w:szCs w:val="19"/>
                        </w:rPr>
                      </w:pPr>
                      <w:r w:rsidRPr="00200E08">
                        <w:rPr>
                          <w:rFonts w:asciiTheme="minorHAnsi" w:hAnsiTheme="minorHAnsi" w:cstheme="minorHAnsi"/>
                          <w:color w:val="2C2D5B"/>
                          <w:sz w:val="19"/>
                          <w:szCs w:val="19"/>
                        </w:rPr>
                        <w:t xml:space="preserve">This dispute involved a company’s social and economic committee (CSE), which initiated a consultation process on social policy within the company and appointed an expert to assist. The employer objected, citing an agreement with trade unions stipulating that consultations on economic, social and strategic policies were to take place solely at the central CSE level. </w:t>
                      </w:r>
                    </w:p>
                    <w:p w14:paraId="2CC31194" w14:textId="77777777" w:rsidR="007C48B2" w:rsidRPr="00200E08" w:rsidRDefault="007C48B2" w:rsidP="009D0854">
                      <w:pPr>
                        <w:jc w:val="both"/>
                        <w:rPr>
                          <w:rFonts w:asciiTheme="minorHAnsi" w:hAnsiTheme="minorHAnsi" w:cstheme="minorHAnsi"/>
                          <w:color w:val="2C2D5B"/>
                          <w:sz w:val="19"/>
                          <w:szCs w:val="19"/>
                        </w:rPr>
                      </w:pPr>
                    </w:p>
                    <w:p w14:paraId="0D474EF1" w14:textId="0B396FB0" w:rsidR="007C48B2" w:rsidRPr="00200E08" w:rsidRDefault="007C48B2" w:rsidP="009D0854">
                      <w:pPr>
                        <w:jc w:val="both"/>
                        <w:rPr>
                          <w:rFonts w:asciiTheme="minorHAnsi" w:hAnsiTheme="minorHAnsi" w:cstheme="minorHAnsi"/>
                          <w:b/>
                          <w:bCs/>
                          <w:color w:val="2C2D5B"/>
                          <w:sz w:val="19"/>
                          <w:szCs w:val="19"/>
                        </w:rPr>
                      </w:pPr>
                      <w:r w:rsidRPr="00200E08">
                        <w:rPr>
                          <w:rFonts w:asciiTheme="minorHAnsi" w:hAnsiTheme="minorHAnsi" w:cstheme="minorHAnsi"/>
                          <w:b/>
                          <w:bCs/>
                          <w:color w:val="2C2D5B"/>
                          <w:sz w:val="19"/>
                          <w:szCs w:val="19"/>
                        </w:rPr>
                        <w:t>Ruling</w:t>
                      </w:r>
                      <w:r w:rsidR="00340CD5" w:rsidRPr="00200E08">
                        <w:rPr>
                          <w:rFonts w:asciiTheme="minorHAnsi" w:hAnsiTheme="minorHAnsi" w:cstheme="minorHAnsi"/>
                          <w:b/>
                          <w:bCs/>
                          <w:color w:val="2C2D5B"/>
                          <w:sz w:val="19"/>
                          <w:szCs w:val="19"/>
                        </w:rPr>
                        <w:t xml:space="preserve"> </w:t>
                      </w:r>
                      <w:r w:rsidRPr="00200E08">
                        <w:rPr>
                          <w:rFonts w:asciiTheme="minorHAnsi" w:hAnsiTheme="minorHAnsi" w:cstheme="minorHAnsi"/>
                          <w:b/>
                          <w:bCs/>
                          <w:color w:val="2C2D5B"/>
                          <w:sz w:val="19"/>
                          <w:szCs w:val="19"/>
                        </w:rPr>
                        <w:t xml:space="preserve">: </w:t>
                      </w:r>
                    </w:p>
                    <w:p w14:paraId="3A8E75AB" w14:textId="540DE887" w:rsidR="007C48B2" w:rsidRPr="00200E08" w:rsidRDefault="007C48B2" w:rsidP="009D0854">
                      <w:pPr>
                        <w:jc w:val="both"/>
                        <w:rPr>
                          <w:rFonts w:asciiTheme="minorHAnsi" w:hAnsiTheme="minorHAnsi" w:cstheme="minorHAnsi"/>
                          <w:color w:val="2C2D5B"/>
                          <w:sz w:val="19"/>
                          <w:szCs w:val="19"/>
                        </w:rPr>
                      </w:pPr>
                      <w:r w:rsidRPr="00200E08">
                        <w:rPr>
                          <w:rFonts w:asciiTheme="minorHAnsi" w:hAnsiTheme="minorHAnsi" w:cstheme="minorHAnsi"/>
                          <w:color w:val="2C2D5B"/>
                          <w:sz w:val="19"/>
                          <w:szCs w:val="19"/>
                        </w:rPr>
                        <w:t xml:space="preserve">The </w:t>
                      </w:r>
                      <w:r w:rsidRPr="00200E08">
                        <w:rPr>
                          <w:rFonts w:asciiTheme="minorHAnsi" w:hAnsiTheme="minorHAnsi" w:cstheme="minorHAnsi"/>
                          <w:i/>
                          <w:iCs/>
                          <w:color w:val="2C2D5B"/>
                          <w:sz w:val="19"/>
                          <w:szCs w:val="19"/>
                        </w:rPr>
                        <w:t xml:space="preserve">Cour de Cassation </w:t>
                      </w:r>
                      <w:r w:rsidRPr="00200E08">
                        <w:rPr>
                          <w:rFonts w:asciiTheme="minorHAnsi" w:hAnsiTheme="minorHAnsi" w:cstheme="minorHAnsi"/>
                          <w:color w:val="2C2D5B"/>
                          <w:sz w:val="19"/>
                          <w:szCs w:val="19"/>
                        </w:rPr>
                        <w:t xml:space="preserve">upheld the CSE’s right to an effective judicial remedy, citing Article 47 of the EChFR, Article 16 of the 1789 Declaration and Directive 2002/14/EC on employee consultation. The Court ruled that the CSE could contest the legality of the collective agreement clauses that infringed its legally granted prerogatives, affirming the right of the CSE to pursue its claims without time limit. </w:t>
                      </w:r>
                    </w:p>
                    <w:p w14:paraId="1E615F55" w14:textId="77777777" w:rsidR="007C48B2" w:rsidRPr="00200E08" w:rsidRDefault="007C48B2" w:rsidP="009D0854">
                      <w:pPr>
                        <w:jc w:val="both"/>
                        <w:rPr>
                          <w:rFonts w:asciiTheme="minorHAnsi" w:hAnsiTheme="minorHAnsi" w:cstheme="minorHAnsi"/>
                          <w:color w:val="2C2D5B"/>
                          <w:sz w:val="19"/>
                          <w:szCs w:val="19"/>
                        </w:rPr>
                      </w:pPr>
                    </w:p>
                    <w:p w14:paraId="5FA29975" w14:textId="1D0A3E97" w:rsidR="007C48B2" w:rsidRPr="00200E08" w:rsidRDefault="007C48B2" w:rsidP="009D0854">
                      <w:pPr>
                        <w:jc w:val="both"/>
                        <w:rPr>
                          <w:rFonts w:asciiTheme="minorHAnsi" w:hAnsiTheme="minorHAnsi" w:cstheme="minorHAnsi"/>
                          <w:b/>
                          <w:bCs/>
                          <w:color w:val="2C2D5B"/>
                          <w:sz w:val="19"/>
                          <w:szCs w:val="19"/>
                        </w:rPr>
                      </w:pPr>
                      <w:r w:rsidRPr="00200E08">
                        <w:rPr>
                          <w:rFonts w:asciiTheme="minorHAnsi" w:hAnsiTheme="minorHAnsi" w:cstheme="minorHAnsi"/>
                          <w:color w:val="2C2D5B"/>
                          <w:sz w:val="19"/>
                          <w:szCs w:val="19"/>
                        </w:rPr>
                        <w:t>"</w:t>
                      </w:r>
                      <w:r w:rsidRPr="00200E08">
                        <w:rPr>
                          <w:rFonts w:asciiTheme="minorHAnsi" w:hAnsiTheme="minorHAnsi" w:cstheme="minorHAnsi"/>
                          <w:i/>
                          <w:iCs/>
                          <w:color w:val="2C2D5B"/>
                          <w:sz w:val="19"/>
                          <w:szCs w:val="19"/>
                        </w:rPr>
                        <w:t xml:space="preserve">'Having regard to the right to an effective judicial remedy guaranteed both by Article 16 of the 1789 Declaration and by Article 47 of the Charter of Fundamental Rights of the European Union, applicable in the present case by virtue of Directive 2002/14/EC of the European Parliament and of the Council of 11 March 2002 establishing a general framework for informing and consulting employees in the European Community,  and Article 6 of the Convention for the Protection of Human Rights and Fundamental Freedoms, </w:t>
                      </w:r>
                      <w:r w:rsidRPr="00200E08">
                        <w:rPr>
                          <w:rFonts w:asciiTheme="minorHAnsi" w:hAnsiTheme="minorHAnsi" w:cstheme="minorHAnsi"/>
                          <w:b/>
                          <w:bCs/>
                          <w:i/>
                          <w:iCs/>
                          <w:color w:val="2C2D5B"/>
                          <w:sz w:val="19"/>
                          <w:szCs w:val="19"/>
                        </w:rPr>
                        <w:t>a social and economic committee is entitled to invoke by way of exception, without any time limit, the illegality of a clause of a collective agreement on the grounds that the clause violates its own rights resulting from the prerogatives conferred on it by law”</w:t>
                      </w:r>
                      <w:r w:rsidR="00340CD5" w:rsidRPr="00200E08">
                        <w:rPr>
                          <w:rFonts w:asciiTheme="minorHAnsi" w:hAnsiTheme="minorHAnsi" w:cstheme="minorHAnsi"/>
                          <w:b/>
                          <w:bCs/>
                          <w:i/>
                          <w:iCs/>
                          <w:color w:val="2C2D5B"/>
                          <w:sz w:val="19"/>
                          <w:szCs w:val="19"/>
                        </w:rPr>
                        <w:t>.</w:t>
                      </w:r>
                    </w:p>
                    <w:p w14:paraId="2CCA2ADF" w14:textId="77777777" w:rsidR="007C48B2" w:rsidRPr="00200E08" w:rsidRDefault="007C48B2" w:rsidP="009D0854">
                      <w:pPr>
                        <w:jc w:val="both"/>
                        <w:rPr>
                          <w:rFonts w:asciiTheme="minorHAnsi" w:hAnsiTheme="minorHAnsi" w:cstheme="minorHAnsi"/>
                          <w:b/>
                          <w:bCs/>
                          <w:color w:val="2C2D5B"/>
                          <w:sz w:val="19"/>
                          <w:szCs w:val="19"/>
                        </w:rPr>
                      </w:pPr>
                    </w:p>
                    <w:p w14:paraId="2099383B" w14:textId="77777777" w:rsidR="009D0854" w:rsidRPr="00327D5A" w:rsidRDefault="009D0854" w:rsidP="00327D5A">
                      <w:pPr>
                        <w:jc w:val="both"/>
                        <w:rPr>
                          <w:rFonts w:asciiTheme="minorHAnsi" w:hAnsiTheme="minorHAnsi" w:cstheme="minorHAnsi"/>
                          <w:b/>
                          <w:bCs/>
                          <w:sz w:val="20"/>
                          <w:szCs w:val="20"/>
                        </w:rPr>
                      </w:pPr>
                    </w:p>
                  </w:txbxContent>
                </v:textbox>
                <w10:wrap type="square" anchorx="margin"/>
              </v:roundrect>
            </w:pict>
          </mc:Fallback>
        </mc:AlternateContent>
      </w:r>
      <w:r w:rsidR="00200E08" w:rsidRPr="00200E08">
        <w:rPr>
          <w:rFonts w:ascii="Calibri" w:hAnsi="Calibri" w:cs="Calibri"/>
          <w:b/>
          <w:bCs/>
          <w:i/>
          <w:iCs/>
          <w:color w:val="2F5496" w:themeColor="accent1" w:themeShade="BF"/>
        </w:rPr>
        <w:t>Right of the Social and Economic Committee (CSE) to take legal action</w:t>
      </w:r>
    </w:p>
    <w:p w14:paraId="2862398C" w14:textId="3BCCA1D6" w:rsidR="007C48B2" w:rsidRDefault="007C48B2" w:rsidP="0049009B">
      <w:pPr>
        <w:spacing w:after="120" w:line="276" w:lineRule="auto"/>
        <w:jc w:val="both"/>
        <w:rPr>
          <w:rFonts w:ascii="Calibri" w:hAnsi="Calibri" w:cs="Calibri"/>
          <w:i/>
          <w:iCs/>
        </w:rPr>
      </w:pPr>
    </w:p>
    <w:p w14:paraId="002805F3" w14:textId="77777777" w:rsidR="00340CD5" w:rsidRDefault="00340CD5" w:rsidP="0049009B">
      <w:pPr>
        <w:spacing w:after="120" w:line="276" w:lineRule="auto"/>
        <w:jc w:val="both"/>
        <w:rPr>
          <w:rFonts w:ascii="Calibri" w:hAnsi="Calibri" w:cs="Calibri"/>
          <w:i/>
          <w:iCs/>
        </w:rPr>
      </w:pPr>
    </w:p>
    <w:p w14:paraId="2C2A16C3" w14:textId="77777777" w:rsidR="00340CD5" w:rsidRDefault="00340CD5" w:rsidP="0049009B">
      <w:pPr>
        <w:spacing w:after="120" w:line="276" w:lineRule="auto"/>
        <w:jc w:val="both"/>
        <w:rPr>
          <w:rFonts w:ascii="Calibri" w:hAnsi="Calibri" w:cs="Calibri"/>
          <w:i/>
          <w:iCs/>
        </w:rPr>
      </w:pPr>
    </w:p>
    <w:p w14:paraId="606FA7ED" w14:textId="77777777" w:rsidR="00340CD5" w:rsidRPr="005A6959" w:rsidRDefault="00340CD5" w:rsidP="0049009B">
      <w:pPr>
        <w:spacing w:after="120" w:line="276" w:lineRule="auto"/>
        <w:jc w:val="both"/>
        <w:rPr>
          <w:rFonts w:ascii="Calibri" w:hAnsi="Calibri" w:cs="Calibri"/>
          <w:i/>
          <w:iCs/>
        </w:rPr>
      </w:pPr>
    </w:p>
    <w:p w14:paraId="37FD9BB7" w14:textId="100E3217" w:rsidR="00A33A89" w:rsidRPr="00D851B5" w:rsidRDefault="006C3DBB" w:rsidP="0049009B">
      <w:pPr>
        <w:pStyle w:val="Odstavecseseznamem"/>
        <w:numPr>
          <w:ilvl w:val="0"/>
          <w:numId w:val="18"/>
        </w:numPr>
        <w:spacing w:after="120" w:line="276" w:lineRule="auto"/>
        <w:jc w:val="both"/>
        <w:rPr>
          <w:rFonts w:ascii="Calibri" w:hAnsi="Calibri" w:cs="Calibri"/>
          <w:b/>
          <w:bCs/>
          <w:i/>
          <w:iCs/>
          <w:color w:val="2F5496" w:themeColor="accent1" w:themeShade="BF"/>
        </w:rPr>
      </w:pPr>
      <w:r w:rsidRPr="00D851B5">
        <w:rPr>
          <w:rFonts w:asciiTheme="minorHAnsi" w:hAnsiTheme="minorHAnsi" w:cstheme="minorHAnsi"/>
          <w:b/>
          <w:bCs/>
          <w:noProof/>
          <w:color w:val="2F5496" w:themeColor="accent1" w:themeShade="BF"/>
          <w:sz w:val="32"/>
          <w:szCs w:val="32"/>
        </w:rPr>
        <w:drawing>
          <wp:anchor distT="0" distB="0" distL="114300" distR="114300" simplePos="0" relativeHeight="251981824" behindDoc="0" locked="0" layoutInCell="1" allowOverlap="1" wp14:anchorId="38F7A5C3" wp14:editId="022EEC74">
            <wp:simplePos x="0" y="0"/>
            <wp:positionH relativeFrom="column">
              <wp:posOffset>5000978</wp:posOffset>
            </wp:positionH>
            <wp:positionV relativeFrom="paragraph">
              <wp:posOffset>188736</wp:posOffset>
            </wp:positionV>
            <wp:extent cx="713105" cy="575310"/>
            <wp:effectExtent l="0" t="0" r="0" b="0"/>
            <wp:wrapNone/>
            <wp:docPr id="1299793313"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Pr="00D851B5">
        <w:rPr>
          <w:rFonts w:ascii="Calibri" w:hAnsi="Calibri" w:cs="Calibri"/>
          <w:b/>
          <w:bCs/>
          <w:noProof/>
          <w:color w:val="2F5496" w:themeColor="accent1" w:themeShade="BF"/>
        </w:rPr>
        <mc:AlternateContent>
          <mc:Choice Requires="wps">
            <w:drawing>
              <wp:anchor distT="45720" distB="45720" distL="114300" distR="114300" simplePos="0" relativeHeight="251774976" behindDoc="0" locked="0" layoutInCell="1" allowOverlap="1" wp14:anchorId="595EA6B0" wp14:editId="6B9539FE">
                <wp:simplePos x="0" y="0"/>
                <wp:positionH relativeFrom="margin">
                  <wp:posOffset>161290</wp:posOffset>
                </wp:positionH>
                <wp:positionV relativeFrom="paragraph">
                  <wp:posOffset>501650</wp:posOffset>
                </wp:positionV>
                <wp:extent cx="5372100" cy="2607310"/>
                <wp:effectExtent l="0" t="0" r="19050" b="21590"/>
                <wp:wrapSquare wrapText="bothSides"/>
                <wp:docPr id="105060150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2607310"/>
                        </a:xfrm>
                        <a:prstGeom prst="roundRect">
                          <a:avLst/>
                        </a:prstGeom>
                        <a:solidFill>
                          <a:schemeClr val="bg1"/>
                        </a:solidFill>
                        <a:ln w="19050">
                          <a:solidFill>
                            <a:srgbClr val="B6A04C"/>
                          </a:solidFill>
                          <a:miter lim="800000"/>
                          <a:headEnd/>
                          <a:tailEnd/>
                        </a:ln>
                      </wps:spPr>
                      <wps:txbx>
                        <w:txbxContent>
                          <w:p w14:paraId="68575F26" w14:textId="2CFF72A8" w:rsidR="00CD7BD8" w:rsidRPr="00340CD5" w:rsidRDefault="00CD7BD8" w:rsidP="00340CD5">
                            <w:pPr>
                              <w:jc w:val="center"/>
                              <w:rPr>
                                <w:rFonts w:asciiTheme="minorHAnsi" w:hAnsiTheme="minorHAnsi" w:cstheme="minorHAnsi"/>
                                <w:b/>
                                <w:bCs/>
                                <w:color w:val="B6A04C"/>
                                <w:sz w:val="20"/>
                                <w:szCs w:val="20"/>
                                <w:lang w:val="fr-FR"/>
                              </w:rPr>
                            </w:pPr>
                            <w:r w:rsidRPr="00340CD5">
                              <w:rPr>
                                <w:rFonts w:asciiTheme="minorHAnsi" w:hAnsiTheme="minorHAnsi" w:cstheme="minorHAnsi"/>
                                <w:b/>
                                <w:bCs/>
                                <w:i/>
                                <w:iCs/>
                                <w:color w:val="B6A04C"/>
                                <w:sz w:val="20"/>
                                <w:szCs w:val="20"/>
                                <w:lang w:val="fr-FR"/>
                              </w:rPr>
                              <w:t xml:space="preserve">Cour de Cassation, Chambre Sociale, </w:t>
                            </w:r>
                            <w:r w:rsidRPr="00340CD5">
                              <w:rPr>
                                <w:rFonts w:asciiTheme="minorHAnsi" w:hAnsiTheme="minorHAnsi" w:cstheme="minorHAnsi"/>
                                <w:b/>
                                <w:bCs/>
                                <w:color w:val="B6A04C"/>
                                <w:sz w:val="20"/>
                                <w:szCs w:val="20"/>
                                <w:lang w:val="fr-FR"/>
                              </w:rPr>
                              <w:t>July 5, 2023, No 21-24122</w:t>
                            </w:r>
                          </w:p>
                          <w:p w14:paraId="432494B1" w14:textId="77777777" w:rsidR="00CD7BD8" w:rsidRPr="00340CD5" w:rsidRDefault="00CD7BD8" w:rsidP="00CD7BD8">
                            <w:pPr>
                              <w:jc w:val="right"/>
                              <w:rPr>
                                <w:rFonts w:asciiTheme="minorHAnsi" w:hAnsiTheme="minorHAnsi" w:cstheme="minorHAnsi"/>
                                <w:b/>
                                <w:bCs/>
                                <w:color w:val="2C2D5B"/>
                                <w:sz w:val="20"/>
                                <w:szCs w:val="20"/>
                                <w:lang w:val="fr-FR"/>
                              </w:rPr>
                            </w:pPr>
                          </w:p>
                          <w:p w14:paraId="2C4F48EC" w14:textId="6CC900EB" w:rsidR="00CD7BD8" w:rsidRPr="00340CD5" w:rsidRDefault="00CD7BD8" w:rsidP="00CD7BD8">
                            <w:pPr>
                              <w:jc w:val="both"/>
                              <w:rPr>
                                <w:rFonts w:asciiTheme="minorHAnsi" w:hAnsiTheme="minorHAnsi" w:cstheme="minorHAnsi"/>
                                <w:b/>
                                <w:bCs/>
                                <w:color w:val="2C2D5B"/>
                                <w:sz w:val="20"/>
                                <w:szCs w:val="20"/>
                              </w:rPr>
                            </w:pPr>
                            <w:r w:rsidRPr="00340CD5">
                              <w:rPr>
                                <w:rFonts w:asciiTheme="minorHAnsi" w:hAnsiTheme="minorHAnsi" w:cstheme="minorHAnsi"/>
                                <w:b/>
                                <w:bCs/>
                                <w:color w:val="2C2D5B"/>
                                <w:sz w:val="20"/>
                                <w:szCs w:val="20"/>
                              </w:rPr>
                              <w:t>Facts :</w:t>
                            </w:r>
                          </w:p>
                          <w:p w14:paraId="019B3E6C" w14:textId="658B244F" w:rsidR="00CD7BD8" w:rsidRPr="00340CD5" w:rsidRDefault="00CD7BD8" w:rsidP="00CD7BD8">
                            <w:pPr>
                              <w:jc w:val="both"/>
                              <w:rPr>
                                <w:rFonts w:asciiTheme="minorHAnsi" w:hAnsiTheme="minorHAnsi" w:cstheme="minorHAnsi"/>
                                <w:color w:val="2C2D5B"/>
                                <w:sz w:val="20"/>
                                <w:szCs w:val="20"/>
                              </w:rPr>
                            </w:pPr>
                            <w:r w:rsidRPr="00340CD5">
                              <w:rPr>
                                <w:rFonts w:asciiTheme="minorHAnsi" w:hAnsiTheme="minorHAnsi" w:cstheme="minorHAnsi"/>
                                <w:color w:val="2C2D5B"/>
                                <w:sz w:val="20"/>
                                <w:szCs w:val="20"/>
                              </w:rPr>
                              <w:t xml:space="preserve">This </w:t>
                            </w:r>
                            <w:r w:rsidR="002666CC" w:rsidRPr="00340CD5">
                              <w:rPr>
                                <w:rFonts w:asciiTheme="minorHAnsi" w:hAnsiTheme="minorHAnsi" w:cstheme="minorHAnsi"/>
                                <w:color w:val="2C2D5B"/>
                                <w:sz w:val="20"/>
                                <w:szCs w:val="20"/>
                              </w:rPr>
                              <w:t xml:space="preserve">case centered on the CSE’s claim that the employer had failed to comply with its duty to ensure employee safety and prevent occupational risks and monitor working hours. The CSE requested that the employer implement tracking systems for employees’ working hours and unusual work travel, and to ensure monthly monitoring of the volume of hours recording in the accounts. </w:t>
                            </w:r>
                          </w:p>
                          <w:p w14:paraId="5AC2C57E" w14:textId="77777777" w:rsidR="002666CC" w:rsidRPr="00340CD5" w:rsidRDefault="002666CC" w:rsidP="00CD7BD8">
                            <w:pPr>
                              <w:jc w:val="both"/>
                              <w:rPr>
                                <w:rFonts w:asciiTheme="minorHAnsi" w:hAnsiTheme="minorHAnsi" w:cstheme="minorHAnsi"/>
                                <w:color w:val="2C2D5B"/>
                                <w:sz w:val="20"/>
                                <w:szCs w:val="20"/>
                              </w:rPr>
                            </w:pPr>
                          </w:p>
                          <w:p w14:paraId="758A9F14" w14:textId="2312A7D5" w:rsidR="002666CC" w:rsidRPr="00340CD5" w:rsidRDefault="002666CC" w:rsidP="00CD7BD8">
                            <w:pPr>
                              <w:jc w:val="both"/>
                              <w:rPr>
                                <w:rFonts w:asciiTheme="minorHAnsi" w:hAnsiTheme="minorHAnsi" w:cstheme="minorHAnsi"/>
                                <w:b/>
                                <w:bCs/>
                                <w:color w:val="2C2D5B"/>
                                <w:sz w:val="20"/>
                                <w:szCs w:val="20"/>
                              </w:rPr>
                            </w:pPr>
                            <w:r w:rsidRPr="00340CD5">
                              <w:rPr>
                                <w:rFonts w:asciiTheme="minorHAnsi" w:hAnsiTheme="minorHAnsi" w:cstheme="minorHAnsi"/>
                                <w:b/>
                                <w:bCs/>
                                <w:color w:val="2C2D5B"/>
                                <w:sz w:val="20"/>
                                <w:szCs w:val="20"/>
                              </w:rPr>
                              <w:t>Ruling</w:t>
                            </w:r>
                            <w:r w:rsidR="00340CD5" w:rsidRPr="00340CD5">
                              <w:rPr>
                                <w:rFonts w:asciiTheme="minorHAnsi" w:hAnsiTheme="minorHAnsi" w:cstheme="minorHAnsi"/>
                                <w:b/>
                                <w:bCs/>
                                <w:color w:val="2C2D5B"/>
                                <w:sz w:val="20"/>
                                <w:szCs w:val="20"/>
                              </w:rPr>
                              <w:t xml:space="preserve"> </w:t>
                            </w:r>
                            <w:r w:rsidRPr="00340CD5">
                              <w:rPr>
                                <w:rFonts w:asciiTheme="minorHAnsi" w:hAnsiTheme="minorHAnsi" w:cstheme="minorHAnsi"/>
                                <w:b/>
                                <w:bCs/>
                                <w:color w:val="2C2D5B"/>
                                <w:sz w:val="20"/>
                                <w:szCs w:val="20"/>
                              </w:rPr>
                              <w:t xml:space="preserve">: </w:t>
                            </w:r>
                          </w:p>
                          <w:p w14:paraId="1D0F8D2A" w14:textId="15617EF1" w:rsidR="002666CC" w:rsidRPr="00340CD5" w:rsidRDefault="002666CC" w:rsidP="00327D5A">
                            <w:pPr>
                              <w:jc w:val="both"/>
                              <w:rPr>
                                <w:rFonts w:asciiTheme="minorHAnsi" w:hAnsiTheme="minorHAnsi" w:cstheme="minorHAnsi"/>
                                <w:color w:val="2C2D5B"/>
                                <w:sz w:val="20"/>
                                <w:szCs w:val="20"/>
                              </w:rPr>
                            </w:pPr>
                            <w:r w:rsidRPr="00340CD5">
                              <w:rPr>
                                <w:rFonts w:asciiTheme="minorHAnsi" w:hAnsiTheme="minorHAnsi" w:cstheme="minorHAnsi"/>
                                <w:color w:val="2C2D5B"/>
                                <w:sz w:val="20"/>
                                <w:szCs w:val="20"/>
                              </w:rPr>
                              <w:t xml:space="preserve">The </w:t>
                            </w:r>
                            <w:r w:rsidRPr="00340CD5">
                              <w:rPr>
                                <w:rFonts w:asciiTheme="minorHAnsi" w:hAnsiTheme="minorHAnsi" w:cstheme="minorHAnsi"/>
                                <w:i/>
                                <w:iCs/>
                                <w:color w:val="2C2D5B"/>
                                <w:sz w:val="20"/>
                                <w:szCs w:val="20"/>
                              </w:rPr>
                              <w:t xml:space="preserve">Cour de Cassation </w:t>
                            </w:r>
                            <w:r w:rsidRPr="00340CD5">
                              <w:rPr>
                                <w:rFonts w:asciiTheme="minorHAnsi" w:hAnsiTheme="minorHAnsi" w:cstheme="minorHAnsi"/>
                                <w:color w:val="2C2D5B"/>
                                <w:sz w:val="20"/>
                                <w:szCs w:val="20"/>
                              </w:rPr>
                              <w:t xml:space="preserve">upheld the CSE’s claim, referencing Article 31(2) of the EChFR, Directive 2003/88/EC concerning working time and Directive 99/391/EEC regarding worker health and safety. The court affirmed that the employer was responsible for tracking working hours to safeguard employee health and safety.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595EA6B0" id="_x0000_s1070" style="position:absolute;left:0;text-align:left;margin-left:12.7pt;margin-top:39.5pt;width:423pt;height:205.3pt;z-index:2517749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z2JAIAAC0EAAAOAAAAZHJzL2Uyb0RvYy54bWysU9tu2zAMfR+wfxD0vthJnaQ14hRpug4D&#10;ugvW7QNkSbaFyaInKbHTrx8lp2mWvQ3zg0Ca0iF5eLi6HVpN9tI6Baag00lKiTQchDJ1QX98f3h3&#10;TYnzzAimwciCHqSjt+u3b1Z9l8sZNKCFtARBjMv7rqCN912eJI43smVuAp00GKzAtsyja+tEWNYj&#10;equTWZoukh6s6Cxw6Rz+vR+DdB3xq0py/6WqnPREFxRr8/G08SzDmaxXLK8t6xrFj2Wwf6iiZcpg&#10;0hPUPfOM7Kz6C6pV3IKDyk84tAlUleIy9oDdTNOLbp4a1snYC5LjuhNN7v/B8s/7p+6rJX64gwEH&#10;GJtw3SPwn44Y2DbM1HJjLfSNZAITTwNlSd+5/Pg0UO1yF0DK/hMIHDLbeYhAQ2XbwAr2SRAdB3A4&#10;kS4HTzj+nF8tZ9MUQxxjs0W6vJrGsSQsf3neWec/SGhJMApqYWfENxxtzMH2j86Hmlj+ci+kdKCV&#10;eFBaRyfISW61JXuGQijrsYuLW9qQHhu8SefpSMMfELYuTwB3i02abSMTFxit8qhnrdqCXqfhGxUW&#10;yHtvRFSbZ0qPNpaszZHNQOBIpR/KgShR0CwLjwO7JYgD8mth1C/uGxoN2GdKetRuQd2vHbOSEv3R&#10;4IxuplkWxB6dbL6coWPPI+V5hBmOUAX1lIzm1scFCcQZ2OAsKxUJfq3kWDNqMvJ+3J8g+nM/3nrd&#10;8vVvAAAA//8DAFBLAwQUAAYACAAAACEAeZ1cMt4AAAAJAQAADwAAAGRycy9kb3ducmV2LnhtbEyP&#10;wU7DMBBE70j8g7VI3KjTKm2dEKeKKnHh1tAeuDnxEgdiO4rdNPw9ywmOOzOafVMcFjuwGafQeydh&#10;vUqAoWu97l0n4fz28iSAhaicVoN3KOEbAxzK+7tC5drf3AnnOnaMSlzIlQQT45hzHlqDVoWVH9GR&#10;9+EnqyKdU8f1pG5Ubge+SZIdt6p39MGoEY8G26/6aiXM59O2Esf3tDYX/pm9VqIRVkj5+LBUz8Ai&#10;LvEvDL/4hA4lMTX+6nRgg4TNNqWkhH1Gk8gX+zUJjYRUZDvgZcH/Lyh/AAAA//8DAFBLAQItABQA&#10;BgAIAAAAIQC2gziS/gAAAOEBAAATAAAAAAAAAAAAAAAAAAAAAABbQ29udGVudF9UeXBlc10ueG1s&#10;UEsBAi0AFAAGAAgAAAAhADj9If/WAAAAlAEAAAsAAAAAAAAAAAAAAAAALwEAAF9yZWxzLy5yZWxz&#10;UEsBAi0AFAAGAAgAAAAhAP5lLPYkAgAALQQAAA4AAAAAAAAAAAAAAAAALgIAAGRycy9lMm9Eb2Mu&#10;eG1sUEsBAi0AFAAGAAgAAAAhAHmdXDLeAAAACQEAAA8AAAAAAAAAAAAAAAAAfgQAAGRycy9kb3du&#10;cmV2LnhtbFBLBQYAAAAABAAEAPMAAACJBQAAAAA=&#10;" fillcolor="white [3212]" strokecolor="#b6a04c" strokeweight="1.5pt">
                <v:stroke joinstyle="miter"/>
                <v:textbox>
                  <w:txbxContent>
                    <w:p w14:paraId="68575F26" w14:textId="2CFF72A8" w:rsidR="00CD7BD8" w:rsidRPr="00340CD5" w:rsidRDefault="00CD7BD8" w:rsidP="00340CD5">
                      <w:pPr>
                        <w:jc w:val="center"/>
                        <w:rPr>
                          <w:rFonts w:asciiTheme="minorHAnsi" w:hAnsiTheme="minorHAnsi" w:cstheme="minorHAnsi"/>
                          <w:b/>
                          <w:bCs/>
                          <w:color w:val="B6A04C"/>
                          <w:sz w:val="20"/>
                          <w:szCs w:val="20"/>
                          <w:lang w:val="fr-FR"/>
                        </w:rPr>
                      </w:pPr>
                      <w:r w:rsidRPr="00340CD5">
                        <w:rPr>
                          <w:rFonts w:asciiTheme="minorHAnsi" w:hAnsiTheme="minorHAnsi" w:cstheme="minorHAnsi"/>
                          <w:b/>
                          <w:bCs/>
                          <w:i/>
                          <w:iCs/>
                          <w:color w:val="B6A04C"/>
                          <w:sz w:val="20"/>
                          <w:szCs w:val="20"/>
                          <w:lang w:val="fr-FR"/>
                        </w:rPr>
                        <w:t xml:space="preserve">Cour de Cassation, Chambre Sociale, </w:t>
                      </w:r>
                      <w:r w:rsidRPr="00340CD5">
                        <w:rPr>
                          <w:rFonts w:asciiTheme="minorHAnsi" w:hAnsiTheme="minorHAnsi" w:cstheme="minorHAnsi"/>
                          <w:b/>
                          <w:bCs/>
                          <w:color w:val="B6A04C"/>
                          <w:sz w:val="20"/>
                          <w:szCs w:val="20"/>
                          <w:lang w:val="fr-FR"/>
                        </w:rPr>
                        <w:t>July 5, 2023, No 21-24122</w:t>
                      </w:r>
                    </w:p>
                    <w:p w14:paraId="432494B1" w14:textId="77777777" w:rsidR="00CD7BD8" w:rsidRPr="00340CD5" w:rsidRDefault="00CD7BD8" w:rsidP="00CD7BD8">
                      <w:pPr>
                        <w:jc w:val="right"/>
                        <w:rPr>
                          <w:rFonts w:asciiTheme="minorHAnsi" w:hAnsiTheme="minorHAnsi" w:cstheme="minorHAnsi"/>
                          <w:b/>
                          <w:bCs/>
                          <w:color w:val="2C2D5B"/>
                          <w:sz w:val="20"/>
                          <w:szCs w:val="20"/>
                          <w:lang w:val="fr-FR"/>
                        </w:rPr>
                      </w:pPr>
                    </w:p>
                    <w:p w14:paraId="2C4F48EC" w14:textId="6CC900EB" w:rsidR="00CD7BD8" w:rsidRPr="00340CD5" w:rsidRDefault="00CD7BD8" w:rsidP="00CD7BD8">
                      <w:pPr>
                        <w:jc w:val="both"/>
                        <w:rPr>
                          <w:rFonts w:asciiTheme="minorHAnsi" w:hAnsiTheme="minorHAnsi" w:cstheme="minorHAnsi"/>
                          <w:b/>
                          <w:bCs/>
                          <w:color w:val="2C2D5B"/>
                          <w:sz w:val="20"/>
                          <w:szCs w:val="20"/>
                        </w:rPr>
                      </w:pPr>
                      <w:r w:rsidRPr="00340CD5">
                        <w:rPr>
                          <w:rFonts w:asciiTheme="minorHAnsi" w:hAnsiTheme="minorHAnsi" w:cstheme="minorHAnsi"/>
                          <w:b/>
                          <w:bCs/>
                          <w:color w:val="2C2D5B"/>
                          <w:sz w:val="20"/>
                          <w:szCs w:val="20"/>
                        </w:rPr>
                        <w:t>Facts :</w:t>
                      </w:r>
                    </w:p>
                    <w:p w14:paraId="019B3E6C" w14:textId="658B244F" w:rsidR="00CD7BD8" w:rsidRPr="00340CD5" w:rsidRDefault="00CD7BD8" w:rsidP="00CD7BD8">
                      <w:pPr>
                        <w:jc w:val="both"/>
                        <w:rPr>
                          <w:rFonts w:asciiTheme="minorHAnsi" w:hAnsiTheme="minorHAnsi" w:cstheme="minorHAnsi"/>
                          <w:color w:val="2C2D5B"/>
                          <w:sz w:val="20"/>
                          <w:szCs w:val="20"/>
                        </w:rPr>
                      </w:pPr>
                      <w:r w:rsidRPr="00340CD5">
                        <w:rPr>
                          <w:rFonts w:asciiTheme="minorHAnsi" w:hAnsiTheme="minorHAnsi" w:cstheme="minorHAnsi"/>
                          <w:color w:val="2C2D5B"/>
                          <w:sz w:val="20"/>
                          <w:szCs w:val="20"/>
                        </w:rPr>
                        <w:t xml:space="preserve">This </w:t>
                      </w:r>
                      <w:r w:rsidR="002666CC" w:rsidRPr="00340CD5">
                        <w:rPr>
                          <w:rFonts w:asciiTheme="minorHAnsi" w:hAnsiTheme="minorHAnsi" w:cstheme="minorHAnsi"/>
                          <w:color w:val="2C2D5B"/>
                          <w:sz w:val="20"/>
                          <w:szCs w:val="20"/>
                        </w:rPr>
                        <w:t xml:space="preserve">case </w:t>
                      </w:r>
                      <w:proofErr w:type="spellStart"/>
                      <w:r w:rsidR="002666CC" w:rsidRPr="00340CD5">
                        <w:rPr>
                          <w:rFonts w:asciiTheme="minorHAnsi" w:hAnsiTheme="minorHAnsi" w:cstheme="minorHAnsi"/>
                          <w:color w:val="2C2D5B"/>
                          <w:sz w:val="20"/>
                          <w:szCs w:val="20"/>
                        </w:rPr>
                        <w:t>centered</w:t>
                      </w:r>
                      <w:proofErr w:type="spellEnd"/>
                      <w:r w:rsidR="002666CC" w:rsidRPr="00340CD5">
                        <w:rPr>
                          <w:rFonts w:asciiTheme="minorHAnsi" w:hAnsiTheme="minorHAnsi" w:cstheme="minorHAnsi"/>
                          <w:color w:val="2C2D5B"/>
                          <w:sz w:val="20"/>
                          <w:szCs w:val="20"/>
                        </w:rPr>
                        <w:t xml:space="preserve"> on the CSE’s claim that the employer had failed to comply with its duty to ensure employee safety and prevent occupational risks and monitor working hours. The CSE requested that the employer implement tracking systems for employees’ working hours and unusual work travel, and to ensure monthly monitoring of the volume of hours recording in the accounts. </w:t>
                      </w:r>
                    </w:p>
                    <w:p w14:paraId="5AC2C57E" w14:textId="77777777" w:rsidR="002666CC" w:rsidRPr="00340CD5" w:rsidRDefault="002666CC" w:rsidP="00CD7BD8">
                      <w:pPr>
                        <w:jc w:val="both"/>
                        <w:rPr>
                          <w:rFonts w:asciiTheme="minorHAnsi" w:hAnsiTheme="minorHAnsi" w:cstheme="minorHAnsi"/>
                          <w:color w:val="2C2D5B"/>
                          <w:sz w:val="20"/>
                          <w:szCs w:val="20"/>
                        </w:rPr>
                      </w:pPr>
                    </w:p>
                    <w:p w14:paraId="758A9F14" w14:textId="2312A7D5" w:rsidR="002666CC" w:rsidRPr="00340CD5" w:rsidRDefault="002666CC" w:rsidP="00CD7BD8">
                      <w:pPr>
                        <w:jc w:val="both"/>
                        <w:rPr>
                          <w:rFonts w:asciiTheme="minorHAnsi" w:hAnsiTheme="minorHAnsi" w:cstheme="minorHAnsi"/>
                          <w:b/>
                          <w:bCs/>
                          <w:color w:val="2C2D5B"/>
                          <w:sz w:val="20"/>
                          <w:szCs w:val="20"/>
                        </w:rPr>
                      </w:pPr>
                      <w:r w:rsidRPr="00340CD5">
                        <w:rPr>
                          <w:rFonts w:asciiTheme="minorHAnsi" w:hAnsiTheme="minorHAnsi" w:cstheme="minorHAnsi"/>
                          <w:b/>
                          <w:bCs/>
                          <w:color w:val="2C2D5B"/>
                          <w:sz w:val="20"/>
                          <w:szCs w:val="20"/>
                        </w:rPr>
                        <w:t>Ruling</w:t>
                      </w:r>
                      <w:r w:rsidR="00340CD5" w:rsidRPr="00340CD5">
                        <w:rPr>
                          <w:rFonts w:asciiTheme="minorHAnsi" w:hAnsiTheme="minorHAnsi" w:cstheme="minorHAnsi"/>
                          <w:b/>
                          <w:bCs/>
                          <w:color w:val="2C2D5B"/>
                          <w:sz w:val="20"/>
                          <w:szCs w:val="20"/>
                        </w:rPr>
                        <w:t xml:space="preserve"> </w:t>
                      </w:r>
                      <w:r w:rsidRPr="00340CD5">
                        <w:rPr>
                          <w:rFonts w:asciiTheme="minorHAnsi" w:hAnsiTheme="minorHAnsi" w:cstheme="minorHAnsi"/>
                          <w:b/>
                          <w:bCs/>
                          <w:color w:val="2C2D5B"/>
                          <w:sz w:val="20"/>
                          <w:szCs w:val="20"/>
                        </w:rPr>
                        <w:t xml:space="preserve">: </w:t>
                      </w:r>
                    </w:p>
                    <w:p w14:paraId="1D0F8D2A" w14:textId="15617EF1" w:rsidR="002666CC" w:rsidRPr="00340CD5" w:rsidRDefault="002666CC" w:rsidP="00327D5A">
                      <w:pPr>
                        <w:jc w:val="both"/>
                        <w:rPr>
                          <w:rFonts w:asciiTheme="minorHAnsi" w:hAnsiTheme="minorHAnsi" w:cstheme="minorHAnsi"/>
                          <w:color w:val="2C2D5B"/>
                          <w:sz w:val="20"/>
                          <w:szCs w:val="20"/>
                        </w:rPr>
                      </w:pPr>
                      <w:r w:rsidRPr="00340CD5">
                        <w:rPr>
                          <w:rFonts w:asciiTheme="minorHAnsi" w:hAnsiTheme="minorHAnsi" w:cstheme="minorHAnsi"/>
                          <w:color w:val="2C2D5B"/>
                          <w:sz w:val="20"/>
                          <w:szCs w:val="20"/>
                        </w:rPr>
                        <w:t xml:space="preserve">The </w:t>
                      </w:r>
                      <w:r w:rsidRPr="00340CD5">
                        <w:rPr>
                          <w:rFonts w:asciiTheme="minorHAnsi" w:hAnsiTheme="minorHAnsi" w:cstheme="minorHAnsi"/>
                          <w:i/>
                          <w:iCs/>
                          <w:color w:val="2C2D5B"/>
                          <w:sz w:val="20"/>
                          <w:szCs w:val="20"/>
                        </w:rPr>
                        <w:t xml:space="preserve">Cour de Cassation </w:t>
                      </w:r>
                      <w:r w:rsidRPr="00340CD5">
                        <w:rPr>
                          <w:rFonts w:asciiTheme="minorHAnsi" w:hAnsiTheme="minorHAnsi" w:cstheme="minorHAnsi"/>
                          <w:color w:val="2C2D5B"/>
                          <w:sz w:val="20"/>
                          <w:szCs w:val="20"/>
                        </w:rPr>
                        <w:t xml:space="preserve">upheld the CSE’s claim, referencing Article 31(2) of the EChFR, Directive 2003/88/EC concerning working time and Directive 99/391/EEC regarding worker health and safety. The court affirmed that the employer was responsible for tracking working hours to safeguard employee health and safety.  </w:t>
                      </w:r>
                    </w:p>
                  </w:txbxContent>
                </v:textbox>
                <w10:wrap type="square" anchorx="margin"/>
              </v:roundrect>
            </w:pict>
          </mc:Fallback>
        </mc:AlternateContent>
      </w:r>
      <w:r w:rsidR="007C48B2" w:rsidRPr="00D851B5">
        <w:rPr>
          <w:rFonts w:ascii="Calibri" w:hAnsi="Calibri" w:cs="Calibri"/>
          <w:b/>
          <w:bCs/>
          <w:i/>
          <w:iCs/>
          <w:color w:val="2F5496" w:themeColor="accent1" w:themeShade="BF"/>
        </w:rPr>
        <w:t xml:space="preserve">Employer’s duty to inform employees about working hours </w:t>
      </w:r>
    </w:p>
    <w:p w14:paraId="4A9511FC" w14:textId="5127FFD8" w:rsidR="00A33A89" w:rsidRPr="005A6959" w:rsidRDefault="00A33A89" w:rsidP="0049009B">
      <w:pPr>
        <w:spacing w:after="120" w:line="276" w:lineRule="auto"/>
        <w:jc w:val="both"/>
        <w:rPr>
          <w:rFonts w:ascii="Calibri" w:hAnsi="Calibri" w:cs="Calibri"/>
        </w:rPr>
      </w:pPr>
    </w:p>
    <w:p w14:paraId="47840C0A" w14:textId="068ED10C" w:rsidR="0055322C" w:rsidRPr="00D851B5" w:rsidRDefault="006C3DBB" w:rsidP="00253E61">
      <w:pPr>
        <w:pStyle w:val="Odstavecseseznamem"/>
        <w:numPr>
          <w:ilvl w:val="0"/>
          <w:numId w:val="18"/>
        </w:numPr>
        <w:spacing w:after="120" w:line="276" w:lineRule="auto"/>
        <w:jc w:val="both"/>
        <w:rPr>
          <w:rFonts w:ascii="Calibri" w:hAnsi="Calibri" w:cs="Calibri"/>
          <w:b/>
          <w:bCs/>
          <w:i/>
          <w:iCs/>
          <w:color w:val="2F5496" w:themeColor="accent1" w:themeShade="BF"/>
        </w:rPr>
      </w:pPr>
      <w:r w:rsidRPr="00D851B5">
        <w:rPr>
          <w:rFonts w:asciiTheme="minorHAnsi" w:hAnsiTheme="minorHAnsi" w:cstheme="minorHAnsi"/>
          <w:b/>
          <w:bCs/>
          <w:noProof/>
          <w:color w:val="2F5496" w:themeColor="accent1" w:themeShade="BF"/>
          <w:sz w:val="32"/>
          <w:szCs w:val="32"/>
        </w:rPr>
        <w:drawing>
          <wp:anchor distT="0" distB="0" distL="114300" distR="114300" simplePos="0" relativeHeight="251983872" behindDoc="0" locked="0" layoutInCell="1" allowOverlap="1" wp14:anchorId="74857CC7" wp14:editId="600A3465">
            <wp:simplePos x="0" y="0"/>
            <wp:positionH relativeFrom="column">
              <wp:posOffset>5028565</wp:posOffset>
            </wp:positionH>
            <wp:positionV relativeFrom="paragraph">
              <wp:posOffset>302119</wp:posOffset>
            </wp:positionV>
            <wp:extent cx="713105" cy="575310"/>
            <wp:effectExtent l="0" t="0" r="0" b="0"/>
            <wp:wrapNone/>
            <wp:docPr id="763473268"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Pr="00D851B5">
        <w:rPr>
          <w:rFonts w:ascii="Calibri" w:hAnsi="Calibri" w:cs="Calibri"/>
          <w:b/>
          <w:bCs/>
          <w:i/>
          <w:iCs/>
          <w:noProof/>
          <w:color w:val="2F5496" w:themeColor="accent1" w:themeShade="BF"/>
        </w:rPr>
        <mc:AlternateContent>
          <mc:Choice Requires="wps">
            <w:drawing>
              <wp:anchor distT="45720" distB="45720" distL="114300" distR="114300" simplePos="0" relativeHeight="251777024" behindDoc="0" locked="0" layoutInCell="1" allowOverlap="1" wp14:anchorId="48065BED" wp14:editId="728E7085">
                <wp:simplePos x="0" y="0"/>
                <wp:positionH relativeFrom="margin">
                  <wp:posOffset>163195</wp:posOffset>
                </wp:positionH>
                <wp:positionV relativeFrom="paragraph">
                  <wp:posOffset>514138</wp:posOffset>
                </wp:positionV>
                <wp:extent cx="5347335" cy="2810510"/>
                <wp:effectExtent l="0" t="0" r="24765" b="27940"/>
                <wp:wrapSquare wrapText="bothSides"/>
                <wp:docPr id="137688254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47335" cy="2810510"/>
                        </a:xfrm>
                        <a:prstGeom prst="roundRect">
                          <a:avLst/>
                        </a:prstGeom>
                        <a:solidFill>
                          <a:schemeClr val="bg1"/>
                        </a:solidFill>
                        <a:ln w="19050">
                          <a:solidFill>
                            <a:srgbClr val="B6A04C"/>
                          </a:solidFill>
                          <a:miter lim="800000"/>
                          <a:headEnd/>
                          <a:tailEnd/>
                        </a:ln>
                      </wps:spPr>
                      <wps:txbx>
                        <w:txbxContent>
                          <w:p w14:paraId="5186DE33" w14:textId="77777777" w:rsidR="00C23F91" w:rsidRPr="00340CD5" w:rsidRDefault="00C23F91" w:rsidP="00340CD5">
                            <w:pPr>
                              <w:jc w:val="center"/>
                              <w:rPr>
                                <w:rFonts w:asciiTheme="minorHAnsi" w:hAnsiTheme="minorHAnsi" w:cstheme="minorHAnsi"/>
                                <w:b/>
                                <w:bCs/>
                                <w:color w:val="B6A04C"/>
                                <w:sz w:val="20"/>
                                <w:szCs w:val="20"/>
                                <w:lang w:val="fr-FR"/>
                              </w:rPr>
                            </w:pPr>
                            <w:r w:rsidRPr="00340CD5">
                              <w:rPr>
                                <w:rFonts w:asciiTheme="minorHAnsi" w:hAnsiTheme="minorHAnsi" w:cstheme="minorHAnsi"/>
                                <w:b/>
                                <w:bCs/>
                                <w:i/>
                                <w:iCs/>
                                <w:color w:val="B6A04C"/>
                                <w:sz w:val="20"/>
                                <w:szCs w:val="20"/>
                                <w:lang w:val="fr-FR"/>
                              </w:rPr>
                              <w:t>Cour de Cassation, Chambre Sociale</w:t>
                            </w:r>
                            <w:r w:rsidRPr="00340CD5">
                              <w:rPr>
                                <w:rFonts w:asciiTheme="minorHAnsi" w:hAnsiTheme="minorHAnsi" w:cstheme="minorHAnsi"/>
                                <w:b/>
                                <w:bCs/>
                                <w:color w:val="B6A04C"/>
                                <w:sz w:val="20"/>
                                <w:szCs w:val="20"/>
                                <w:lang w:val="fr-FR"/>
                              </w:rPr>
                              <w:t>, June 1, 2023, No.</w:t>
                            </w:r>
                            <w:r w:rsidRPr="00340CD5">
                              <w:rPr>
                                <w:color w:val="B6A04C"/>
                                <w:lang w:val="fr-FR"/>
                              </w:rPr>
                              <w:t xml:space="preserve"> </w:t>
                            </w:r>
                            <w:r w:rsidRPr="00340CD5">
                              <w:rPr>
                                <w:rFonts w:asciiTheme="minorHAnsi" w:hAnsiTheme="minorHAnsi" w:cstheme="minorHAnsi"/>
                                <w:b/>
                                <w:bCs/>
                                <w:color w:val="B6A04C"/>
                                <w:sz w:val="20"/>
                                <w:szCs w:val="20"/>
                                <w:lang w:val="fr-FR"/>
                              </w:rPr>
                              <w:t>22-13238</w:t>
                            </w:r>
                          </w:p>
                          <w:p w14:paraId="5846F4F6" w14:textId="77777777" w:rsidR="00C23F91" w:rsidRDefault="00C23F91" w:rsidP="00C23F91">
                            <w:pPr>
                              <w:jc w:val="right"/>
                              <w:rPr>
                                <w:rFonts w:asciiTheme="minorHAnsi" w:hAnsiTheme="minorHAnsi" w:cstheme="minorHAnsi"/>
                                <w:b/>
                                <w:bCs/>
                                <w:sz w:val="20"/>
                                <w:szCs w:val="20"/>
                                <w:lang w:val="fr-FR"/>
                              </w:rPr>
                            </w:pPr>
                          </w:p>
                          <w:p w14:paraId="161F1507" w14:textId="77777777" w:rsidR="00C23F91" w:rsidRPr="00340CD5" w:rsidRDefault="00C23F91" w:rsidP="00C23F91">
                            <w:pPr>
                              <w:jc w:val="both"/>
                              <w:rPr>
                                <w:rFonts w:asciiTheme="minorHAnsi" w:hAnsiTheme="minorHAnsi" w:cstheme="minorHAnsi"/>
                                <w:b/>
                                <w:bCs/>
                                <w:color w:val="2C2D5B"/>
                                <w:sz w:val="20"/>
                                <w:szCs w:val="20"/>
                              </w:rPr>
                            </w:pPr>
                            <w:r w:rsidRPr="00340CD5">
                              <w:rPr>
                                <w:rFonts w:asciiTheme="minorHAnsi" w:hAnsiTheme="minorHAnsi" w:cstheme="minorHAnsi"/>
                                <w:b/>
                                <w:bCs/>
                                <w:color w:val="2C2D5B"/>
                                <w:sz w:val="20"/>
                                <w:szCs w:val="20"/>
                              </w:rPr>
                              <w:t xml:space="preserve">Facts : </w:t>
                            </w:r>
                          </w:p>
                          <w:p w14:paraId="5C6C6894" w14:textId="3E8686B0" w:rsidR="00C23F91" w:rsidRPr="00340CD5" w:rsidRDefault="00C23F91" w:rsidP="00C23F91">
                            <w:pPr>
                              <w:jc w:val="both"/>
                              <w:rPr>
                                <w:rFonts w:asciiTheme="minorHAnsi" w:hAnsiTheme="minorHAnsi" w:cstheme="minorHAnsi"/>
                                <w:color w:val="2C2D5B"/>
                                <w:sz w:val="20"/>
                                <w:szCs w:val="20"/>
                              </w:rPr>
                            </w:pPr>
                            <w:r w:rsidRPr="00340CD5">
                              <w:rPr>
                                <w:rFonts w:asciiTheme="minorHAnsi" w:hAnsiTheme="minorHAnsi" w:cstheme="minorHAnsi"/>
                                <w:color w:val="2C2D5B"/>
                                <w:sz w:val="20"/>
                                <w:szCs w:val="20"/>
                              </w:rPr>
                              <w:t>The case concerned employees who, alleging discrimination due to their</w:t>
                            </w:r>
                            <w:r w:rsidR="00036943" w:rsidRPr="00340CD5">
                              <w:rPr>
                                <w:rFonts w:asciiTheme="minorHAnsi" w:hAnsiTheme="minorHAnsi" w:cstheme="minorHAnsi"/>
                                <w:color w:val="2C2D5B"/>
                                <w:sz w:val="20"/>
                                <w:szCs w:val="20"/>
                              </w:rPr>
                              <w:t xml:space="preserve"> trade</w:t>
                            </w:r>
                            <w:r w:rsidRPr="00340CD5">
                              <w:rPr>
                                <w:rFonts w:asciiTheme="minorHAnsi" w:hAnsiTheme="minorHAnsi" w:cstheme="minorHAnsi"/>
                                <w:color w:val="2C2D5B"/>
                                <w:sz w:val="20"/>
                                <w:szCs w:val="20"/>
                              </w:rPr>
                              <w:t xml:space="preserve"> union activitie</w:t>
                            </w:r>
                            <w:r w:rsidR="00036943" w:rsidRPr="00340CD5">
                              <w:rPr>
                                <w:rFonts w:asciiTheme="minorHAnsi" w:hAnsiTheme="minorHAnsi" w:cstheme="minorHAnsi"/>
                                <w:color w:val="2C2D5B"/>
                                <w:sz w:val="20"/>
                                <w:szCs w:val="20"/>
                              </w:rPr>
                              <w:t xml:space="preserve">s, sought to obtain information about other employees’ career progress and salaries to substantiate their claims. The employer objected citing data protection concerns under the General Data Protection Regulation (GDPR). </w:t>
                            </w:r>
                          </w:p>
                          <w:p w14:paraId="35075197" w14:textId="77777777" w:rsidR="008D7DA6" w:rsidRPr="00340CD5" w:rsidRDefault="008D7DA6" w:rsidP="00C23F91">
                            <w:pPr>
                              <w:jc w:val="both"/>
                              <w:rPr>
                                <w:rFonts w:asciiTheme="minorHAnsi" w:hAnsiTheme="minorHAnsi" w:cstheme="minorHAnsi"/>
                                <w:color w:val="2C2D5B"/>
                                <w:sz w:val="20"/>
                                <w:szCs w:val="20"/>
                              </w:rPr>
                            </w:pPr>
                          </w:p>
                          <w:p w14:paraId="50618219" w14:textId="78E410E3" w:rsidR="008D7DA6" w:rsidRPr="00340CD5" w:rsidRDefault="008D7DA6" w:rsidP="00C23F91">
                            <w:pPr>
                              <w:jc w:val="both"/>
                              <w:rPr>
                                <w:rFonts w:asciiTheme="minorHAnsi" w:hAnsiTheme="minorHAnsi" w:cstheme="minorHAnsi"/>
                                <w:b/>
                                <w:bCs/>
                                <w:color w:val="2C2D5B"/>
                                <w:sz w:val="20"/>
                                <w:szCs w:val="20"/>
                              </w:rPr>
                            </w:pPr>
                            <w:r w:rsidRPr="00340CD5">
                              <w:rPr>
                                <w:rFonts w:asciiTheme="minorHAnsi" w:hAnsiTheme="minorHAnsi" w:cstheme="minorHAnsi"/>
                                <w:b/>
                                <w:bCs/>
                                <w:color w:val="2C2D5B"/>
                                <w:sz w:val="20"/>
                                <w:szCs w:val="20"/>
                              </w:rPr>
                              <w:t>Ruling</w:t>
                            </w:r>
                            <w:r w:rsidR="00340CD5" w:rsidRPr="00340CD5">
                              <w:rPr>
                                <w:rFonts w:asciiTheme="minorHAnsi" w:hAnsiTheme="minorHAnsi" w:cstheme="minorHAnsi"/>
                                <w:b/>
                                <w:bCs/>
                                <w:color w:val="2C2D5B"/>
                                <w:sz w:val="20"/>
                                <w:szCs w:val="20"/>
                              </w:rPr>
                              <w:t xml:space="preserve"> </w:t>
                            </w:r>
                            <w:r w:rsidRPr="00340CD5">
                              <w:rPr>
                                <w:rFonts w:asciiTheme="minorHAnsi" w:hAnsiTheme="minorHAnsi" w:cstheme="minorHAnsi"/>
                                <w:b/>
                                <w:bCs/>
                                <w:color w:val="2C2D5B"/>
                                <w:sz w:val="20"/>
                                <w:szCs w:val="20"/>
                              </w:rPr>
                              <w:t xml:space="preserve">: </w:t>
                            </w:r>
                          </w:p>
                          <w:p w14:paraId="47575D64" w14:textId="2FE19F63" w:rsidR="008D7DA6" w:rsidRPr="00340CD5" w:rsidRDefault="008D7DA6" w:rsidP="00327D5A">
                            <w:pPr>
                              <w:jc w:val="both"/>
                              <w:rPr>
                                <w:rFonts w:asciiTheme="minorHAnsi" w:hAnsiTheme="minorHAnsi" w:cstheme="minorHAnsi"/>
                                <w:color w:val="2C2D5B"/>
                                <w:sz w:val="20"/>
                                <w:szCs w:val="20"/>
                              </w:rPr>
                            </w:pPr>
                            <w:r w:rsidRPr="00340CD5">
                              <w:rPr>
                                <w:rFonts w:asciiTheme="minorHAnsi" w:hAnsiTheme="minorHAnsi" w:cstheme="minorHAnsi"/>
                                <w:color w:val="2C2D5B"/>
                                <w:sz w:val="20"/>
                                <w:szCs w:val="20"/>
                              </w:rPr>
                              <w:t>The Court held that providing names and pay information of other employees was necessary and proportionate to substantiate claims of discrimination, and did not disproportionately infringe privacy. Citing the GDPR and the EChFR, the court clarified that data protection is not absolute but must be balanced against other fundamental rights, such as the right to a fair trial. The court emphasised that protecting individuals’ right to evidence in discrimination cases justified the limited data disclosure</w:t>
                            </w:r>
                            <w:r w:rsidR="00340CD5" w:rsidRPr="00340CD5">
                              <w:rPr>
                                <w:rFonts w:asciiTheme="minorHAnsi" w:hAnsiTheme="minorHAnsi" w:cstheme="minorHAnsi"/>
                                <w:color w:val="2C2D5B"/>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48065BED" id="_x0000_s1071" style="position:absolute;left:0;text-align:left;margin-left:12.85pt;margin-top:40.5pt;width:421.05pt;height:221.3pt;z-index:2517770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cNCJQIAAC0EAAAOAAAAZHJzL2Uyb0RvYy54bWysU9tu2zAMfR+wfxD0vthO7DY14hRpug4D&#10;ugvW7QNkWbaFyaInKbHTrx8lp2mWvQ3zg0Ca0iF5eLi6HTtF9sJYCbqgySymRGgOldRNQX98f3i3&#10;pMQ6piumQIuCHoSlt+u3b1ZDn4s5tKAqYQiCaJsPfUFb5/o8iixvRcfsDHqhMViD6ZhD1zRRZdiA&#10;6J2K5nF8FQ1gqt4AF9bi3/spSNcBv64Fd1/q2gpHVEGxNhdOE87Sn9F6xfLGsL6V/FgG+4cqOiY1&#10;Jj1B3TPHyM7Iv6A6yQ1YqN2MQxdBXUsuQg/YTRJfdPPUsl6EXpAc259osv8Pln/eP/VfDXHjHYw4&#10;wNCE7R+B/7REw7ZluhEbY2BoBaswceIpi4be5sennmqbWw9SDp+gwiGznYMANNam86xgnwTRcQCH&#10;E+lidITjz2yRXi8WGSUcY/NlEmdJGEvE8pfnvbHug4COeKOgBna6+oajDTnY/tE6XxPLX+75lBaU&#10;rB6kUsHxchJbZcieoRDKZuri4pbSZMAGb+Isnmj4A8I05Qng7moTp9vAxAVGJx3qWcmuoMvYf5PC&#10;PHnvdRXU5phUk40lK31k0xM4UenGciSyKmia+cee3RKqA/JrYNIv7hsaLZhnSgbUbkHtrx0zghL1&#10;UeOMbpI09WIPTppdz9Ex55HyPMI0R6iCOkomc+vCgnjiNGxwlrUMBL9WcqwZNRl4P+6PF/25H269&#10;bvn6NwAAAP//AwBQSwMEFAAGAAgAAAAhABeZkbbdAAAACQEAAA8AAABkcnMvZG93bnJldi54bWxM&#10;j0FPhDAQhe8m/odmTLy5ZVHYipQN2cSLt8X14K3QSlE6JbTL4r93POlx8l7efF+5X93IFjOHwaOE&#10;7SYBZrDzesBewun1+U4AC1GhVqNHI+HbBNhX11elKrS/4NEsTewZjWAolAQb41RwHjprnAobPxmk&#10;7MPPTkU6557rWV1o3I08TZKcOzUgfbBqMgdruq/m7CQsp2NWi8P7Q2Pf+OfjSy1a4YSUtzdr/QQs&#10;mjX+leEXn9ChIqbWn1EHNkpIsx01JYgtKVEu8h2ptBKy9D4HXpX8v0H1AwAA//8DAFBLAQItABQA&#10;BgAIAAAAIQC2gziS/gAAAOEBAAATAAAAAAAAAAAAAAAAAAAAAABbQ29udGVudF9UeXBlc10ueG1s&#10;UEsBAi0AFAAGAAgAAAAhADj9If/WAAAAlAEAAAsAAAAAAAAAAAAAAAAALwEAAF9yZWxzLy5yZWxz&#10;UEsBAi0AFAAGAAgAAAAhAGB1w0IlAgAALQQAAA4AAAAAAAAAAAAAAAAALgIAAGRycy9lMm9Eb2Mu&#10;eG1sUEsBAi0AFAAGAAgAAAAhABeZkbbdAAAACQEAAA8AAAAAAAAAAAAAAAAAfwQAAGRycy9kb3du&#10;cmV2LnhtbFBLBQYAAAAABAAEAPMAAACJBQAAAAA=&#10;" fillcolor="white [3212]" strokecolor="#b6a04c" strokeweight="1.5pt">
                <v:stroke joinstyle="miter"/>
                <v:textbox>
                  <w:txbxContent>
                    <w:p w14:paraId="5186DE33" w14:textId="77777777" w:rsidR="00C23F91" w:rsidRPr="00340CD5" w:rsidRDefault="00C23F91" w:rsidP="00340CD5">
                      <w:pPr>
                        <w:jc w:val="center"/>
                        <w:rPr>
                          <w:rFonts w:asciiTheme="minorHAnsi" w:hAnsiTheme="minorHAnsi" w:cstheme="minorHAnsi"/>
                          <w:b/>
                          <w:bCs/>
                          <w:color w:val="B6A04C"/>
                          <w:sz w:val="20"/>
                          <w:szCs w:val="20"/>
                          <w:lang w:val="fr-FR"/>
                        </w:rPr>
                      </w:pPr>
                      <w:r w:rsidRPr="00340CD5">
                        <w:rPr>
                          <w:rFonts w:asciiTheme="minorHAnsi" w:hAnsiTheme="minorHAnsi" w:cstheme="minorHAnsi"/>
                          <w:b/>
                          <w:bCs/>
                          <w:i/>
                          <w:iCs/>
                          <w:color w:val="B6A04C"/>
                          <w:sz w:val="20"/>
                          <w:szCs w:val="20"/>
                          <w:lang w:val="fr-FR"/>
                        </w:rPr>
                        <w:t>Cour de Cassation, Chambre Sociale</w:t>
                      </w:r>
                      <w:r w:rsidRPr="00340CD5">
                        <w:rPr>
                          <w:rFonts w:asciiTheme="minorHAnsi" w:hAnsiTheme="minorHAnsi" w:cstheme="minorHAnsi"/>
                          <w:b/>
                          <w:bCs/>
                          <w:color w:val="B6A04C"/>
                          <w:sz w:val="20"/>
                          <w:szCs w:val="20"/>
                          <w:lang w:val="fr-FR"/>
                        </w:rPr>
                        <w:t>, June 1, 2023, No.</w:t>
                      </w:r>
                      <w:r w:rsidRPr="00340CD5">
                        <w:rPr>
                          <w:color w:val="B6A04C"/>
                          <w:lang w:val="fr-FR"/>
                        </w:rPr>
                        <w:t xml:space="preserve"> </w:t>
                      </w:r>
                      <w:r w:rsidRPr="00340CD5">
                        <w:rPr>
                          <w:rFonts w:asciiTheme="minorHAnsi" w:hAnsiTheme="minorHAnsi" w:cstheme="minorHAnsi"/>
                          <w:b/>
                          <w:bCs/>
                          <w:color w:val="B6A04C"/>
                          <w:sz w:val="20"/>
                          <w:szCs w:val="20"/>
                          <w:lang w:val="fr-FR"/>
                        </w:rPr>
                        <w:t>22-13238</w:t>
                      </w:r>
                    </w:p>
                    <w:p w14:paraId="5846F4F6" w14:textId="77777777" w:rsidR="00C23F91" w:rsidRDefault="00C23F91" w:rsidP="00C23F91">
                      <w:pPr>
                        <w:jc w:val="right"/>
                        <w:rPr>
                          <w:rFonts w:asciiTheme="minorHAnsi" w:hAnsiTheme="minorHAnsi" w:cstheme="minorHAnsi"/>
                          <w:b/>
                          <w:bCs/>
                          <w:sz w:val="20"/>
                          <w:szCs w:val="20"/>
                          <w:lang w:val="fr-FR"/>
                        </w:rPr>
                      </w:pPr>
                    </w:p>
                    <w:p w14:paraId="161F1507" w14:textId="77777777" w:rsidR="00C23F91" w:rsidRPr="00340CD5" w:rsidRDefault="00C23F91" w:rsidP="00C23F91">
                      <w:pPr>
                        <w:jc w:val="both"/>
                        <w:rPr>
                          <w:rFonts w:asciiTheme="minorHAnsi" w:hAnsiTheme="minorHAnsi" w:cstheme="minorHAnsi"/>
                          <w:b/>
                          <w:bCs/>
                          <w:color w:val="2C2D5B"/>
                          <w:sz w:val="20"/>
                          <w:szCs w:val="20"/>
                        </w:rPr>
                      </w:pPr>
                      <w:r w:rsidRPr="00340CD5">
                        <w:rPr>
                          <w:rFonts w:asciiTheme="minorHAnsi" w:hAnsiTheme="minorHAnsi" w:cstheme="minorHAnsi"/>
                          <w:b/>
                          <w:bCs/>
                          <w:color w:val="2C2D5B"/>
                          <w:sz w:val="20"/>
                          <w:szCs w:val="20"/>
                        </w:rPr>
                        <w:t xml:space="preserve">Facts : </w:t>
                      </w:r>
                    </w:p>
                    <w:p w14:paraId="5C6C6894" w14:textId="3E8686B0" w:rsidR="00C23F91" w:rsidRPr="00340CD5" w:rsidRDefault="00C23F91" w:rsidP="00C23F91">
                      <w:pPr>
                        <w:jc w:val="both"/>
                        <w:rPr>
                          <w:rFonts w:asciiTheme="minorHAnsi" w:hAnsiTheme="minorHAnsi" w:cstheme="minorHAnsi"/>
                          <w:color w:val="2C2D5B"/>
                          <w:sz w:val="20"/>
                          <w:szCs w:val="20"/>
                        </w:rPr>
                      </w:pPr>
                      <w:r w:rsidRPr="00340CD5">
                        <w:rPr>
                          <w:rFonts w:asciiTheme="minorHAnsi" w:hAnsiTheme="minorHAnsi" w:cstheme="minorHAnsi"/>
                          <w:color w:val="2C2D5B"/>
                          <w:sz w:val="20"/>
                          <w:szCs w:val="20"/>
                        </w:rPr>
                        <w:t>The case concerned employees who, alleging discrimination due to their</w:t>
                      </w:r>
                      <w:r w:rsidR="00036943" w:rsidRPr="00340CD5">
                        <w:rPr>
                          <w:rFonts w:asciiTheme="minorHAnsi" w:hAnsiTheme="minorHAnsi" w:cstheme="minorHAnsi"/>
                          <w:color w:val="2C2D5B"/>
                          <w:sz w:val="20"/>
                          <w:szCs w:val="20"/>
                        </w:rPr>
                        <w:t xml:space="preserve"> trade</w:t>
                      </w:r>
                      <w:r w:rsidRPr="00340CD5">
                        <w:rPr>
                          <w:rFonts w:asciiTheme="minorHAnsi" w:hAnsiTheme="minorHAnsi" w:cstheme="minorHAnsi"/>
                          <w:color w:val="2C2D5B"/>
                          <w:sz w:val="20"/>
                          <w:szCs w:val="20"/>
                        </w:rPr>
                        <w:t xml:space="preserve"> union activitie</w:t>
                      </w:r>
                      <w:r w:rsidR="00036943" w:rsidRPr="00340CD5">
                        <w:rPr>
                          <w:rFonts w:asciiTheme="minorHAnsi" w:hAnsiTheme="minorHAnsi" w:cstheme="minorHAnsi"/>
                          <w:color w:val="2C2D5B"/>
                          <w:sz w:val="20"/>
                          <w:szCs w:val="20"/>
                        </w:rPr>
                        <w:t xml:space="preserve">s, sought to obtain information about other employees’ career progress and salaries to substantiate their claims. The employer objected citing data protection concerns under the General Data Protection Regulation (GDPR). </w:t>
                      </w:r>
                    </w:p>
                    <w:p w14:paraId="35075197" w14:textId="77777777" w:rsidR="008D7DA6" w:rsidRPr="00340CD5" w:rsidRDefault="008D7DA6" w:rsidP="00C23F91">
                      <w:pPr>
                        <w:jc w:val="both"/>
                        <w:rPr>
                          <w:rFonts w:asciiTheme="minorHAnsi" w:hAnsiTheme="minorHAnsi" w:cstheme="minorHAnsi"/>
                          <w:color w:val="2C2D5B"/>
                          <w:sz w:val="20"/>
                          <w:szCs w:val="20"/>
                        </w:rPr>
                      </w:pPr>
                    </w:p>
                    <w:p w14:paraId="50618219" w14:textId="78E410E3" w:rsidR="008D7DA6" w:rsidRPr="00340CD5" w:rsidRDefault="008D7DA6" w:rsidP="00C23F91">
                      <w:pPr>
                        <w:jc w:val="both"/>
                        <w:rPr>
                          <w:rFonts w:asciiTheme="minorHAnsi" w:hAnsiTheme="minorHAnsi" w:cstheme="minorHAnsi"/>
                          <w:b/>
                          <w:bCs/>
                          <w:color w:val="2C2D5B"/>
                          <w:sz w:val="20"/>
                          <w:szCs w:val="20"/>
                        </w:rPr>
                      </w:pPr>
                      <w:r w:rsidRPr="00340CD5">
                        <w:rPr>
                          <w:rFonts w:asciiTheme="minorHAnsi" w:hAnsiTheme="minorHAnsi" w:cstheme="minorHAnsi"/>
                          <w:b/>
                          <w:bCs/>
                          <w:color w:val="2C2D5B"/>
                          <w:sz w:val="20"/>
                          <w:szCs w:val="20"/>
                        </w:rPr>
                        <w:t>Ruling</w:t>
                      </w:r>
                      <w:r w:rsidR="00340CD5" w:rsidRPr="00340CD5">
                        <w:rPr>
                          <w:rFonts w:asciiTheme="minorHAnsi" w:hAnsiTheme="minorHAnsi" w:cstheme="minorHAnsi"/>
                          <w:b/>
                          <w:bCs/>
                          <w:color w:val="2C2D5B"/>
                          <w:sz w:val="20"/>
                          <w:szCs w:val="20"/>
                        </w:rPr>
                        <w:t xml:space="preserve"> </w:t>
                      </w:r>
                      <w:r w:rsidRPr="00340CD5">
                        <w:rPr>
                          <w:rFonts w:asciiTheme="minorHAnsi" w:hAnsiTheme="minorHAnsi" w:cstheme="minorHAnsi"/>
                          <w:b/>
                          <w:bCs/>
                          <w:color w:val="2C2D5B"/>
                          <w:sz w:val="20"/>
                          <w:szCs w:val="20"/>
                        </w:rPr>
                        <w:t xml:space="preserve">: </w:t>
                      </w:r>
                    </w:p>
                    <w:p w14:paraId="47575D64" w14:textId="2FE19F63" w:rsidR="008D7DA6" w:rsidRPr="00340CD5" w:rsidRDefault="008D7DA6" w:rsidP="00327D5A">
                      <w:pPr>
                        <w:jc w:val="both"/>
                        <w:rPr>
                          <w:rFonts w:asciiTheme="minorHAnsi" w:hAnsiTheme="minorHAnsi" w:cstheme="minorHAnsi"/>
                          <w:color w:val="2C2D5B"/>
                          <w:sz w:val="20"/>
                          <w:szCs w:val="20"/>
                        </w:rPr>
                      </w:pPr>
                      <w:r w:rsidRPr="00340CD5">
                        <w:rPr>
                          <w:rFonts w:asciiTheme="minorHAnsi" w:hAnsiTheme="minorHAnsi" w:cstheme="minorHAnsi"/>
                          <w:color w:val="2C2D5B"/>
                          <w:sz w:val="20"/>
                          <w:szCs w:val="20"/>
                        </w:rPr>
                        <w:t>The Court held that providing names and pay information of other employees was necessary and proportionate to substantiate claims of discrimination, and did not disproportionately infringe privacy. Citing the GDPR and the EChFR, the court clarified that data protection is not absolute but must be balanced against other fundamental rights, such as the right to a fair trial. The court emphasised that protecting individuals’ right to evidence in discrimination cases justified the limited data disclosure</w:t>
                      </w:r>
                      <w:r w:rsidR="00340CD5" w:rsidRPr="00340CD5">
                        <w:rPr>
                          <w:rFonts w:asciiTheme="minorHAnsi" w:hAnsiTheme="minorHAnsi" w:cstheme="minorHAnsi"/>
                          <w:color w:val="2C2D5B"/>
                          <w:sz w:val="20"/>
                          <w:szCs w:val="20"/>
                        </w:rPr>
                        <w:t>.</w:t>
                      </w:r>
                    </w:p>
                  </w:txbxContent>
                </v:textbox>
                <w10:wrap type="square" anchorx="margin"/>
              </v:roundrect>
            </w:pict>
          </mc:Fallback>
        </mc:AlternateContent>
      </w:r>
      <w:r w:rsidR="002666CC" w:rsidRPr="00D851B5">
        <w:rPr>
          <w:rFonts w:ascii="Calibri" w:hAnsi="Calibri" w:cs="Calibri"/>
          <w:b/>
          <w:bCs/>
          <w:i/>
          <w:iCs/>
          <w:color w:val="2F5496" w:themeColor="accent1" w:themeShade="BF"/>
        </w:rPr>
        <w:t xml:space="preserve">Right of access to individual information on discrimination and data protection </w:t>
      </w:r>
    </w:p>
    <w:p w14:paraId="31E5E84E" w14:textId="259666F3" w:rsidR="00A33A89" w:rsidRDefault="00ED05AB" w:rsidP="00C85D0E">
      <w:pPr>
        <w:rPr>
          <w:rFonts w:ascii="Calibri" w:hAnsi="Calibri" w:cs="Calibri"/>
          <w:bCs/>
          <w:color w:val="0070C0"/>
          <w:sz w:val="32"/>
          <w:szCs w:val="32"/>
        </w:rPr>
      </w:pPr>
      <w:r>
        <w:rPr>
          <w:rFonts w:ascii="Calibri" w:hAnsi="Calibri" w:cs="Calibri"/>
          <w:bCs/>
          <w:color w:val="0070C0"/>
          <w:sz w:val="32"/>
          <w:szCs w:val="32"/>
        </w:rPr>
        <w:br w:type="page"/>
      </w:r>
    </w:p>
    <w:p w14:paraId="098628FD" w14:textId="77777777" w:rsidR="00C85D0E" w:rsidRPr="00C85D0E" w:rsidRDefault="00C85D0E" w:rsidP="00C85D0E">
      <w:pPr>
        <w:rPr>
          <w:rFonts w:ascii="Calibri" w:hAnsi="Calibri" w:cs="Calibri"/>
          <w:bCs/>
          <w:color w:val="0070C0"/>
          <w:sz w:val="16"/>
          <w:szCs w:val="16"/>
        </w:rPr>
      </w:pPr>
    </w:p>
    <w:p w14:paraId="5681DAA1" w14:textId="2A107626" w:rsidR="00A0055A" w:rsidRPr="00C85D0E" w:rsidRDefault="00C85D0E" w:rsidP="00C85D0E">
      <w:pPr>
        <w:pStyle w:val="Nadpis1"/>
        <w:ind w:left="1080"/>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A300E">
        <w:rPr>
          <w:rFonts w:ascii="Calibri" w:hAnsi="Calibri" w:cs="Calibri"/>
          <w:b/>
          <w:bCs/>
          <w:noProof/>
          <w:color w:val="FFFFFF" w:themeColor="background1"/>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Contextual"/>
        </w:rPr>
        <mc:AlternateContent>
          <mc:Choice Requires="wps">
            <w:drawing>
              <wp:anchor distT="0" distB="0" distL="114300" distR="114300" simplePos="0" relativeHeight="251870208" behindDoc="0" locked="0" layoutInCell="1" allowOverlap="1" wp14:anchorId="52AC1948" wp14:editId="03A3101E">
                <wp:simplePos x="0" y="0"/>
                <wp:positionH relativeFrom="column">
                  <wp:posOffset>695246</wp:posOffset>
                </wp:positionH>
                <wp:positionV relativeFrom="paragraph">
                  <wp:posOffset>612433</wp:posOffset>
                </wp:positionV>
                <wp:extent cx="586740" cy="45085"/>
                <wp:effectExtent l="38100" t="38100" r="60960" b="88265"/>
                <wp:wrapNone/>
                <wp:docPr id="209032392" name="Rectangle 63"/>
                <wp:cNvGraphicFramePr/>
                <a:graphic xmlns:a="http://schemas.openxmlformats.org/drawingml/2006/main">
                  <a:graphicData uri="http://schemas.microsoft.com/office/word/2010/wordprocessingShape">
                    <wps:wsp>
                      <wps:cNvSpPr/>
                      <wps:spPr>
                        <a:xfrm>
                          <a:off x="0" y="0"/>
                          <a:ext cx="586740" cy="45085"/>
                        </a:xfrm>
                        <a:prstGeom prst="rect">
                          <a:avLst/>
                        </a:prstGeom>
                        <a:solidFill>
                          <a:srgbClr val="B6A04C"/>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3DE8F16" id="Rectangle 63" o:spid="_x0000_s1026" style="position:absolute;margin-left:54.75pt;margin-top:48.2pt;width:46.2pt;height:3.55pt;z-index:251870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xMk0wIAABIGAAAOAAAAZHJzL2Uyb0RvYy54bWysVFFv2jAQfp+0/2D5fU1g0DLUUDGqTpOq&#10;FpVOfTaOQ6w5tmcbAvv1u7NDYG2fpvFgfPHdd9999t31zb5RZCecl0YXdHCRUyI0N6XUm4L+eL77&#10;NKHEB6ZLpowWBT0IT29mHz9ct3YqhqY2qhSOAIj209YWtA7BTrPM81o0zF8YKzQcVsY1LIDpNlnp&#10;WAvojcqGeX6ZtcaV1hkuvIevt+mQziJ+VQkeHqvKi0BUQYFbiKuL6xrXbHbNphvHbC15R4P9A4uG&#10;SQ1Je6hbFhjZOvkGqpHcGW+qcMFNk5mqklzEGqCaQf6qmlXNrIi1gDje9jL5/wfLH3Yru3QgQ2v9&#10;1MMWq9hXrsF/4Ef2UaxDL5bYB8Lh43hyeTUCSTkcjcb5ZIxaZqdY63z4JkxDcFNQB1cRFWK7ex+S&#10;69EFU3mjZHknlYqG26wXypEdg2v7ejnPR4sO/S83pdFZGwxLiOmLiBcPaWIN2yDcqi5bslZb98RK&#10;oJ5PcmBeSiT2eTJIBryK4VWOP0qY2sBzDooSZ8KLDHW8CtQAIZF3T2+tGP+ZKlO2ZonzKMKcqgTv&#10;KI45konWGc/sJH/chYMSmErpJ1ERWYLgw5gkdoboszPOhQ6DdFSzUqT8gzGWkfL3ETFnBETkCkTr&#10;sTsA7Lq32Amm88fQxLsPTqL0aRKDI7EU3EfEzEaHPriR2rj3KlNQVZc5+QP9M2lwuzblYenwiuIb&#10;9ZbfSbiae+bDkjnoY7hJmE3hEZZKmbagpttRUhv3+73v6A/tBaeUtDAXCup/bZkTlKjvGhrvy2CE&#10;rz5EYzS+GoLhzk/W5yd62ywMvOEBTEHL4xb9gzpuK2eaFxhhc8wKR0xzyF1QHtzRWIQ0r2AIcjGf&#10;RzcYHpaFe72yHMFRVXyUz/sX5mzXcQE69cEcZwibvmq85IuR2sy3wVQyduVJ105vGDzx4XRDEifb&#10;uR29TqN89gcAAP//AwBQSwMEFAAGAAgAAAAhAODOvFLbAAAACgEAAA8AAABkcnMvZG93bnJldi54&#10;bWxMj0FOwzAQRfdI3MEaJHbUbpuUJo1TIaqIdQsHcOMhiRqPo9htwu2ZrmD59Z/+vCn2s+vFDcfQ&#10;edKwXCgQSLW3HTUavj6rly2IEA1Z03tCDT8YYF8+PhQmt36iI95OsRE8QiE3GtoYh1zKULfoTFj4&#10;AYm7bz86EzmOjbSjmXjc9XKl1EY60xFfaM2A7y3Wl9PVafiYksqqOpEO16/HWG0PaWUPWj8/zW87&#10;EBHn+AfDXZ/VoWSns7+SDaLnrLKUUQ3ZJgHBwEotMxDne7NOQZaF/P9C+QsAAP//AwBQSwECLQAU&#10;AAYACAAAACEAtoM4kv4AAADhAQAAEwAAAAAAAAAAAAAAAAAAAAAAW0NvbnRlbnRfVHlwZXNdLnht&#10;bFBLAQItABQABgAIAAAAIQA4/SH/1gAAAJQBAAALAAAAAAAAAAAAAAAAAC8BAABfcmVscy8ucmVs&#10;c1BLAQItABQABgAIAAAAIQCvgxMk0wIAABIGAAAOAAAAAAAAAAAAAAAAAC4CAABkcnMvZTJvRG9j&#10;LnhtbFBLAQItABQABgAIAAAAIQDgzrxS2wAAAAoBAAAPAAAAAAAAAAAAAAAAAC0FAABkcnMvZG93&#10;bnJldi54bWxQSwUGAAAAAAQABADzAAAANQYAAAAA&#10;" fillcolor="#b6a04c" stroked="f" strokeweight="1pt">
                <v:shadow on="t" color="black" opacity="26214f" origin="-.5,-.5" offset=".74836mm,.74836mm"/>
              </v:rect>
            </w:pict>
          </mc:Fallback>
        </mc:AlternateContent>
      </w:r>
      <w:r w:rsidR="00A33A89" w:rsidRPr="00C85D0E">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APPENDIX </w:t>
      </w:r>
      <w:r w:rsidR="00A33A89" w:rsidRPr="006C3DBB">
        <w:rPr>
          <w:rFonts w:ascii="Calibri" w:hAnsi="Calibri" w:cs="Calibri"/>
          <w:b/>
          <w:bCs/>
          <w:color w:val="B6A04C"/>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3</w:t>
      </w:r>
      <w:r>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A33A89" w:rsidRPr="00C85D0E">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SPAIN</w:t>
      </w:r>
    </w:p>
    <w:p w14:paraId="3421ABD6" w14:textId="596706C8" w:rsidR="00A33A89" w:rsidRPr="006C3DBB" w:rsidRDefault="00A33A89" w:rsidP="00A33A89">
      <w:pPr>
        <w:spacing w:after="120" w:line="276" w:lineRule="auto"/>
        <w:jc w:val="center"/>
        <w:rPr>
          <w:rFonts w:ascii="Calibri" w:hAnsi="Calibri" w:cs="Calibri"/>
          <w:bCs/>
          <w:color w:val="0070C0"/>
          <w:sz w:val="22"/>
          <w:szCs w:val="22"/>
        </w:rPr>
      </w:pPr>
    </w:p>
    <w:p w14:paraId="537AB647" w14:textId="7226FB64" w:rsidR="00A0055A" w:rsidRPr="00C85D0E" w:rsidRDefault="00A0055A" w:rsidP="00C85D0E">
      <w:pPr>
        <w:spacing w:after="120" w:line="276" w:lineRule="auto"/>
        <w:ind w:left="708" w:hanging="992"/>
        <w:jc w:val="both"/>
        <w:rPr>
          <w:rFonts w:ascii="Calibri" w:hAnsi="Calibri" w:cs="Calibri"/>
          <w:b/>
          <w:color w:val="0070C0"/>
          <w:sz w:val="32"/>
          <w:szCs w:val="32"/>
        </w:rPr>
      </w:pPr>
      <w:r w:rsidRPr="00C85D0E">
        <w:rPr>
          <w:rFonts w:ascii="Calibri" w:hAnsi="Calibri" w:cs="Calibri"/>
          <w:b/>
          <w:color w:val="B6A04C"/>
          <w:sz w:val="32"/>
          <w:szCs w:val="32"/>
        </w:rPr>
        <w:t xml:space="preserve">3.1 </w:t>
      </w:r>
      <w:r w:rsidRPr="006C3DBB">
        <w:rPr>
          <w:rFonts w:ascii="Calibri" w:hAnsi="Calibri" w:cs="Calibri"/>
          <w:b/>
          <w:color w:val="2F5496" w:themeColor="accent1" w:themeShade="BF"/>
          <w:sz w:val="32"/>
          <w:szCs w:val="32"/>
        </w:rPr>
        <w:t xml:space="preserve">Integration of the EChFR into Spanish constitutional framework  </w:t>
      </w:r>
    </w:p>
    <w:p w14:paraId="48E9466D" w14:textId="77D385AF" w:rsidR="005052A1" w:rsidRPr="00C85D0E" w:rsidRDefault="0030456A" w:rsidP="00740BB9">
      <w:pPr>
        <w:spacing w:after="120" w:line="276" w:lineRule="auto"/>
        <w:jc w:val="both"/>
        <w:rPr>
          <w:rFonts w:asciiTheme="majorHAnsi" w:hAnsiTheme="majorHAnsi" w:cstheme="majorHAnsi"/>
          <w:bCs/>
          <w:color w:val="2C2D5B"/>
        </w:rPr>
      </w:pPr>
      <w:r w:rsidRPr="00C85D0E">
        <w:rPr>
          <w:rFonts w:asciiTheme="majorHAnsi" w:hAnsiTheme="majorHAnsi" w:cstheme="majorHAnsi"/>
          <w:bCs/>
          <w:color w:val="2C2D5B"/>
        </w:rPr>
        <w:t xml:space="preserve">The integration of the </w:t>
      </w:r>
      <w:r w:rsidR="005052A1" w:rsidRPr="00C85D0E">
        <w:rPr>
          <w:rFonts w:asciiTheme="majorHAnsi" w:hAnsiTheme="majorHAnsi" w:cstheme="majorHAnsi"/>
          <w:bCs/>
          <w:color w:val="2C2D5B"/>
        </w:rPr>
        <w:t xml:space="preserve">EChFR </w:t>
      </w:r>
      <w:r w:rsidRPr="00C85D0E">
        <w:rPr>
          <w:rFonts w:asciiTheme="majorHAnsi" w:hAnsiTheme="majorHAnsi" w:cstheme="majorHAnsi"/>
          <w:bCs/>
          <w:color w:val="2C2D5B"/>
        </w:rPr>
        <w:t>into the Spanish legal system has been a controversial issue, especially due to the doctrinal changes adopted by the Constitutional Court. The Spanish Constitution includes two relevant provisions in this regard</w:t>
      </w:r>
      <w:r w:rsidR="005052A1" w:rsidRPr="00C85D0E">
        <w:rPr>
          <w:rFonts w:asciiTheme="majorHAnsi" w:hAnsiTheme="majorHAnsi" w:cstheme="majorHAnsi"/>
          <w:bCs/>
          <w:color w:val="2C2D5B"/>
        </w:rPr>
        <w:t xml:space="preserve">: </w:t>
      </w:r>
    </w:p>
    <w:p w14:paraId="4EA04B76" w14:textId="52AAF996" w:rsidR="005052A1" w:rsidRPr="00C85D0E" w:rsidRDefault="005052A1" w:rsidP="00253E61">
      <w:pPr>
        <w:pStyle w:val="Odstavecseseznamem"/>
        <w:numPr>
          <w:ilvl w:val="0"/>
          <w:numId w:val="19"/>
        </w:numPr>
        <w:spacing w:after="120" w:line="276" w:lineRule="auto"/>
        <w:jc w:val="both"/>
        <w:rPr>
          <w:rFonts w:asciiTheme="majorHAnsi" w:hAnsiTheme="majorHAnsi" w:cstheme="majorHAnsi"/>
          <w:bCs/>
          <w:color w:val="2C2D5B"/>
        </w:rPr>
      </w:pPr>
      <w:r w:rsidRPr="00C85D0E">
        <w:rPr>
          <w:rFonts w:asciiTheme="majorHAnsi" w:hAnsiTheme="majorHAnsi" w:cstheme="majorHAnsi"/>
          <w:b/>
          <w:color w:val="2C2D5B"/>
        </w:rPr>
        <w:t xml:space="preserve">Article 93 </w:t>
      </w:r>
      <w:r w:rsidRPr="00C85D0E">
        <w:rPr>
          <w:rFonts w:asciiTheme="majorHAnsi" w:hAnsiTheme="majorHAnsi" w:cstheme="majorHAnsi"/>
          <w:bCs/>
          <w:color w:val="2C2D5B"/>
        </w:rPr>
        <w:t xml:space="preserve">of the Spanish Constitution mandates that </w:t>
      </w:r>
      <w:r w:rsidR="0030456A" w:rsidRPr="00C85D0E">
        <w:rPr>
          <w:rFonts w:asciiTheme="majorHAnsi" w:hAnsiTheme="majorHAnsi" w:cstheme="majorHAnsi"/>
          <w:bCs/>
          <w:color w:val="2C2D5B"/>
        </w:rPr>
        <w:t xml:space="preserve">judges ensure the direct effectiveness and primacy of the </w:t>
      </w:r>
      <w:r w:rsidRPr="00C85D0E">
        <w:rPr>
          <w:rFonts w:asciiTheme="majorHAnsi" w:hAnsiTheme="majorHAnsi" w:cstheme="majorHAnsi"/>
          <w:bCs/>
          <w:color w:val="2C2D5B"/>
        </w:rPr>
        <w:t xml:space="preserve">EChFR </w:t>
      </w:r>
      <w:r w:rsidR="0030456A" w:rsidRPr="00C85D0E">
        <w:rPr>
          <w:rFonts w:asciiTheme="majorHAnsi" w:hAnsiTheme="majorHAnsi" w:cstheme="majorHAnsi"/>
          <w:bCs/>
          <w:color w:val="2C2D5B"/>
        </w:rPr>
        <w:t xml:space="preserve"> when EU law is applied</w:t>
      </w:r>
      <w:r w:rsidRPr="00C85D0E">
        <w:rPr>
          <w:rFonts w:asciiTheme="majorHAnsi" w:hAnsiTheme="majorHAnsi" w:cstheme="majorHAnsi"/>
          <w:bCs/>
          <w:color w:val="2C2D5B"/>
        </w:rPr>
        <w:t xml:space="preserve">, stemming from Spain’s ratification of </w:t>
      </w:r>
      <w:r w:rsidR="0030456A" w:rsidRPr="00C85D0E">
        <w:rPr>
          <w:rFonts w:asciiTheme="majorHAnsi" w:hAnsiTheme="majorHAnsi" w:cstheme="majorHAnsi"/>
          <w:bCs/>
          <w:color w:val="2C2D5B"/>
        </w:rPr>
        <w:t>the EU Treaties and adopt</w:t>
      </w:r>
      <w:r w:rsidRPr="00C85D0E">
        <w:rPr>
          <w:rFonts w:asciiTheme="majorHAnsi" w:hAnsiTheme="majorHAnsi" w:cstheme="majorHAnsi"/>
          <w:bCs/>
          <w:color w:val="2C2D5B"/>
        </w:rPr>
        <w:t>ion of</w:t>
      </w:r>
      <w:r w:rsidR="0030456A" w:rsidRPr="00C85D0E">
        <w:rPr>
          <w:rFonts w:asciiTheme="majorHAnsi" w:hAnsiTheme="majorHAnsi" w:cstheme="majorHAnsi"/>
          <w:bCs/>
          <w:color w:val="2C2D5B"/>
        </w:rPr>
        <w:t xml:space="preserve"> the Community standards.</w:t>
      </w:r>
    </w:p>
    <w:p w14:paraId="317E3F01" w14:textId="3F13672A" w:rsidR="0030456A" w:rsidRPr="00C85D0E" w:rsidRDefault="0030456A" w:rsidP="00253E61">
      <w:pPr>
        <w:pStyle w:val="Odstavecseseznamem"/>
        <w:numPr>
          <w:ilvl w:val="0"/>
          <w:numId w:val="19"/>
        </w:numPr>
        <w:spacing w:after="120" w:line="276" w:lineRule="auto"/>
        <w:jc w:val="both"/>
        <w:rPr>
          <w:rFonts w:asciiTheme="majorHAnsi" w:hAnsiTheme="majorHAnsi" w:cstheme="majorHAnsi"/>
          <w:bCs/>
          <w:color w:val="2C2D5B"/>
        </w:rPr>
      </w:pPr>
      <w:r w:rsidRPr="00C85D0E">
        <w:rPr>
          <w:rFonts w:asciiTheme="majorHAnsi" w:hAnsiTheme="majorHAnsi" w:cstheme="majorHAnsi"/>
          <w:bCs/>
          <w:color w:val="2C2D5B"/>
        </w:rPr>
        <w:t xml:space="preserve"> However, </w:t>
      </w:r>
      <w:r w:rsidR="005052A1" w:rsidRPr="00C85D0E">
        <w:rPr>
          <w:rFonts w:asciiTheme="majorHAnsi" w:hAnsiTheme="majorHAnsi" w:cstheme="majorHAnsi"/>
          <w:b/>
          <w:color w:val="2C2D5B"/>
        </w:rPr>
        <w:t xml:space="preserve">Article 10.2 </w:t>
      </w:r>
      <w:r w:rsidR="005052A1" w:rsidRPr="00C85D0E">
        <w:rPr>
          <w:rFonts w:asciiTheme="majorHAnsi" w:hAnsiTheme="majorHAnsi" w:cstheme="majorHAnsi"/>
          <w:bCs/>
          <w:color w:val="2C2D5B"/>
        </w:rPr>
        <w:t xml:space="preserve">of the Spanish Constitution establishes </w:t>
      </w:r>
      <w:r w:rsidR="00A0055A" w:rsidRPr="00C85D0E">
        <w:rPr>
          <w:rFonts w:asciiTheme="majorHAnsi" w:hAnsiTheme="majorHAnsi" w:cstheme="majorHAnsi"/>
          <w:bCs/>
          <w:color w:val="2C2D5B"/>
        </w:rPr>
        <w:t xml:space="preserve">that </w:t>
      </w:r>
      <w:r w:rsidRPr="00C85D0E">
        <w:rPr>
          <w:rFonts w:asciiTheme="majorHAnsi" w:hAnsiTheme="majorHAnsi" w:cstheme="majorHAnsi"/>
          <w:bCs/>
          <w:color w:val="2C2D5B"/>
        </w:rPr>
        <w:t xml:space="preserve">it is also possible to defend a hermeneutic value to the </w:t>
      </w:r>
      <w:r w:rsidR="00BF6CCE" w:rsidRPr="00C85D0E">
        <w:rPr>
          <w:rFonts w:asciiTheme="majorHAnsi" w:hAnsiTheme="majorHAnsi" w:cstheme="majorHAnsi"/>
          <w:bCs/>
          <w:color w:val="2C2D5B"/>
        </w:rPr>
        <w:t>EChFR</w:t>
      </w:r>
      <w:r w:rsidRPr="00C85D0E">
        <w:rPr>
          <w:rFonts w:asciiTheme="majorHAnsi" w:hAnsiTheme="majorHAnsi" w:cstheme="majorHAnsi"/>
          <w:bCs/>
          <w:color w:val="2C2D5B"/>
        </w:rPr>
        <w:t xml:space="preserve"> to the extent that </w:t>
      </w:r>
      <w:r w:rsidR="00BF6CCE" w:rsidRPr="00C85D0E">
        <w:rPr>
          <w:rFonts w:asciiTheme="majorHAnsi" w:hAnsiTheme="majorHAnsi" w:cstheme="majorHAnsi"/>
          <w:bCs/>
          <w:color w:val="2C2D5B"/>
        </w:rPr>
        <w:t xml:space="preserve">Article </w:t>
      </w:r>
      <w:r w:rsidRPr="00C85D0E">
        <w:rPr>
          <w:rFonts w:asciiTheme="majorHAnsi" w:hAnsiTheme="majorHAnsi" w:cstheme="majorHAnsi"/>
          <w:bCs/>
          <w:color w:val="2C2D5B"/>
        </w:rPr>
        <w:t>refers to “</w:t>
      </w:r>
      <w:r w:rsidRPr="00C85D0E">
        <w:rPr>
          <w:rFonts w:asciiTheme="majorHAnsi" w:hAnsiTheme="majorHAnsi" w:cstheme="majorHAnsi"/>
          <w:bCs/>
          <w:i/>
          <w:iCs/>
          <w:color w:val="2C2D5B"/>
        </w:rPr>
        <w:t>the rules relating to fundamental rights and freedoms recognized by the Constitution</w:t>
      </w:r>
      <w:r w:rsidRPr="00C85D0E">
        <w:rPr>
          <w:rFonts w:asciiTheme="majorHAnsi" w:hAnsiTheme="majorHAnsi" w:cstheme="majorHAnsi"/>
          <w:bCs/>
          <w:color w:val="2C2D5B"/>
        </w:rPr>
        <w:t>”.</w:t>
      </w:r>
    </w:p>
    <w:p w14:paraId="5343DDF5" w14:textId="5BDE2739" w:rsidR="0030456A" w:rsidRPr="00C85D0E" w:rsidRDefault="00BF6CCE" w:rsidP="00740BB9">
      <w:pPr>
        <w:spacing w:after="120" w:line="276" w:lineRule="auto"/>
        <w:jc w:val="both"/>
        <w:rPr>
          <w:rFonts w:asciiTheme="majorHAnsi" w:hAnsiTheme="majorHAnsi" w:cstheme="majorHAnsi"/>
          <w:bCs/>
          <w:color w:val="2C2D5B"/>
        </w:rPr>
      </w:pPr>
      <w:r w:rsidRPr="00C85D0E">
        <w:rPr>
          <w:rFonts w:asciiTheme="majorHAnsi" w:hAnsiTheme="majorHAnsi" w:cstheme="majorHAnsi"/>
          <w:bCs/>
          <w:color w:val="2C2D5B"/>
        </w:rPr>
        <w:t>Initially</w:t>
      </w:r>
      <w:r w:rsidR="0030456A" w:rsidRPr="00C85D0E">
        <w:rPr>
          <w:rFonts w:asciiTheme="majorHAnsi" w:hAnsiTheme="majorHAnsi" w:cstheme="majorHAnsi"/>
          <w:bCs/>
          <w:color w:val="2C2D5B"/>
        </w:rPr>
        <w:t xml:space="preserve">, the Constitutional Court was very cautious when declaring itself competent </w:t>
      </w:r>
      <w:r w:rsidRPr="00C85D0E">
        <w:rPr>
          <w:rFonts w:asciiTheme="majorHAnsi" w:hAnsiTheme="majorHAnsi" w:cstheme="majorHAnsi"/>
          <w:bCs/>
          <w:color w:val="2C2D5B"/>
        </w:rPr>
        <w:t xml:space="preserve">regarding </w:t>
      </w:r>
      <w:r w:rsidR="0030456A" w:rsidRPr="00C85D0E">
        <w:rPr>
          <w:rFonts w:asciiTheme="majorHAnsi" w:hAnsiTheme="majorHAnsi" w:cstheme="majorHAnsi"/>
          <w:bCs/>
          <w:color w:val="2C2D5B"/>
        </w:rPr>
        <w:t xml:space="preserve"> violation</w:t>
      </w:r>
      <w:r w:rsidRPr="00C85D0E">
        <w:rPr>
          <w:rFonts w:asciiTheme="majorHAnsi" w:hAnsiTheme="majorHAnsi" w:cstheme="majorHAnsi"/>
          <w:bCs/>
          <w:color w:val="2C2D5B"/>
        </w:rPr>
        <w:t xml:space="preserve">s </w:t>
      </w:r>
      <w:r w:rsidR="0030456A" w:rsidRPr="00C85D0E">
        <w:rPr>
          <w:rFonts w:asciiTheme="majorHAnsi" w:hAnsiTheme="majorHAnsi" w:cstheme="majorHAnsi"/>
          <w:bCs/>
          <w:color w:val="2C2D5B"/>
        </w:rPr>
        <w:t xml:space="preserve">of rights in the field of European law. </w:t>
      </w:r>
      <w:r w:rsidRPr="00C85D0E">
        <w:rPr>
          <w:rFonts w:asciiTheme="majorHAnsi" w:hAnsiTheme="majorHAnsi" w:cstheme="majorHAnsi"/>
          <w:bCs/>
          <w:color w:val="2C2D5B"/>
        </w:rPr>
        <w:t xml:space="preserve">Prior to the EChFR’s adoption, </w:t>
      </w:r>
      <w:r w:rsidR="0030456A" w:rsidRPr="00C85D0E">
        <w:rPr>
          <w:rFonts w:asciiTheme="majorHAnsi" w:hAnsiTheme="majorHAnsi" w:cstheme="majorHAnsi"/>
          <w:bCs/>
          <w:color w:val="2C2D5B"/>
        </w:rPr>
        <w:t xml:space="preserve"> the Court</w:t>
      </w:r>
      <w:r w:rsidRPr="00C85D0E">
        <w:rPr>
          <w:rFonts w:asciiTheme="majorHAnsi" w:hAnsiTheme="majorHAnsi" w:cstheme="majorHAnsi"/>
          <w:bCs/>
          <w:color w:val="2C2D5B"/>
        </w:rPr>
        <w:t xml:space="preserve"> repeatedly affirmed</w:t>
      </w:r>
      <w:r w:rsidR="0030456A" w:rsidRPr="00C85D0E">
        <w:rPr>
          <w:rFonts w:asciiTheme="majorHAnsi" w:hAnsiTheme="majorHAnsi" w:cstheme="majorHAnsi"/>
          <w:bCs/>
          <w:color w:val="2C2D5B"/>
        </w:rPr>
        <w:t xml:space="preserve"> that “</w:t>
      </w:r>
      <w:r w:rsidR="0030456A" w:rsidRPr="00C85D0E">
        <w:rPr>
          <w:rFonts w:asciiTheme="majorHAnsi" w:hAnsiTheme="majorHAnsi" w:cstheme="majorHAnsi"/>
          <w:bCs/>
          <w:i/>
          <w:iCs/>
          <w:color w:val="2C2D5B"/>
        </w:rPr>
        <w:t>it is not up to the Constitutional Court to monitor the adequacy of the activity of the national public powers to European Community law. This control is the responsibility of the organs of ordinary jurisdiction, as they are enforcers of the Community order and, in their case, the Court of Justice of the European Communities through the infringement procedur</w:t>
      </w:r>
      <w:r w:rsidR="0030456A" w:rsidRPr="00C85D0E">
        <w:rPr>
          <w:rFonts w:asciiTheme="majorHAnsi" w:hAnsiTheme="majorHAnsi" w:cstheme="majorHAnsi"/>
          <w:bCs/>
          <w:color w:val="2C2D5B"/>
        </w:rPr>
        <w:t xml:space="preserve">e” (see Constitutional Court Judgement 372/1993, of December 13, FJ 2; or 265/1996, of September 19, FJ 5). </w:t>
      </w:r>
      <w:r w:rsidRPr="00C85D0E">
        <w:rPr>
          <w:rFonts w:asciiTheme="majorHAnsi" w:hAnsiTheme="majorHAnsi" w:cstheme="majorHAnsi"/>
          <w:bCs/>
          <w:color w:val="2C2D5B"/>
        </w:rPr>
        <w:t>In practice</w:t>
      </w:r>
      <w:r w:rsidR="0030456A" w:rsidRPr="00C85D0E">
        <w:rPr>
          <w:rFonts w:asciiTheme="majorHAnsi" w:hAnsiTheme="majorHAnsi" w:cstheme="majorHAnsi"/>
          <w:bCs/>
          <w:color w:val="2C2D5B"/>
        </w:rPr>
        <w:t xml:space="preserve"> , </w:t>
      </w:r>
      <w:r w:rsidR="006235FE" w:rsidRPr="00C85D0E">
        <w:rPr>
          <w:rFonts w:asciiTheme="majorHAnsi" w:hAnsiTheme="majorHAnsi" w:cstheme="majorHAnsi"/>
          <w:bCs/>
          <w:color w:val="2C2D5B"/>
        </w:rPr>
        <w:t xml:space="preserve">this means that </w:t>
      </w:r>
      <w:r w:rsidR="0030456A" w:rsidRPr="00C85D0E">
        <w:rPr>
          <w:rFonts w:asciiTheme="majorHAnsi" w:hAnsiTheme="majorHAnsi" w:cstheme="majorHAnsi"/>
          <w:bCs/>
          <w:color w:val="2C2D5B"/>
        </w:rPr>
        <w:t xml:space="preserve">the Court </w:t>
      </w:r>
      <w:r w:rsidRPr="00C85D0E">
        <w:rPr>
          <w:rFonts w:asciiTheme="majorHAnsi" w:hAnsiTheme="majorHAnsi" w:cstheme="majorHAnsi"/>
          <w:bCs/>
          <w:color w:val="2C2D5B"/>
        </w:rPr>
        <w:t xml:space="preserve">has rarely </w:t>
      </w:r>
      <w:r w:rsidR="0030456A" w:rsidRPr="00C85D0E">
        <w:rPr>
          <w:rFonts w:asciiTheme="majorHAnsi" w:hAnsiTheme="majorHAnsi" w:cstheme="majorHAnsi"/>
          <w:bCs/>
          <w:color w:val="2C2D5B"/>
        </w:rPr>
        <w:t xml:space="preserve">admitted </w:t>
      </w:r>
      <w:r w:rsidRPr="00C85D0E">
        <w:rPr>
          <w:rFonts w:asciiTheme="majorHAnsi" w:hAnsiTheme="majorHAnsi" w:cstheme="majorHAnsi"/>
          <w:bCs/>
          <w:color w:val="2C2D5B"/>
        </w:rPr>
        <w:t>claims</w:t>
      </w:r>
      <w:r w:rsidR="0030456A" w:rsidRPr="00C85D0E">
        <w:rPr>
          <w:rFonts w:asciiTheme="majorHAnsi" w:hAnsiTheme="majorHAnsi" w:cstheme="majorHAnsi"/>
          <w:bCs/>
          <w:color w:val="2C2D5B"/>
        </w:rPr>
        <w:t xml:space="preserve"> for violation</w:t>
      </w:r>
      <w:r w:rsidRPr="00C85D0E">
        <w:rPr>
          <w:rFonts w:asciiTheme="majorHAnsi" w:hAnsiTheme="majorHAnsi" w:cstheme="majorHAnsi"/>
          <w:bCs/>
          <w:color w:val="2C2D5B"/>
        </w:rPr>
        <w:t>s</w:t>
      </w:r>
      <w:r w:rsidR="0030456A" w:rsidRPr="00C85D0E">
        <w:rPr>
          <w:rFonts w:asciiTheme="majorHAnsi" w:hAnsiTheme="majorHAnsi" w:cstheme="majorHAnsi"/>
          <w:bCs/>
          <w:color w:val="2C2D5B"/>
        </w:rPr>
        <w:t xml:space="preserve"> of effective judicial protection linked to the r</w:t>
      </w:r>
      <w:r w:rsidRPr="00C85D0E">
        <w:rPr>
          <w:rFonts w:asciiTheme="majorHAnsi" w:hAnsiTheme="majorHAnsi" w:cstheme="majorHAnsi"/>
          <w:bCs/>
          <w:color w:val="2C2D5B"/>
        </w:rPr>
        <w:t>eferral</w:t>
      </w:r>
      <w:r w:rsidR="0030456A" w:rsidRPr="00C85D0E">
        <w:rPr>
          <w:rFonts w:asciiTheme="majorHAnsi" w:hAnsiTheme="majorHAnsi" w:cstheme="majorHAnsi"/>
          <w:bCs/>
          <w:color w:val="2C2D5B"/>
        </w:rPr>
        <w:t xml:space="preserve"> of  pre</w:t>
      </w:r>
      <w:r w:rsidRPr="00C85D0E">
        <w:rPr>
          <w:rFonts w:asciiTheme="majorHAnsi" w:hAnsiTheme="majorHAnsi" w:cstheme="majorHAnsi"/>
          <w:bCs/>
          <w:color w:val="2C2D5B"/>
        </w:rPr>
        <w:t>liminary</w:t>
      </w:r>
      <w:r w:rsidR="0030456A" w:rsidRPr="00C85D0E">
        <w:rPr>
          <w:rFonts w:asciiTheme="majorHAnsi" w:hAnsiTheme="majorHAnsi" w:cstheme="majorHAnsi"/>
          <w:bCs/>
          <w:color w:val="2C2D5B"/>
        </w:rPr>
        <w:t xml:space="preserve"> question</w:t>
      </w:r>
      <w:r w:rsidRPr="00C85D0E">
        <w:rPr>
          <w:rFonts w:asciiTheme="majorHAnsi" w:hAnsiTheme="majorHAnsi" w:cstheme="majorHAnsi"/>
          <w:bCs/>
          <w:color w:val="2C2D5B"/>
        </w:rPr>
        <w:t>s</w:t>
      </w:r>
      <w:r w:rsidR="0030456A" w:rsidRPr="00C85D0E">
        <w:rPr>
          <w:rFonts w:asciiTheme="majorHAnsi" w:hAnsiTheme="majorHAnsi" w:cstheme="majorHAnsi"/>
          <w:bCs/>
          <w:color w:val="2C2D5B"/>
        </w:rPr>
        <w:t xml:space="preserve"> or</w:t>
      </w:r>
      <w:r w:rsidRPr="00C85D0E">
        <w:rPr>
          <w:rFonts w:asciiTheme="majorHAnsi" w:hAnsiTheme="majorHAnsi" w:cstheme="majorHAnsi"/>
          <w:bCs/>
          <w:color w:val="2C2D5B"/>
        </w:rPr>
        <w:t xml:space="preserve"> to issues around</w:t>
      </w:r>
      <w:r w:rsidR="0030456A" w:rsidRPr="00C85D0E">
        <w:rPr>
          <w:rFonts w:asciiTheme="majorHAnsi" w:hAnsiTheme="majorHAnsi" w:cstheme="majorHAnsi"/>
          <w:bCs/>
          <w:color w:val="2C2D5B"/>
        </w:rPr>
        <w:t xml:space="preserve"> the correct interpretation of the CJEU</w:t>
      </w:r>
      <w:r w:rsidRPr="00C85D0E">
        <w:rPr>
          <w:rFonts w:asciiTheme="majorHAnsi" w:hAnsiTheme="majorHAnsi" w:cstheme="majorHAnsi"/>
          <w:bCs/>
          <w:color w:val="2C2D5B"/>
        </w:rPr>
        <w:t xml:space="preserve"> jurisprudence. When it did so, the Constitutional Court</w:t>
      </w:r>
      <w:r w:rsidR="0030456A" w:rsidRPr="00C85D0E">
        <w:rPr>
          <w:rFonts w:asciiTheme="majorHAnsi" w:hAnsiTheme="majorHAnsi" w:cstheme="majorHAnsi"/>
          <w:bCs/>
          <w:color w:val="2C2D5B"/>
        </w:rPr>
        <w:t xml:space="preserve"> limit</w:t>
      </w:r>
      <w:r w:rsidRPr="00C85D0E">
        <w:rPr>
          <w:rFonts w:asciiTheme="majorHAnsi" w:hAnsiTheme="majorHAnsi" w:cstheme="majorHAnsi"/>
          <w:bCs/>
          <w:color w:val="2C2D5B"/>
        </w:rPr>
        <w:t>ed</w:t>
      </w:r>
      <w:r w:rsidR="0030456A" w:rsidRPr="00C85D0E">
        <w:rPr>
          <w:rFonts w:asciiTheme="majorHAnsi" w:hAnsiTheme="majorHAnsi" w:cstheme="majorHAnsi"/>
          <w:bCs/>
          <w:color w:val="2C2D5B"/>
        </w:rPr>
        <w:t xml:space="preserve"> its</w:t>
      </w:r>
      <w:r w:rsidR="00A60AF0" w:rsidRPr="00C85D0E">
        <w:rPr>
          <w:rFonts w:asciiTheme="majorHAnsi" w:hAnsiTheme="majorHAnsi" w:cstheme="majorHAnsi"/>
          <w:bCs/>
          <w:color w:val="2C2D5B"/>
        </w:rPr>
        <w:t xml:space="preserve"> role strictly to </w:t>
      </w:r>
      <w:r w:rsidR="0030456A" w:rsidRPr="00C85D0E">
        <w:rPr>
          <w:rFonts w:asciiTheme="majorHAnsi" w:hAnsiTheme="majorHAnsi" w:cstheme="majorHAnsi"/>
          <w:bCs/>
          <w:color w:val="2C2D5B"/>
        </w:rPr>
        <w:t xml:space="preserve">determining the distribution of jurisdiction (see, Constitutional Court Judgement 145/2012, of July 2, known as </w:t>
      </w:r>
      <w:r w:rsidR="0030456A" w:rsidRPr="00C85D0E">
        <w:rPr>
          <w:rFonts w:asciiTheme="majorHAnsi" w:hAnsiTheme="majorHAnsi" w:cstheme="majorHAnsi"/>
          <w:bCs/>
          <w:i/>
          <w:color w:val="2C2D5B"/>
        </w:rPr>
        <w:t>Iberdrola case</w:t>
      </w:r>
      <w:r w:rsidR="0030456A" w:rsidRPr="00C85D0E">
        <w:rPr>
          <w:rFonts w:asciiTheme="majorHAnsi" w:hAnsiTheme="majorHAnsi" w:cstheme="majorHAnsi"/>
          <w:bCs/>
          <w:color w:val="2C2D5B"/>
        </w:rPr>
        <w:t>).</w:t>
      </w:r>
    </w:p>
    <w:p w14:paraId="5C830239" w14:textId="3A3ACA1F" w:rsidR="00C85D0E" w:rsidRDefault="00A60AF0" w:rsidP="00740BB9">
      <w:pPr>
        <w:spacing w:after="120" w:line="276" w:lineRule="auto"/>
        <w:jc w:val="both"/>
        <w:rPr>
          <w:rFonts w:asciiTheme="majorHAnsi" w:hAnsiTheme="majorHAnsi" w:cstheme="majorHAnsi"/>
          <w:bCs/>
          <w:color w:val="2C2D5B"/>
        </w:rPr>
      </w:pPr>
      <w:r w:rsidRPr="00C85D0E">
        <w:rPr>
          <w:rFonts w:asciiTheme="majorHAnsi" w:hAnsiTheme="majorHAnsi" w:cstheme="majorHAnsi"/>
          <w:bCs/>
          <w:color w:val="2C2D5B"/>
        </w:rPr>
        <w:t xml:space="preserve">The </w:t>
      </w:r>
      <w:r w:rsidR="0030456A" w:rsidRPr="00C85D0E">
        <w:rPr>
          <w:rFonts w:asciiTheme="majorHAnsi" w:hAnsiTheme="majorHAnsi" w:cstheme="majorHAnsi"/>
          <w:bCs/>
          <w:color w:val="2C2D5B"/>
        </w:rPr>
        <w:t>Constitutional Court</w:t>
      </w:r>
      <w:r w:rsidRPr="00C85D0E">
        <w:rPr>
          <w:rFonts w:asciiTheme="majorHAnsi" w:hAnsiTheme="majorHAnsi" w:cstheme="majorHAnsi"/>
          <w:bCs/>
          <w:color w:val="2C2D5B"/>
        </w:rPr>
        <w:t xml:space="preserve"> subsequently</w:t>
      </w:r>
      <w:r w:rsidR="0030456A" w:rsidRPr="00C85D0E">
        <w:rPr>
          <w:rFonts w:asciiTheme="majorHAnsi" w:hAnsiTheme="majorHAnsi" w:cstheme="majorHAnsi"/>
          <w:bCs/>
          <w:color w:val="2C2D5B"/>
        </w:rPr>
        <w:t xml:space="preserve"> developed a controversial doctrine </w:t>
      </w:r>
      <w:r w:rsidRPr="00C85D0E">
        <w:rPr>
          <w:rFonts w:asciiTheme="majorHAnsi" w:hAnsiTheme="majorHAnsi" w:cstheme="majorHAnsi"/>
          <w:bCs/>
          <w:color w:val="2C2D5B"/>
        </w:rPr>
        <w:t xml:space="preserve">to address </w:t>
      </w:r>
      <w:r w:rsidR="0030456A" w:rsidRPr="00C85D0E">
        <w:rPr>
          <w:rFonts w:asciiTheme="majorHAnsi" w:hAnsiTheme="majorHAnsi" w:cstheme="majorHAnsi"/>
          <w:bCs/>
          <w:color w:val="2C2D5B"/>
        </w:rPr>
        <w:t xml:space="preserve"> </w:t>
      </w:r>
      <w:r w:rsidRPr="00C85D0E">
        <w:rPr>
          <w:rFonts w:asciiTheme="majorHAnsi" w:hAnsiTheme="majorHAnsi" w:cstheme="majorHAnsi"/>
          <w:bCs/>
          <w:color w:val="2C2D5B"/>
        </w:rPr>
        <w:t xml:space="preserve">potential </w:t>
      </w:r>
      <w:r w:rsidR="0030456A" w:rsidRPr="00C85D0E">
        <w:rPr>
          <w:rFonts w:asciiTheme="majorHAnsi" w:hAnsiTheme="majorHAnsi" w:cstheme="majorHAnsi"/>
          <w:bCs/>
          <w:color w:val="2C2D5B"/>
        </w:rPr>
        <w:t>conflicts between guarantees:</w:t>
      </w:r>
      <w:r w:rsidRPr="00C85D0E">
        <w:rPr>
          <w:rFonts w:asciiTheme="majorHAnsi" w:hAnsiTheme="majorHAnsi" w:cstheme="majorHAnsi"/>
          <w:bCs/>
          <w:color w:val="2C2D5B"/>
        </w:rPr>
        <w:t xml:space="preserve"> namely, between</w:t>
      </w:r>
      <w:r w:rsidR="0030456A" w:rsidRPr="00C85D0E">
        <w:rPr>
          <w:rFonts w:asciiTheme="majorHAnsi" w:hAnsiTheme="majorHAnsi" w:cstheme="majorHAnsi"/>
          <w:bCs/>
          <w:color w:val="2C2D5B"/>
        </w:rPr>
        <w:t xml:space="preserve"> internal regulation </w:t>
      </w:r>
      <w:r w:rsidRPr="00C85D0E">
        <w:rPr>
          <w:rFonts w:asciiTheme="majorHAnsi" w:hAnsiTheme="majorHAnsi" w:cstheme="majorHAnsi"/>
          <w:bCs/>
          <w:color w:val="2C2D5B"/>
        </w:rPr>
        <w:t>and</w:t>
      </w:r>
      <w:r w:rsidR="0030456A" w:rsidRPr="00C85D0E">
        <w:rPr>
          <w:rFonts w:asciiTheme="majorHAnsi" w:hAnsiTheme="majorHAnsi" w:cstheme="majorHAnsi"/>
          <w:bCs/>
          <w:color w:val="2C2D5B"/>
        </w:rPr>
        <w:t xml:space="preserve"> </w:t>
      </w:r>
      <w:r w:rsidRPr="00C85D0E">
        <w:rPr>
          <w:rFonts w:asciiTheme="majorHAnsi" w:hAnsiTheme="majorHAnsi" w:cstheme="majorHAnsi"/>
          <w:bCs/>
          <w:color w:val="2C2D5B"/>
        </w:rPr>
        <w:t>the EChFR</w:t>
      </w:r>
      <w:r w:rsidR="0030456A" w:rsidRPr="00C85D0E">
        <w:rPr>
          <w:rFonts w:asciiTheme="majorHAnsi" w:hAnsiTheme="majorHAnsi" w:cstheme="majorHAnsi"/>
          <w:bCs/>
          <w:color w:val="2C2D5B"/>
        </w:rPr>
        <w:t>. In Declaration 1/2004, of December 13, the Constitutional Court affirmed that in the event of a “hypothetical” conflict “</w:t>
      </w:r>
      <w:r w:rsidR="0030456A" w:rsidRPr="00C85D0E">
        <w:rPr>
          <w:rFonts w:asciiTheme="majorHAnsi" w:hAnsiTheme="majorHAnsi" w:cstheme="majorHAnsi"/>
          <w:bCs/>
          <w:i/>
          <w:iCs/>
          <w:color w:val="2C2D5B"/>
        </w:rPr>
        <w:t>the application by the national judge, as a European judge, of the fundamental rights of the Charter will have to assume, almost without exception, the simultaneous application of the correlative fundamental national right</w:t>
      </w:r>
      <w:r w:rsidR="0030456A" w:rsidRPr="00C85D0E">
        <w:rPr>
          <w:rFonts w:asciiTheme="majorHAnsi" w:hAnsiTheme="majorHAnsi" w:cstheme="majorHAnsi"/>
          <w:bCs/>
          <w:color w:val="2C2D5B"/>
        </w:rPr>
        <w:t xml:space="preserve">”. This </w:t>
      </w:r>
      <w:r w:rsidRPr="00C85D0E">
        <w:rPr>
          <w:rFonts w:asciiTheme="majorHAnsi" w:hAnsiTheme="majorHAnsi" w:cstheme="majorHAnsi"/>
          <w:bCs/>
          <w:color w:val="2C2D5B"/>
        </w:rPr>
        <w:t xml:space="preserve">approach </w:t>
      </w:r>
      <w:r w:rsidR="0030456A" w:rsidRPr="00C85D0E">
        <w:rPr>
          <w:rFonts w:asciiTheme="majorHAnsi" w:hAnsiTheme="majorHAnsi" w:cstheme="majorHAnsi"/>
          <w:bCs/>
          <w:color w:val="2C2D5B"/>
        </w:rPr>
        <w:t xml:space="preserve">was based on the Constitutional Court’s </w:t>
      </w:r>
      <w:r w:rsidRPr="00C85D0E">
        <w:rPr>
          <w:rFonts w:asciiTheme="majorHAnsi" w:hAnsiTheme="majorHAnsi" w:cstheme="majorHAnsi"/>
          <w:bCs/>
          <w:color w:val="2C2D5B"/>
        </w:rPr>
        <w:t xml:space="preserve">interpretation </w:t>
      </w:r>
      <w:r w:rsidR="0030456A" w:rsidRPr="00C85D0E">
        <w:rPr>
          <w:rFonts w:asciiTheme="majorHAnsi" w:hAnsiTheme="majorHAnsi" w:cstheme="majorHAnsi"/>
          <w:bCs/>
          <w:color w:val="2C2D5B"/>
        </w:rPr>
        <w:t xml:space="preserve">of the </w:t>
      </w:r>
      <w:r w:rsidRPr="00C85D0E">
        <w:rPr>
          <w:rFonts w:asciiTheme="majorHAnsi" w:hAnsiTheme="majorHAnsi" w:cstheme="majorHAnsi"/>
          <w:bCs/>
          <w:color w:val="2C2D5B"/>
        </w:rPr>
        <w:t xml:space="preserve">EChFR </w:t>
      </w:r>
      <w:r w:rsidR="0030456A" w:rsidRPr="00C85D0E">
        <w:rPr>
          <w:rFonts w:asciiTheme="majorHAnsi" w:hAnsiTheme="majorHAnsi" w:cstheme="majorHAnsi"/>
          <w:bCs/>
          <w:color w:val="2C2D5B"/>
        </w:rPr>
        <w:t>and the</w:t>
      </w:r>
      <w:r w:rsidRPr="00C85D0E">
        <w:rPr>
          <w:rFonts w:asciiTheme="majorHAnsi" w:hAnsiTheme="majorHAnsi" w:cstheme="majorHAnsi"/>
          <w:bCs/>
          <w:color w:val="2C2D5B"/>
        </w:rPr>
        <w:t xml:space="preserve"> relevant considerations for</w:t>
      </w:r>
      <w:r w:rsidR="0030456A" w:rsidRPr="00C85D0E">
        <w:rPr>
          <w:rFonts w:asciiTheme="majorHAnsi" w:hAnsiTheme="majorHAnsi" w:cstheme="majorHAnsi"/>
          <w:bCs/>
          <w:color w:val="2C2D5B"/>
        </w:rPr>
        <w:t xml:space="preserve"> national authorities when applying it. </w:t>
      </w:r>
      <w:r w:rsidRPr="00C85D0E">
        <w:rPr>
          <w:rFonts w:asciiTheme="majorHAnsi" w:hAnsiTheme="majorHAnsi" w:cstheme="majorHAnsi"/>
          <w:bCs/>
          <w:color w:val="2C2D5B"/>
        </w:rPr>
        <w:t>Accordingly</w:t>
      </w:r>
      <w:r w:rsidR="0030456A" w:rsidRPr="00C85D0E">
        <w:rPr>
          <w:rFonts w:asciiTheme="majorHAnsi" w:hAnsiTheme="majorHAnsi" w:cstheme="majorHAnsi"/>
          <w:bCs/>
          <w:color w:val="2C2D5B"/>
        </w:rPr>
        <w:t>, the Constitutional Court affirmed that “</w:t>
      </w:r>
      <w:r w:rsidR="0030456A" w:rsidRPr="00C85D0E">
        <w:rPr>
          <w:rFonts w:asciiTheme="majorHAnsi" w:hAnsiTheme="majorHAnsi" w:cstheme="majorHAnsi"/>
          <w:bCs/>
          <w:i/>
          <w:iCs/>
          <w:color w:val="2C2D5B"/>
        </w:rPr>
        <w:t>it is clearly stated that the Charter is conceived, in any case, as a guarantee of minimums, on which the content of each right and freedom can be developed until the density of content</w:t>
      </w:r>
      <w:r w:rsidR="006C3DBB">
        <w:rPr>
          <w:rFonts w:asciiTheme="majorHAnsi" w:hAnsiTheme="majorHAnsi" w:cstheme="majorHAnsi"/>
          <w:bCs/>
          <w:i/>
          <w:iCs/>
          <w:color w:val="2C2D5B"/>
        </w:rPr>
        <w:t xml:space="preserve"> </w:t>
      </w:r>
      <w:r w:rsidR="0030456A" w:rsidRPr="00C85D0E">
        <w:rPr>
          <w:rFonts w:asciiTheme="majorHAnsi" w:hAnsiTheme="majorHAnsi" w:cstheme="majorHAnsi"/>
          <w:bCs/>
          <w:i/>
          <w:iCs/>
          <w:color w:val="2C2D5B"/>
        </w:rPr>
        <w:t>ensured in each case by the internal law</w:t>
      </w:r>
      <w:r w:rsidR="0030456A" w:rsidRPr="00C85D0E">
        <w:rPr>
          <w:rFonts w:asciiTheme="majorHAnsi" w:hAnsiTheme="majorHAnsi" w:cstheme="majorHAnsi"/>
          <w:bCs/>
          <w:color w:val="2C2D5B"/>
        </w:rPr>
        <w:t>”.</w:t>
      </w:r>
      <w:r w:rsidR="00AC6D6C" w:rsidRPr="00C85D0E">
        <w:rPr>
          <w:rFonts w:asciiTheme="majorHAnsi" w:hAnsiTheme="majorHAnsi" w:cstheme="majorHAnsi"/>
          <w:bCs/>
          <w:color w:val="2C2D5B"/>
        </w:rPr>
        <w:t xml:space="preserve"> </w:t>
      </w:r>
    </w:p>
    <w:p w14:paraId="798B61B7" w14:textId="77777777" w:rsidR="00C85D0E" w:rsidRDefault="00C85D0E" w:rsidP="00740BB9">
      <w:pPr>
        <w:spacing w:after="120" w:line="276" w:lineRule="auto"/>
        <w:jc w:val="both"/>
        <w:rPr>
          <w:rFonts w:asciiTheme="majorHAnsi" w:hAnsiTheme="majorHAnsi" w:cstheme="majorHAnsi"/>
          <w:bCs/>
          <w:color w:val="2C2D5B"/>
        </w:rPr>
      </w:pPr>
    </w:p>
    <w:p w14:paraId="2D0CEEC5" w14:textId="77777777" w:rsidR="00C85D0E" w:rsidRDefault="00C85D0E" w:rsidP="00740BB9">
      <w:pPr>
        <w:spacing w:after="120" w:line="276" w:lineRule="auto"/>
        <w:jc w:val="both"/>
        <w:rPr>
          <w:rFonts w:asciiTheme="majorHAnsi" w:hAnsiTheme="majorHAnsi" w:cstheme="majorHAnsi"/>
          <w:bCs/>
          <w:color w:val="2C2D5B"/>
        </w:rPr>
      </w:pPr>
    </w:p>
    <w:p w14:paraId="3FCB5037" w14:textId="77777777" w:rsidR="00C85D0E" w:rsidRDefault="00C85D0E" w:rsidP="00740BB9">
      <w:pPr>
        <w:spacing w:after="120" w:line="276" w:lineRule="auto"/>
        <w:jc w:val="both"/>
        <w:rPr>
          <w:rFonts w:asciiTheme="majorHAnsi" w:hAnsiTheme="majorHAnsi" w:cstheme="majorHAnsi"/>
          <w:bCs/>
          <w:color w:val="2C2D5B"/>
        </w:rPr>
      </w:pPr>
    </w:p>
    <w:p w14:paraId="70AFDA76" w14:textId="77777777" w:rsidR="00C85D0E" w:rsidRDefault="00C85D0E" w:rsidP="00740BB9">
      <w:pPr>
        <w:spacing w:after="120" w:line="276" w:lineRule="auto"/>
        <w:jc w:val="both"/>
        <w:rPr>
          <w:rFonts w:asciiTheme="majorHAnsi" w:hAnsiTheme="majorHAnsi" w:cstheme="majorHAnsi"/>
          <w:bCs/>
          <w:color w:val="2C2D5B"/>
        </w:rPr>
      </w:pPr>
    </w:p>
    <w:p w14:paraId="6DA6DC9D" w14:textId="75D11216" w:rsidR="0030456A" w:rsidRPr="00C85D0E" w:rsidRDefault="00AC6D6C" w:rsidP="00740BB9">
      <w:pPr>
        <w:spacing w:after="120" w:line="276" w:lineRule="auto"/>
        <w:jc w:val="both"/>
        <w:rPr>
          <w:rFonts w:asciiTheme="majorHAnsi" w:hAnsiTheme="majorHAnsi" w:cstheme="majorHAnsi"/>
          <w:bCs/>
          <w:i/>
          <w:iCs/>
          <w:color w:val="2C2D5B"/>
        </w:rPr>
      </w:pPr>
      <w:r w:rsidRPr="00C85D0E">
        <w:rPr>
          <w:rFonts w:asciiTheme="majorHAnsi" w:hAnsiTheme="majorHAnsi" w:cstheme="majorHAnsi"/>
          <w:bCs/>
          <w:color w:val="2C2D5B"/>
        </w:rPr>
        <w:t>Additionally, the Court noted that,</w:t>
      </w:r>
      <w:r w:rsidR="0030456A" w:rsidRPr="00C85D0E">
        <w:rPr>
          <w:rFonts w:asciiTheme="majorHAnsi" w:hAnsiTheme="majorHAnsi" w:cstheme="majorHAnsi"/>
          <w:bCs/>
          <w:color w:val="2C2D5B"/>
        </w:rPr>
        <w:t xml:space="preserve"> in the face of a</w:t>
      </w:r>
      <w:r w:rsidRPr="00C85D0E">
        <w:rPr>
          <w:rFonts w:asciiTheme="majorHAnsi" w:hAnsiTheme="majorHAnsi" w:cstheme="majorHAnsi"/>
          <w:bCs/>
          <w:color w:val="2C2D5B"/>
        </w:rPr>
        <w:t>ny</w:t>
      </w:r>
      <w:r w:rsidR="0030456A" w:rsidRPr="00C85D0E">
        <w:rPr>
          <w:rFonts w:asciiTheme="majorHAnsi" w:hAnsiTheme="majorHAnsi" w:cstheme="majorHAnsi"/>
          <w:bCs/>
          <w:color w:val="2C2D5B"/>
        </w:rPr>
        <w:t xml:space="preserve"> conflict in</w:t>
      </w:r>
      <w:r w:rsidRPr="00C85D0E">
        <w:rPr>
          <w:rFonts w:asciiTheme="majorHAnsi" w:hAnsiTheme="majorHAnsi" w:cstheme="majorHAnsi"/>
          <w:bCs/>
          <w:color w:val="2C2D5B"/>
        </w:rPr>
        <w:t>volving</w:t>
      </w:r>
      <w:r w:rsidR="00E14B09" w:rsidRPr="00C85D0E">
        <w:rPr>
          <w:rFonts w:asciiTheme="majorHAnsi" w:hAnsiTheme="majorHAnsi" w:cstheme="majorHAnsi"/>
          <w:bCs/>
          <w:color w:val="2C2D5B"/>
        </w:rPr>
        <w:t xml:space="preserve"> </w:t>
      </w:r>
      <w:r w:rsidR="0030456A" w:rsidRPr="00C85D0E">
        <w:rPr>
          <w:rFonts w:asciiTheme="majorHAnsi" w:hAnsiTheme="majorHAnsi" w:cstheme="majorHAnsi"/>
          <w:bCs/>
          <w:color w:val="2C2D5B"/>
        </w:rPr>
        <w:t xml:space="preserve"> international obligations</w:t>
      </w:r>
      <w:r w:rsidR="00E14B09" w:rsidRPr="00C85D0E">
        <w:rPr>
          <w:rFonts w:asciiTheme="majorHAnsi" w:hAnsiTheme="majorHAnsi" w:cstheme="majorHAnsi"/>
          <w:bCs/>
          <w:color w:val="2C2D5B"/>
        </w:rPr>
        <w:t>,</w:t>
      </w:r>
      <w:r w:rsidR="0030456A" w:rsidRPr="00C85D0E">
        <w:rPr>
          <w:rFonts w:asciiTheme="majorHAnsi" w:hAnsiTheme="majorHAnsi" w:cstheme="majorHAnsi"/>
          <w:bCs/>
          <w:color w:val="2C2D5B"/>
        </w:rPr>
        <w:t xml:space="preserve"> </w:t>
      </w:r>
      <w:r w:rsidRPr="00C85D0E">
        <w:rPr>
          <w:rFonts w:asciiTheme="majorHAnsi" w:hAnsiTheme="majorHAnsi" w:cstheme="majorHAnsi"/>
          <w:bCs/>
          <w:color w:val="2C2D5B"/>
        </w:rPr>
        <w:t xml:space="preserve">national authorities </w:t>
      </w:r>
      <w:r w:rsidRPr="00C85D0E">
        <w:rPr>
          <w:rFonts w:asciiTheme="majorHAnsi" w:hAnsiTheme="majorHAnsi" w:cstheme="majorHAnsi"/>
          <w:bCs/>
          <w:i/>
          <w:iCs/>
          <w:color w:val="2C2D5B"/>
        </w:rPr>
        <w:t>“</w:t>
      </w:r>
      <w:r w:rsidR="0030456A" w:rsidRPr="00C85D0E">
        <w:rPr>
          <w:rFonts w:asciiTheme="majorHAnsi" w:hAnsiTheme="majorHAnsi" w:cstheme="majorHAnsi"/>
          <w:bCs/>
          <w:i/>
          <w:iCs/>
          <w:color w:val="2C2D5B"/>
        </w:rPr>
        <w:t xml:space="preserve">remain  public </w:t>
      </w:r>
      <w:r w:rsidRPr="00C85D0E">
        <w:rPr>
          <w:rFonts w:asciiTheme="majorHAnsi" w:hAnsiTheme="majorHAnsi" w:cstheme="majorHAnsi"/>
          <w:bCs/>
          <w:i/>
          <w:iCs/>
          <w:color w:val="2C2D5B"/>
        </w:rPr>
        <w:t xml:space="preserve">authorities </w:t>
      </w:r>
      <w:r w:rsidR="0030456A" w:rsidRPr="00C85D0E">
        <w:rPr>
          <w:rFonts w:asciiTheme="majorHAnsi" w:hAnsiTheme="majorHAnsi" w:cstheme="majorHAnsi"/>
          <w:bCs/>
          <w:i/>
          <w:iCs/>
          <w:color w:val="2C2D5B"/>
        </w:rPr>
        <w:t xml:space="preserve"> that </w:t>
      </w:r>
      <w:r w:rsidRPr="00C85D0E">
        <w:rPr>
          <w:rFonts w:asciiTheme="majorHAnsi" w:hAnsiTheme="majorHAnsi" w:cstheme="majorHAnsi"/>
          <w:bCs/>
          <w:i/>
          <w:iCs/>
          <w:color w:val="2C2D5B"/>
        </w:rPr>
        <w:t>are</w:t>
      </w:r>
      <w:r w:rsidR="0030456A" w:rsidRPr="00C85D0E">
        <w:rPr>
          <w:rFonts w:asciiTheme="majorHAnsi" w:hAnsiTheme="majorHAnsi" w:cstheme="majorHAnsi"/>
          <w:bCs/>
          <w:i/>
          <w:iCs/>
          <w:color w:val="2C2D5B"/>
        </w:rPr>
        <w:t xml:space="preserve"> subject to the Constitution</w:t>
      </w:r>
      <w:r w:rsidR="0030456A" w:rsidRPr="00C85D0E">
        <w:rPr>
          <w:rFonts w:asciiTheme="majorHAnsi" w:hAnsiTheme="majorHAnsi" w:cstheme="majorHAnsi"/>
          <w:bCs/>
          <w:color w:val="2C2D5B"/>
        </w:rPr>
        <w:t xml:space="preserve">” (see Constitutional Court Judgement 64/1991, of March 22, </w:t>
      </w:r>
      <w:r w:rsidR="0030456A" w:rsidRPr="00C85D0E">
        <w:rPr>
          <w:rFonts w:asciiTheme="majorHAnsi" w:hAnsiTheme="majorHAnsi" w:cstheme="majorHAnsi"/>
          <w:bCs/>
          <w:i/>
          <w:color w:val="2C2D5B"/>
        </w:rPr>
        <w:t>APESCO</w:t>
      </w:r>
      <w:r w:rsidR="0030456A" w:rsidRPr="00C85D0E">
        <w:rPr>
          <w:rFonts w:asciiTheme="majorHAnsi" w:hAnsiTheme="majorHAnsi" w:cstheme="majorHAnsi"/>
          <w:bCs/>
          <w:color w:val="2C2D5B"/>
        </w:rPr>
        <w:t>, par. 8).</w:t>
      </w:r>
    </w:p>
    <w:p w14:paraId="19137D60" w14:textId="77777777" w:rsidR="00A33A89" w:rsidRPr="00A33A89" w:rsidRDefault="00A33A89" w:rsidP="00740BB9">
      <w:pPr>
        <w:spacing w:after="120" w:line="276" w:lineRule="auto"/>
        <w:jc w:val="both"/>
        <w:rPr>
          <w:rFonts w:asciiTheme="majorHAnsi" w:hAnsiTheme="majorHAnsi" w:cstheme="majorHAnsi"/>
          <w:bCs/>
        </w:rPr>
      </w:pPr>
    </w:p>
    <w:p w14:paraId="15E3DBD8" w14:textId="388119C8" w:rsidR="00E14B09" w:rsidRPr="00C85D0E" w:rsidRDefault="00E14B09" w:rsidP="00C85D0E">
      <w:pPr>
        <w:spacing w:after="120" w:line="276" w:lineRule="auto"/>
        <w:ind w:left="708" w:hanging="992"/>
        <w:jc w:val="both"/>
        <w:rPr>
          <w:rFonts w:ascii="Calibri" w:hAnsi="Calibri" w:cs="Calibri"/>
          <w:b/>
          <w:color w:val="0070C0"/>
          <w:sz w:val="32"/>
          <w:szCs w:val="32"/>
        </w:rPr>
      </w:pPr>
      <w:r w:rsidRPr="00C85D0E">
        <w:rPr>
          <w:rFonts w:ascii="Calibri" w:hAnsi="Calibri" w:cs="Calibri"/>
          <w:b/>
          <w:color w:val="B6A04C"/>
          <w:sz w:val="32"/>
          <w:szCs w:val="32"/>
        </w:rPr>
        <w:t xml:space="preserve">3.2 </w:t>
      </w:r>
      <w:r w:rsidRPr="00D851B5">
        <w:rPr>
          <w:rFonts w:ascii="Calibri" w:hAnsi="Calibri" w:cs="Calibri"/>
          <w:b/>
          <w:color w:val="2F5496" w:themeColor="accent1" w:themeShade="BF"/>
          <w:sz w:val="32"/>
          <w:szCs w:val="32"/>
        </w:rPr>
        <w:t xml:space="preserve">Case study: the </w:t>
      </w:r>
      <w:r w:rsidRPr="00D851B5">
        <w:rPr>
          <w:rFonts w:ascii="Calibri" w:hAnsi="Calibri" w:cs="Calibri"/>
          <w:b/>
          <w:i/>
          <w:iCs/>
          <w:color w:val="2F5496" w:themeColor="accent1" w:themeShade="BF"/>
          <w:sz w:val="32"/>
          <w:szCs w:val="32"/>
        </w:rPr>
        <w:t xml:space="preserve">Melloni case </w:t>
      </w:r>
      <w:r w:rsidRPr="00D851B5">
        <w:rPr>
          <w:rFonts w:ascii="Calibri" w:hAnsi="Calibri" w:cs="Calibri"/>
          <w:b/>
          <w:color w:val="2F5496" w:themeColor="accent1" w:themeShade="BF"/>
          <w:sz w:val="32"/>
          <w:szCs w:val="32"/>
        </w:rPr>
        <w:t xml:space="preserve">and its impact </w:t>
      </w:r>
    </w:p>
    <w:p w14:paraId="356A605B" w14:textId="3D4AA532" w:rsidR="0030456A" w:rsidRPr="00C85D0E" w:rsidRDefault="0030456A" w:rsidP="00740BB9">
      <w:pPr>
        <w:spacing w:after="120" w:line="276" w:lineRule="auto"/>
        <w:jc w:val="both"/>
        <w:rPr>
          <w:rFonts w:asciiTheme="majorHAnsi" w:hAnsiTheme="majorHAnsi" w:cstheme="majorHAnsi"/>
          <w:bCs/>
          <w:color w:val="2C2D5B"/>
        </w:rPr>
      </w:pPr>
      <w:r w:rsidRPr="00C85D0E">
        <w:rPr>
          <w:rFonts w:asciiTheme="majorHAnsi" w:hAnsiTheme="majorHAnsi" w:cstheme="majorHAnsi"/>
          <w:bCs/>
          <w:color w:val="2C2D5B"/>
        </w:rPr>
        <w:t>Years later, the Constitutional Court presented its first preliminary refer</w:t>
      </w:r>
      <w:r w:rsidR="00AC6D6C" w:rsidRPr="00C85D0E">
        <w:rPr>
          <w:rFonts w:asciiTheme="majorHAnsi" w:hAnsiTheme="majorHAnsi" w:cstheme="majorHAnsi"/>
          <w:bCs/>
          <w:color w:val="2C2D5B"/>
        </w:rPr>
        <w:t>ence</w:t>
      </w:r>
      <w:r w:rsidR="00B532D4" w:rsidRPr="00C85D0E">
        <w:rPr>
          <w:rFonts w:asciiTheme="majorHAnsi" w:hAnsiTheme="majorHAnsi" w:cstheme="majorHAnsi"/>
          <w:bCs/>
          <w:color w:val="2C2D5B"/>
        </w:rPr>
        <w:t>, which effectively challenged the established doctrine.</w:t>
      </w:r>
      <w:r w:rsidR="00E14B09" w:rsidRPr="00C85D0E">
        <w:rPr>
          <w:rFonts w:asciiTheme="majorHAnsi" w:hAnsiTheme="majorHAnsi" w:cstheme="majorHAnsi"/>
          <w:bCs/>
          <w:color w:val="2C2D5B"/>
        </w:rPr>
        <w:t xml:space="preserve"> </w:t>
      </w:r>
      <w:r w:rsidRPr="00C85D0E">
        <w:rPr>
          <w:rFonts w:asciiTheme="majorHAnsi" w:hAnsiTheme="majorHAnsi" w:cstheme="majorHAnsi"/>
          <w:bCs/>
          <w:color w:val="2C2D5B"/>
        </w:rPr>
        <w:t>Th</w:t>
      </w:r>
      <w:r w:rsidR="00B532D4" w:rsidRPr="00C85D0E">
        <w:rPr>
          <w:rFonts w:asciiTheme="majorHAnsi" w:hAnsiTheme="majorHAnsi" w:cstheme="majorHAnsi"/>
          <w:bCs/>
          <w:color w:val="2C2D5B"/>
        </w:rPr>
        <w:t xml:space="preserve">is case </w:t>
      </w:r>
      <w:r w:rsidRPr="00C85D0E">
        <w:rPr>
          <w:rFonts w:asciiTheme="majorHAnsi" w:hAnsiTheme="majorHAnsi" w:cstheme="majorHAnsi"/>
          <w:bCs/>
          <w:color w:val="2C2D5B"/>
        </w:rPr>
        <w:t xml:space="preserve"> involved Mr. Meloni</w:t>
      </w:r>
      <w:r w:rsidR="00B532D4" w:rsidRPr="00C85D0E">
        <w:rPr>
          <w:rFonts w:asciiTheme="majorHAnsi" w:hAnsiTheme="majorHAnsi" w:cstheme="majorHAnsi"/>
          <w:bCs/>
          <w:color w:val="2C2D5B"/>
        </w:rPr>
        <w:t>, an Italian citizen,</w:t>
      </w:r>
      <w:r w:rsidRPr="00C85D0E">
        <w:rPr>
          <w:rFonts w:asciiTheme="majorHAnsi" w:hAnsiTheme="majorHAnsi" w:cstheme="majorHAnsi"/>
          <w:bCs/>
          <w:color w:val="2C2D5B"/>
        </w:rPr>
        <w:t xml:space="preserve"> </w:t>
      </w:r>
      <w:r w:rsidR="00B532D4" w:rsidRPr="00C85D0E">
        <w:rPr>
          <w:rFonts w:asciiTheme="majorHAnsi" w:hAnsiTheme="majorHAnsi" w:cstheme="majorHAnsi"/>
          <w:bCs/>
          <w:color w:val="2C2D5B"/>
        </w:rPr>
        <w:t xml:space="preserve">against </w:t>
      </w:r>
      <w:r w:rsidRPr="00C85D0E">
        <w:rPr>
          <w:rFonts w:asciiTheme="majorHAnsi" w:hAnsiTheme="majorHAnsi" w:cstheme="majorHAnsi"/>
          <w:bCs/>
          <w:color w:val="2C2D5B"/>
        </w:rPr>
        <w:t>the Public Prosecutor</w:t>
      </w:r>
      <w:r w:rsidR="00E14B09" w:rsidRPr="00C85D0E">
        <w:rPr>
          <w:rFonts w:asciiTheme="majorHAnsi" w:hAnsiTheme="majorHAnsi" w:cstheme="majorHAnsi"/>
          <w:bCs/>
          <w:color w:val="2C2D5B"/>
        </w:rPr>
        <w:t>,</w:t>
      </w:r>
      <w:r w:rsidRPr="00C85D0E">
        <w:rPr>
          <w:rFonts w:asciiTheme="majorHAnsi" w:hAnsiTheme="majorHAnsi" w:cstheme="majorHAnsi"/>
          <w:bCs/>
          <w:color w:val="2C2D5B"/>
        </w:rPr>
        <w:t xml:space="preserve"> regarding the execution of a European Arrest Warrant issued by  Italian authorities </w:t>
      </w:r>
      <w:r w:rsidR="00B532D4" w:rsidRPr="00C85D0E">
        <w:rPr>
          <w:rFonts w:asciiTheme="majorHAnsi" w:hAnsiTheme="majorHAnsi" w:cstheme="majorHAnsi"/>
          <w:bCs/>
          <w:color w:val="2C2D5B"/>
        </w:rPr>
        <w:t xml:space="preserve">for a criminal conviction </w:t>
      </w:r>
      <w:r w:rsidRPr="00C85D0E">
        <w:rPr>
          <w:rFonts w:asciiTheme="majorHAnsi" w:hAnsiTheme="majorHAnsi" w:cstheme="majorHAnsi"/>
          <w:bCs/>
          <w:color w:val="2C2D5B"/>
        </w:rPr>
        <w:t xml:space="preserve">(CJEU Judgement, </w:t>
      </w:r>
      <w:r w:rsidRPr="00C85D0E">
        <w:rPr>
          <w:rFonts w:asciiTheme="majorHAnsi" w:hAnsiTheme="majorHAnsi" w:cstheme="majorHAnsi"/>
          <w:bCs/>
          <w:i/>
          <w:color w:val="2C2D5B"/>
        </w:rPr>
        <w:t>Melloni</w:t>
      </w:r>
      <w:r w:rsidRPr="00C85D0E">
        <w:rPr>
          <w:rFonts w:asciiTheme="majorHAnsi" w:hAnsiTheme="majorHAnsi" w:cstheme="majorHAnsi"/>
          <w:bCs/>
          <w:color w:val="2C2D5B"/>
        </w:rPr>
        <w:t xml:space="preserve">, C-399/11, ECLI:EU:C :2013:107). The Constitutional Court </w:t>
      </w:r>
      <w:r w:rsidR="00B532D4" w:rsidRPr="00C85D0E">
        <w:rPr>
          <w:rFonts w:asciiTheme="majorHAnsi" w:hAnsiTheme="majorHAnsi" w:cstheme="majorHAnsi"/>
          <w:bCs/>
          <w:color w:val="2C2D5B"/>
        </w:rPr>
        <w:t xml:space="preserve">questioned </w:t>
      </w:r>
      <w:r w:rsidRPr="00C85D0E">
        <w:rPr>
          <w:rFonts w:asciiTheme="majorHAnsi" w:hAnsiTheme="majorHAnsi" w:cstheme="majorHAnsi"/>
          <w:bCs/>
          <w:color w:val="2C2D5B"/>
        </w:rPr>
        <w:t xml:space="preserve">the compatibility of the EAW </w:t>
      </w:r>
      <w:r w:rsidR="00B532D4" w:rsidRPr="00C85D0E">
        <w:rPr>
          <w:rFonts w:asciiTheme="majorHAnsi" w:hAnsiTheme="majorHAnsi" w:cstheme="majorHAnsi"/>
          <w:bCs/>
          <w:color w:val="2C2D5B"/>
        </w:rPr>
        <w:t>for enforcing</w:t>
      </w:r>
      <w:r w:rsidRPr="00C85D0E">
        <w:rPr>
          <w:rFonts w:asciiTheme="majorHAnsi" w:hAnsiTheme="majorHAnsi" w:cstheme="majorHAnsi"/>
          <w:bCs/>
          <w:color w:val="2C2D5B"/>
        </w:rPr>
        <w:t xml:space="preserve"> a sentence handed down </w:t>
      </w:r>
      <w:r w:rsidRPr="00C85D0E">
        <w:rPr>
          <w:rFonts w:asciiTheme="majorHAnsi" w:hAnsiTheme="majorHAnsi" w:cstheme="majorHAnsi"/>
          <w:bCs/>
          <w:i/>
          <w:color w:val="2C2D5B"/>
        </w:rPr>
        <w:t>in absentia</w:t>
      </w:r>
      <w:r w:rsidRPr="00C85D0E">
        <w:rPr>
          <w:rFonts w:asciiTheme="majorHAnsi" w:hAnsiTheme="majorHAnsi" w:cstheme="majorHAnsi"/>
          <w:bCs/>
          <w:color w:val="2C2D5B"/>
        </w:rPr>
        <w:t xml:space="preserve"> </w:t>
      </w:r>
      <w:r w:rsidR="00B532D4" w:rsidRPr="00C85D0E">
        <w:rPr>
          <w:rFonts w:asciiTheme="majorHAnsi" w:hAnsiTheme="majorHAnsi" w:cstheme="majorHAnsi"/>
          <w:bCs/>
          <w:color w:val="2C2D5B"/>
        </w:rPr>
        <w:t>with</w:t>
      </w:r>
      <w:r w:rsidRPr="00C85D0E">
        <w:rPr>
          <w:rFonts w:asciiTheme="majorHAnsi" w:hAnsiTheme="majorHAnsi" w:cstheme="majorHAnsi"/>
          <w:bCs/>
          <w:color w:val="2C2D5B"/>
        </w:rPr>
        <w:t xml:space="preserve"> Article 47</w:t>
      </w:r>
      <w:r w:rsidR="00E14B09" w:rsidRPr="00C85D0E">
        <w:rPr>
          <w:rFonts w:asciiTheme="majorHAnsi" w:hAnsiTheme="majorHAnsi" w:cstheme="majorHAnsi"/>
          <w:bCs/>
          <w:color w:val="2C2D5B"/>
        </w:rPr>
        <w:t xml:space="preserve"> </w:t>
      </w:r>
      <w:r w:rsidR="00B532D4" w:rsidRPr="00C85D0E">
        <w:rPr>
          <w:rFonts w:asciiTheme="majorHAnsi" w:hAnsiTheme="majorHAnsi" w:cstheme="majorHAnsi"/>
          <w:bCs/>
          <w:color w:val="2C2D5B"/>
        </w:rPr>
        <w:t>of the</w:t>
      </w:r>
      <w:r w:rsidRPr="00C85D0E">
        <w:rPr>
          <w:rFonts w:asciiTheme="majorHAnsi" w:hAnsiTheme="majorHAnsi" w:cstheme="majorHAnsi"/>
          <w:bCs/>
          <w:color w:val="2C2D5B"/>
        </w:rPr>
        <w:t xml:space="preserve"> EChFR. At the time, the Spanish Court also </w:t>
      </w:r>
      <w:r w:rsidR="00B532D4" w:rsidRPr="00C85D0E">
        <w:rPr>
          <w:rFonts w:asciiTheme="majorHAnsi" w:hAnsiTheme="majorHAnsi" w:cstheme="majorHAnsi"/>
          <w:bCs/>
          <w:color w:val="2C2D5B"/>
        </w:rPr>
        <w:t xml:space="preserve">sought clarification from </w:t>
      </w:r>
      <w:r w:rsidRPr="00C85D0E">
        <w:rPr>
          <w:rFonts w:asciiTheme="majorHAnsi" w:hAnsiTheme="majorHAnsi" w:cstheme="majorHAnsi"/>
          <w:bCs/>
          <w:color w:val="2C2D5B"/>
        </w:rPr>
        <w:t xml:space="preserve">the CJEU </w:t>
      </w:r>
      <w:r w:rsidR="00B532D4" w:rsidRPr="00C85D0E">
        <w:rPr>
          <w:rFonts w:asciiTheme="majorHAnsi" w:hAnsiTheme="majorHAnsi" w:cstheme="majorHAnsi"/>
          <w:bCs/>
          <w:color w:val="2C2D5B"/>
        </w:rPr>
        <w:t>on</w:t>
      </w:r>
      <w:r w:rsidRPr="00C85D0E">
        <w:rPr>
          <w:rFonts w:asciiTheme="majorHAnsi" w:hAnsiTheme="majorHAnsi" w:cstheme="majorHAnsi"/>
          <w:bCs/>
          <w:color w:val="2C2D5B"/>
        </w:rPr>
        <w:t xml:space="preserve"> the scope of Article 53 </w:t>
      </w:r>
      <w:r w:rsidR="00B532D4" w:rsidRPr="00C85D0E">
        <w:rPr>
          <w:rFonts w:asciiTheme="majorHAnsi" w:hAnsiTheme="majorHAnsi" w:cstheme="majorHAnsi"/>
          <w:bCs/>
          <w:color w:val="2C2D5B"/>
        </w:rPr>
        <w:t xml:space="preserve">of the </w:t>
      </w:r>
      <w:r w:rsidRPr="00C85D0E">
        <w:rPr>
          <w:rFonts w:asciiTheme="majorHAnsi" w:hAnsiTheme="majorHAnsi" w:cstheme="majorHAnsi"/>
          <w:bCs/>
          <w:color w:val="2C2D5B"/>
        </w:rPr>
        <w:t>EChFR</w:t>
      </w:r>
      <w:r w:rsidR="00B532D4" w:rsidRPr="00C85D0E">
        <w:rPr>
          <w:rFonts w:asciiTheme="majorHAnsi" w:hAnsiTheme="majorHAnsi" w:cstheme="majorHAnsi"/>
          <w:bCs/>
          <w:color w:val="2C2D5B"/>
        </w:rPr>
        <w:t>, particularly whether the transfer of Mr. Melloni could be conditioned upon</w:t>
      </w:r>
      <w:r w:rsidR="00A4287E" w:rsidRPr="00C85D0E">
        <w:rPr>
          <w:rFonts w:asciiTheme="majorHAnsi" w:hAnsiTheme="majorHAnsi" w:cstheme="majorHAnsi"/>
          <w:bCs/>
          <w:color w:val="2C2D5B"/>
        </w:rPr>
        <w:t xml:space="preserve"> the possibility of reviewing the conviction in the requesting State to ensure a higher level of protection than provided by EU law</w:t>
      </w:r>
      <w:r w:rsidR="00B8030B" w:rsidRPr="00C85D0E">
        <w:rPr>
          <w:rFonts w:asciiTheme="majorHAnsi" w:hAnsiTheme="majorHAnsi" w:cstheme="majorHAnsi"/>
          <w:bCs/>
          <w:color w:val="2C2D5B"/>
        </w:rPr>
        <w:t>– thereby safeguarding fundamental rights as recognised in the executing Member State’s constitution</w:t>
      </w:r>
      <w:r w:rsidR="00A4287E" w:rsidRPr="00C85D0E">
        <w:rPr>
          <w:rFonts w:asciiTheme="majorHAnsi" w:hAnsiTheme="majorHAnsi" w:cstheme="majorHAnsi"/>
          <w:bCs/>
          <w:color w:val="2C2D5B"/>
        </w:rPr>
        <w:t xml:space="preserve">. </w:t>
      </w:r>
    </w:p>
    <w:p w14:paraId="4CFF5D7F" w14:textId="28714E02" w:rsidR="0030456A" w:rsidRPr="00C85D0E" w:rsidRDefault="0030456A" w:rsidP="00740BB9">
      <w:pPr>
        <w:pStyle w:val="c01pointnumerotealtn"/>
        <w:spacing w:after="120" w:afterAutospacing="0" w:line="276" w:lineRule="auto"/>
        <w:jc w:val="both"/>
        <w:rPr>
          <w:rFonts w:asciiTheme="majorHAnsi" w:hAnsiTheme="majorHAnsi" w:cstheme="majorHAnsi"/>
          <w:color w:val="2C2D5B"/>
          <w:lang w:val="en-GB"/>
        </w:rPr>
      </w:pPr>
      <w:r w:rsidRPr="00C85D0E">
        <w:rPr>
          <w:rFonts w:asciiTheme="majorHAnsi" w:hAnsiTheme="majorHAnsi" w:cstheme="majorHAnsi"/>
          <w:bCs/>
          <w:color w:val="2C2D5B"/>
          <w:lang w:val="en-GB"/>
        </w:rPr>
        <w:t>The CJEU</w:t>
      </w:r>
      <w:r w:rsidR="00B8030B" w:rsidRPr="00C85D0E">
        <w:rPr>
          <w:rFonts w:asciiTheme="majorHAnsi" w:hAnsiTheme="majorHAnsi" w:cstheme="majorHAnsi"/>
          <w:bCs/>
          <w:color w:val="2C2D5B"/>
          <w:lang w:val="en-GB"/>
        </w:rPr>
        <w:t>’s</w:t>
      </w:r>
      <w:r w:rsidRPr="00C85D0E">
        <w:rPr>
          <w:rFonts w:asciiTheme="majorHAnsi" w:hAnsiTheme="majorHAnsi" w:cstheme="majorHAnsi"/>
          <w:bCs/>
          <w:color w:val="2C2D5B"/>
          <w:lang w:val="en-GB"/>
        </w:rPr>
        <w:t xml:space="preserve"> </w:t>
      </w:r>
      <w:r w:rsidR="00A4287E" w:rsidRPr="00C85D0E">
        <w:rPr>
          <w:rFonts w:asciiTheme="majorHAnsi" w:hAnsiTheme="majorHAnsi" w:cstheme="majorHAnsi"/>
          <w:bCs/>
          <w:color w:val="2C2D5B"/>
          <w:lang w:val="en-GB"/>
        </w:rPr>
        <w:t xml:space="preserve">response </w:t>
      </w:r>
      <w:r w:rsidRPr="00C85D0E">
        <w:rPr>
          <w:rFonts w:asciiTheme="majorHAnsi" w:hAnsiTheme="majorHAnsi" w:cstheme="majorHAnsi"/>
          <w:bCs/>
          <w:color w:val="2C2D5B"/>
          <w:lang w:val="en-GB"/>
        </w:rPr>
        <w:t>was conclusive indicating that “</w:t>
      </w:r>
      <w:r w:rsidRPr="00C85D0E">
        <w:rPr>
          <w:rFonts w:asciiTheme="majorHAnsi" w:hAnsiTheme="majorHAnsi" w:cstheme="majorHAnsi"/>
          <w:color w:val="2C2D5B"/>
          <w:lang w:val="en-GB"/>
        </w:rPr>
        <w:t xml:space="preserve">60. </w:t>
      </w:r>
      <w:r w:rsidRPr="00C85D0E">
        <w:rPr>
          <w:rFonts w:asciiTheme="majorHAnsi" w:hAnsiTheme="majorHAnsi" w:cstheme="majorHAnsi"/>
          <w:i/>
          <w:iCs/>
          <w:color w:val="2C2D5B"/>
          <w:lang w:val="en-GB"/>
        </w:rPr>
        <w:t>It is true that Article 53 of the Charter confirms that, where an EU legal act calls for national implementing measures, national authorities and courts remain free to apply national standards of protection of fundamental rights, provided that the level of protection provided for by the Charter, as interpreted by the Court, and the primacy, unity and effectiveness of EU law are not thereby compromised. [...]</w:t>
      </w:r>
      <w:bookmarkStart w:id="20" w:name="point63"/>
      <w:r w:rsidRPr="00C85D0E">
        <w:rPr>
          <w:rFonts w:asciiTheme="majorHAnsi" w:hAnsiTheme="majorHAnsi" w:cstheme="majorHAnsi"/>
          <w:i/>
          <w:iCs/>
          <w:color w:val="2C2D5B"/>
          <w:lang w:val="en-GB"/>
        </w:rPr>
        <w:t xml:space="preserve"> 63</w:t>
      </w:r>
      <w:bookmarkEnd w:id="20"/>
      <w:r w:rsidRPr="00C85D0E">
        <w:rPr>
          <w:rFonts w:asciiTheme="majorHAnsi" w:hAnsiTheme="majorHAnsi" w:cstheme="majorHAnsi"/>
          <w:i/>
          <w:iCs/>
          <w:color w:val="2C2D5B"/>
          <w:lang w:val="en-GB"/>
        </w:rPr>
        <w:t>. [...] allowing a Member State to avail itself of Article53 of the Charter to make the surrender of a person convicted in absentia [...] in order to avoid an adverse effect on the right to a fair trial and the rights of the defense guaranteed by the constitution of the executing Member State, by casting doubt on the uniformity of the standard of protection of fundamental rights […] would undermine the principles of mutual trust and recognition which that decision purports to uphold and would, therefore, compromise the efficacy of that framework decision</w:t>
      </w:r>
      <w:r w:rsidRPr="00C85D0E">
        <w:rPr>
          <w:rFonts w:asciiTheme="majorHAnsi" w:hAnsiTheme="majorHAnsi" w:cstheme="majorHAnsi"/>
          <w:color w:val="2C2D5B"/>
          <w:lang w:val="en-GB"/>
        </w:rPr>
        <w:t>”.</w:t>
      </w:r>
    </w:p>
    <w:p w14:paraId="7BB2B430" w14:textId="61E6A3A3" w:rsidR="0030456A" w:rsidRPr="00C85D0E" w:rsidRDefault="00B8030B" w:rsidP="00740BB9">
      <w:pPr>
        <w:spacing w:after="120" w:line="276" w:lineRule="auto"/>
        <w:jc w:val="both"/>
        <w:rPr>
          <w:rFonts w:asciiTheme="majorHAnsi" w:hAnsiTheme="majorHAnsi" w:cstheme="majorHAnsi"/>
          <w:bCs/>
          <w:color w:val="2C2D5B"/>
        </w:rPr>
      </w:pPr>
      <w:r w:rsidRPr="00C85D0E">
        <w:rPr>
          <w:rFonts w:asciiTheme="majorHAnsi" w:hAnsiTheme="majorHAnsi" w:cstheme="majorHAnsi"/>
          <w:bCs/>
          <w:color w:val="2C2D5B"/>
        </w:rPr>
        <w:t xml:space="preserve">In response to this CJEU ruling, </w:t>
      </w:r>
      <w:r w:rsidR="0030456A" w:rsidRPr="00C85D0E">
        <w:rPr>
          <w:rFonts w:asciiTheme="majorHAnsi" w:hAnsiTheme="majorHAnsi" w:cstheme="majorHAnsi"/>
          <w:bCs/>
          <w:color w:val="2C2D5B"/>
        </w:rPr>
        <w:t xml:space="preserve">the Constitutional Court has opted for the mere </w:t>
      </w:r>
      <w:r w:rsidR="006235FE" w:rsidRPr="00C85D0E">
        <w:rPr>
          <w:rFonts w:asciiTheme="majorHAnsi" w:hAnsiTheme="majorHAnsi" w:cstheme="majorHAnsi"/>
          <w:bCs/>
          <w:color w:val="2C2D5B"/>
        </w:rPr>
        <w:t xml:space="preserve">interpretative </w:t>
      </w:r>
      <w:r w:rsidR="00E36B51" w:rsidRPr="00C85D0E">
        <w:rPr>
          <w:rFonts w:asciiTheme="majorHAnsi" w:hAnsiTheme="majorHAnsi" w:cstheme="majorHAnsi"/>
          <w:bCs/>
          <w:color w:val="2C2D5B"/>
        </w:rPr>
        <w:t xml:space="preserve">value </w:t>
      </w:r>
      <w:r w:rsidR="0030456A" w:rsidRPr="00C85D0E">
        <w:rPr>
          <w:rFonts w:asciiTheme="majorHAnsi" w:hAnsiTheme="majorHAnsi" w:cstheme="majorHAnsi"/>
          <w:bCs/>
          <w:color w:val="2C2D5B"/>
        </w:rPr>
        <w:t xml:space="preserve">of the </w:t>
      </w:r>
      <w:r w:rsidR="00E36B51" w:rsidRPr="00C85D0E">
        <w:rPr>
          <w:rFonts w:asciiTheme="majorHAnsi" w:hAnsiTheme="majorHAnsi" w:cstheme="majorHAnsi"/>
          <w:bCs/>
          <w:color w:val="2C2D5B"/>
        </w:rPr>
        <w:t>EChFR</w:t>
      </w:r>
      <w:r w:rsidR="0030456A" w:rsidRPr="00C85D0E">
        <w:rPr>
          <w:rFonts w:asciiTheme="majorHAnsi" w:hAnsiTheme="majorHAnsi" w:cstheme="majorHAnsi"/>
          <w:bCs/>
          <w:color w:val="2C2D5B"/>
        </w:rPr>
        <w:t xml:space="preserve"> based on Article 10(2) of the Spanish Constitution</w:t>
      </w:r>
      <w:r w:rsidR="00E36B51" w:rsidRPr="00C85D0E">
        <w:rPr>
          <w:rFonts w:asciiTheme="majorHAnsi" w:hAnsiTheme="majorHAnsi" w:cstheme="majorHAnsi"/>
          <w:bCs/>
          <w:color w:val="2C2D5B"/>
        </w:rPr>
        <w:t xml:space="preserve">, thus de-emphasising the principle of primacy </w:t>
      </w:r>
      <w:r w:rsidR="0030456A" w:rsidRPr="00C85D0E">
        <w:rPr>
          <w:rFonts w:asciiTheme="majorHAnsi" w:hAnsiTheme="majorHAnsi" w:cstheme="majorHAnsi"/>
          <w:bCs/>
          <w:color w:val="2C2D5B"/>
        </w:rPr>
        <w:t xml:space="preserve">in accordance with Article 93 of the Spanish Constitution. </w:t>
      </w:r>
      <w:r w:rsidR="004316B2" w:rsidRPr="00C85D0E">
        <w:rPr>
          <w:rFonts w:asciiTheme="majorHAnsi" w:hAnsiTheme="majorHAnsi" w:cstheme="majorHAnsi"/>
          <w:bCs/>
          <w:color w:val="2C2D5B"/>
        </w:rPr>
        <w:t>Consequently</w:t>
      </w:r>
      <w:r w:rsidR="0030456A" w:rsidRPr="00C85D0E">
        <w:rPr>
          <w:rFonts w:asciiTheme="majorHAnsi" w:hAnsiTheme="majorHAnsi" w:cstheme="majorHAnsi"/>
          <w:bCs/>
          <w:color w:val="2C2D5B"/>
        </w:rPr>
        <w:t xml:space="preserve">, the Constitutional Court appears exempt from the direct effectiveness and primacy of the </w:t>
      </w:r>
      <w:r w:rsidR="004316B2" w:rsidRPr="00C85D0E">
        <w:rPr>
          <w:rFonts w:asciiTheme="majorHAnsi" w:hAnsiTheme="majorHAnsi" w:cstheme="majorHAnsi"/>
          <w:bCs/>
          <w:color w:val="2C2D5B"/>
        </w:rPr>
        <w:t xml:space="preserve">EChFR </w:t>
      </w:r>
      <w:r w:rsidR="0030456A" w:rsidRPr="00C85D0E">
        <w:rPr>
          <w:rFonts w:asciiTheme="majorHAnsi" w:hAnsiTheme="majorHAnsi" w:cstheme="majorHAnsi"/>
          <w:bCs/>
          <w:color w:val="2C2D5B"/>
        </w:rPr>
        <w:t>when applying some parts of EU law.</w:t>
      </w:r>
    </w:p>
    <w:p w14:paraId="463C7AF5" w14:textId="77777777" w:rsidR="00C85D0E" w:rsidRDefault="00C85D0E" w:rsidP="00740BB9">
      <w:pPr>
        <w:spacing w:after="120" w:line="276" w:lineRule="auto"/>
        <w:jc w:val="both"/>
        <w:rPr>
          <w:rFonts w:asciiTheme="majorHAnsi" w:hAnsiTheme="majorHAnsi" w:cstheme="majorHAnsi"/>
          <w:bCs/>
        </w:rPr>
      </w:pPr>
    </w:p>
    <w:p w14:paraId="2AD6F63A" w14:textId="77777777" w:rsidR="00C85D0E" w:rsidRDefault="00C85D0E" w:rsidP="00740BB9">
      <w:pPr>
        <w:spacing w:after="120" w:line="276" w:lineRule="auto"/>
        <w:jc w:val="both"/>
        <w:rPr>
          <w:rFonts w:asciiTheme="majorHAnsi" w:hAnsiTheme="majorHAnsi" w:cstheme="majorHAnsi"/>
          <w:bCs/>
        </w:rPr>
      </w:pPr>
    </w:p>
    <w:p w14:paraId="01B3A90D" w14:textId="77777777" w:rsidR="00C85D0E" w:rsidRDefault="00C85D0E" w:rsidP="00740BB9">
      <w:pPr>
        <w:spacing w:after="120" w:line="276" w:lineRule="auto"/>
        <w:jc w:val="both"/>
        <w:rPr>
          <w:rFonts w:asciiTheme="majorHAnsi" w:hAnsiTheme="majorHAnsi" w:cstheme="majorHAnsi"/>
          <w:bCs/>
        </w:rPr>
      </w:pPr>
    </w:p>
    <w:p w14:paraId="29F9D692" w14:textId="77777777" w:rsidR="00C85D0E" w:rsidRDefault="00C85D0E" w:rsidP="00740BB9">
      <w:pPr>
        <w:spacing w:after="120" w:line="276" w:lineRule="auto"/>
        <w:jc w:val="both"/>
        <w:rPr>
          <w:rFonts w:asciiTheme="majorHAnsi" w:hAnsiTheme="majorHAnsi" w:cstheme="majorHAnsi"/>
          <w:bCs/>
        </w:rPr>
      </w:pPr>
    </w:p>
    <w:p w14:paraId="11B79A97" w14:textId="6468F7DD" w:rsidR="0030456A" w:rsidRPr="00C85D0E" w:rsidRDefault="004316B2" w:rsidP="00740BB9">
      <w:pPr>
        <w:spacing w:after="120" w:line="276" w:lineRule="auto"/>
        <w:jc w:val="both"/>
        <w:rPr>
          <w:rFonts w:asciiTheme="majorHAnsi" w:hAnsiTheme="majorHAnsi" w:cstheme="majorHAnsi"/>
          <w:bCs/>
          <w:color w:val="2C2D5B"/>
        </w:rPr>
      </w:pPr>
      <w:r w:rsidRPr="00C85D0E">
        <w:rPr>
          <w:rFonts w:asciiTheme="majorHAnsi" w:hAnsiTheme="majorHAnsi" w:cstheme="majorHAnsi"/>
          <w:bCs/>
          <w:color w:val="2C2D5B"/>
        </w:rPr>
        <w:t>I</w:t>
      </w:r>
      <w:r w:rsidR="0030456A" w:rsidRPr="00C85D0E">
        <w:rPr>
          <w:rFonts w:asciiTheme="majorHAnsi" w:hAnsiTheme="majorHAnsi" w:cstheme="majorHAnsi"/>
          <w:bCs/>
          <w:color w:val="2C2D5B"/>
        </w:rPr>
        <w:t xml:space="preserve">n ordinary Spanish jurisdiction, the application of the </w:t>
      </w:r>
      <w:r w:rsidRPr="00C85D0E">
        <w:rPr>
          <w:rFonts w:asciiTheme="majorHAnsi" w:hAnsiTheme="majorHAnsi" w:cstheme="majorHAnsi"/>
          <w:bCs/>
          <w:color w:val="2C2D5B"/>
        </w:rPr>
        <w:t>EChFR</w:t>
      </w:r>
      <w:r w:rsidR="0030456A" w:rsidRPr="00C85D0E">
        <w:rPr>
          <w:rFonts w:asciiTheme="majorHAnsi" w:hAnsiTheme="majorHAnsi" w:cstheme="majorHAnsi"/>
          <w:bCs/>
          <w:color w:val="2C2D5B"/>
        </w:rPr>
        <w:t xml:space="preserve"> is </w:t>
      </w:r>
      <w:r w:rsidRPr="00C85D0E">
        <w:rPr>
          <w:rFonts w:asciiTheme="majorHAnsi" w:hAnsiTheme="majorHAnsi" w:cstheme="majorHAnsi"/>
          <w:bCs/>
          <w:color w:val="2C2D5B"/>
        </w:rPr>
        <w:t xml:space="preserve">largely confined </w:t>
      </w:r>
      <w:r w:rsidR="0030456A" w:rsidRPr="00C85D0E">
        <w:rPr>
          <w:rFonts w:asciiTheme="majorHAnsi" w:hAnsiTheme="majorHAnsi" w:cstheme="majorHAnsi"/>
          <w:bCs/>
          <w:color w:val="2C2D5B"/>
        </w:rPr>
        <w:t xml:space="preserve">to the direct effect and transposition of Directives. In fact, it is common for Spanish judges to consider the </w:t>
      </w:r>
      <w:r w:rsidRPr="00C85D0E">
        <w:rPr>
          <w:rFonts w:asciiTheme="majorHAnsi" w:hAnsiTheme="majorHAnsi" w:cstheme="majorHAnsi"/>
          <w:bCs/>
          <w:color w:val="2C2D5B"/>
        </w:rPr>
        <w:t>EChFR</w:t>
      </w:r>
      <w:r w:rsidR="0030456A" w:rsidRPr="00C85D0E">
        <w:rPr>
          <w:rFonts w:asciiTheme="majorHAnsi" w:hAnsiTheme="majorHAnsi" w:cstheme="majorHAnsi"/>
          <w:bCs/>
          <w:color w:val="2C2D5B"/>
        </w:rPr>
        <w:t xml:space="preserve"> as an </w:t>
      </w:r>
      <w:r w:rsidR="0030456A" w:rsidRPr="00C85D0E">
        <w:rPr>
          <w:rFonts w:asciiTheme="majorHAnsi" w:hAnsiTheme="majorHAnsi" w:cstheme="majorHAnsi"/>
          <w:b/>
          <w:color w:val="2C2D5B"/>
        </w:rPr>
        <w:t xml:space="preserve">interpretive </w:t>
      </w:r>
      <w:r w:rsidRPr="00C85D0E">
        <w:rPr>
          <w:rFonts w:asciiTheme="majorHAnsi" w:hAnsiTheme="majorHAnsi" w:cstheme="majorHAnsi"/>
          <w:b/>
          <w:color w:val="2C2D5B"/>
        </w:rPr>
        <w:t xml:space="preserve">tool </w:t>
      </w:r>
      <w:r w:rsidRPr="00C85D0E">
        <w:rPr>
          <w:rFonts w:asciiTheme="majorHAnsi" w:hAnsiTheme="majorHAnsi" w:cstheme="majorHAnsi"/>
          <w:bCs/>
          <w:color w:val="2C2D5B"/>
        </w:rPr>
        <w:t>rather than recognising</w:t>
      </w:r>
      <w:r w:rsidR="005D7294" w:rsidRPr="00C85D0E">
        <w:rPr>
          <w:rFonts w:asciiTheme="majorHAnsi" w:hAnsiTheme="majorHAnsi" w:cstheme="majorHAnsi"/>
          <w:bCs/>
          <w:color w:val="2C2D5B"/>
        </w:rPr>
        <w:t xml:space="preserve"> its </w:t>
      </w:r>
      <w:r w:rsidR="0030456A" w:rsidRPr="00C85D0E">
        <w:rPr>
          <w:rFonts w:asciiTheme="majorHAnsi" w:hAnsiTheme="majorHAnsi" w:cstheme="majorHAnsi"/>
          <w:bCs/>
          <w:color w:val="2C2D5B"/>
        </w:rPr>
        <w:t xml:space="preserve">legal value </w:t>
      </w:r>
      <w:r w:rsidRPr="00C85D0E">
        <w:rPr>
          <w:rFonts w:asciiTheme="majorHAnsi" w:hAnsiTheme="majorHAnsi" w:cstheme="majorHAnsi"/>
          <w:bCs/>
          <w:color w:val="2C2D5B"/>
        </w:rPr>
        <w:t>as equivalent to</w:t>
      </w:r>
      <w:r w:rsidR="0030456A" w:rsidRPr="00C85D0E">
        <w:rPr>
          <w:rFonts w:asciiTheme="majorHAnsi" w:hAnsiTheme="majorHAnsi" w:cstheme="majorHAnsi"/>
          <w:bCs/>
          <w:color w:val="2C2D5B"/>
        </w:rPr>
        <w:t xml:space="preserve"> primary law.</w:t>
      </w:r>
    </w:p>
    <w:p w14:paraId="4B51373E" w14:textId="79C348E1" w:rsidR="004316B2" w:rsidRPr="00C85D0E" w:rsidRDefault="0030456A" w:rsidP="00740BB9">
      <w:pPr>
        <w:spacing w:after="120" w:line="276" w:lineRule="auto"/>
        <w:jc w:val="both"/>
        <w:rPr>
          <w:rFonts w:asciiTheme="majorHAnsi" w:hAnsiTheme="majorHAnsi" w:cstheme="majorHAnsi"/>
          <w:bCs/>
          <w:color w:val="2C2D5B"/>
        </w:rPr>
      </w:pPr>
      <w:r w:rsidRPr="00C85D0E">
        <w:rPr>
          <w:rFonts w:asciiTheme="majorHAnsi" w:hAnsiTheme="majorHAnsi" w:cstheme="majorHAnsi"/>
          <w:bCs/>
          <w:color w:val="2C2D5B"/>
        </w:rPr>
        <w:t>The CJEU has defined quite precisely the</w:t>
      </w:r>
      <w:r w:rsidR="004316B2" w:rsidRPr="00C85D0E">
        <w:rPr>
          <w:rFonts w:asciiTheme="majorHAnsi" w:hAnsiTheme="majorHAnsi" w:cstheme="majorHAnsi"/>
          <w:bCs/>
          <w:color w:val="2C2D5B"/>
        </w:rPr>
        <w:t xml:space="preserve"> scope</w:t>
      </w:r>
      <w:r w:rsidRPr="00C85D0E">
        <w:rPr>
          <w:rFonts w:asciiTheme="majorHAnsi" w:hAnsiTheme="majorHAnsi" w:cstheme="majorHAnsi"/>
          <w:bCs/>
          <w:color w:val="2C2D5B"/>
        </w:rPr>
        <w:t xml:space="preserve"> of Article 51 EChFR</w:t>
      </w:r>
      <w:r w:rsidR="004316B2" w:rsidRPr="00C85D0E">
        <w:rPr>
          <w:rFonts w:asciiTheme="majorHAnsi" w:hAnsiTheme="majorHAnsi" w:cstheme="majorHAnsi"/>
          <w:bCs/>
          <w:color w:val="2C2D5B"/>
        </w:rPr>
        <w:t xml:space="preserve"> regarding the</w:t>
      </w:r>
      <w:r w:rsidRPr="00C85D0E">
        <w:rPr>
          <w:rFonts w:asciiTheme="majorHAnsi" w:hAnsiTheme="majorHAnsi" w:cstheme="majorHAnsi"/>
          <w:bCs/>
          <w:color w:val="2C2D5B"/>
        </w:rPr>
        <w:t xml:space="preserve"> </w:t>
      </w:r>
      <w:r w:rsidR="004316B2" w:rsidRPr="00C85D0E">
        <w:rPr>
          <w:rFonts w:asciiTheme="majorHAnsi" w:hAnsiTheme="majorHAnsi" w:cstheme="majorHAnsi"/>
          <w:bCs/>
          <w:color w:val="2C2D5B"/>
        </w:rPr>
        <w:t xml:space="preserve">Charter’s </w:t>
      </w:r>
      <w:r w:rsidRPr="00C85D0E">
        <w:rPr>
          <w:rFonts w:asciiTheme="majorHAnsi" w:hAnsiTheme="majorHAnsi" w:cstheme="majorHAnsi"/>
          <w:bCs/>
          <w:color w:val="2C2D5B"/>
        </w:rPr>
        <w:t xml:space="preserve">applicability  in </w:t>
      </w:r>
      <w:r w:rsidR="004316B2" w:rsidRPr="00C85D0E">
        <w:rPr>
          <w:rFonts w:asciiTheme="majorHAnsi" w:hAnsiTheme="majorHAnsi" w:cstheme="majorHAnsi"/>
          <w:bCs/>
          <w:color w:val="2C2D5B"/>
        </w:rPr>
        <w:t xml:space="preserve">relation </w:t>
      </w:r>
      <w:r w:rsidRPr="00C85D0E">
        <w:rPr>
          <w:rFonts w:asciiTheme="majorHAnsi" w:hAnsiTheme="majorHAnsi" w:cstheme="majorHAnsi"/>
          <w:bCs/>
          <w:color w:val="2C2D5B"/>
        </w:rPr>
        <w:t xml:space="preserve"> </w:t>
      </w:r>
      <w:r w:rsidR="004316B2" w:rsidRPr="00C85D0E">
        <w:rPr>
          <w:rFonts w:asciiTheme="majorHAnsi" w:hAnsiTheme="majorHAnsi" w:cstheme="majorHAnsi"/>
          <w:bCs/>
          <w:color w:val="2C2D5B"/>
        </w:rPr>
        <w:t xml:space="preserve">to </w:t>
      </w:r>
      <w:r w:rsidRPr="00C85D0E">
        <w:rPr>
          <w:rFonts w:asciiTheme="majorHAnsi" w:hAnsiTheme="majorHAnsi" w:cstheme="majorHAnsi"/>
          <w:bCs/>
          <w:color w:val="2C2D5B"/>
        </w:rPr>
        <w:t xml:space="preserve"> </w:t>
      </w:r>
      <w:r w:rsidR="004316B2" w:rsidRPr="00C85D0E">
        <w:rPr>
          <w:rFonts w:asciiTheme="majorHAnsi" w:hAnsiTheme="majorHAnsi" w:cstheme="majorHAnsi"/>
          <w:bCs/>
          <w:color w:val="2C2D5B"/>
        </w:rPr>
        <w:t xml:space="preserve">EU </w:t>
      </w:r>
      <w:r w:rsidRPr="00C85D0E">
        <w:rPr>
          <w:rFonts w:asciiTheme="majorHAnsi" w:hAnsiTheme="majorHAnsi" w:cstheme="majorHAnsi"/>
          <w:bCs/>
          <w:color w:val="2C2D5B"/>
        </w:rPr>
        <w:t>Directives</w:t>
      </w:r>
      <w:r w:rsidR="004316B2" w:rsidRPr="00C85D0E">
        <w:rPr>
          <w:rFonts w:asciiTheme="majorHAnsi" w:hAnsiTheme="majorHAnsi" w:cstheme="majorHAnsi"/>
          <w:bCs/>
          <w:color w:val="2C2D5B"/>
        </w:rPr>
        <w:t>.</w:t>
      </w:r>
      <w:r w:rsidR="005D7294" w:rsidRPr="00C85D0E">
        <w:rPr>
          <w:rFonts w:asciiTheme="majorHAnsi" w:hAnsiTheme="majorHAnsi" w:cstheme="majorHAnsi"/>
          <w:bCs/>
          <w:color w:val="2C2D5B"/>
        </w:rPr>
        <w:t xml:space="preserve"> </w:t>
      </w:r>
      <w:r w:rsidR="004316B2" w:rsidRPr="00C85D0E">
        <w:rPr>
          <w:rFonts w:asciiTheme="majorHAnsi" w:hAnsiTheme="majorHAnsi" w:cstheme="majorHAnsi"/>
          <w:bCs/>
          <w:color w:val="2C2D5B"/>
        </w:rPr>
        <w:t>Specifically</w:t>
      </w:r>
      <w:r w:rsidR="006235FE" w:rsidRPr="00C85D0E">
        <w:rPr>
          <w:rFonts w:asciiTheme="majorHAnsi" w:hAnsiTheme="majorHAnsi" w:cstheme="majorHAnsi"/>
          <w:bCs/>
          <w:color w:val="2C2D5B"/>
        </w:rPr>
        <w:t xml:space="preserve">, </w:t>
      </w:r>
      <w:r w:rsidRPr="00C85D0E">
        <w:rPr>
          <w:rFonts w:asciiTheme="majorHAnsi" w:hAnsiTheme="majorHAnsi" w:cstheme="majorHAnsi"/>
          <w:bCs/>
          <w:color w:val="2C2D5B"/>
        </w:rPr>
        <w:t xml:space="preserve">the transposition of a Directive </w:t>
      </w:r>
      <w:r w:rsidR="004316B2" w:rsidRPr="00C85D0E">
        <w:rPr>
          <w:rFonts w:asciiTheme="majorHAnsi" w:hAnsiTheme="majorHAnsi" w:cstheme="majorHAnsi"/>
          <w:bCs/>
          <w:color w:val="2C2D5B"/>
        </w:rPr>
        <w:t xml:space="preserve">is </w:t>
      </w:r>
      <w:r w:rsidRPr="00C85D0E">
        <w:rPr>
          <w:rFonts w:asciiTheme="majorHAnsi" w:hAnsiTheme="majorHAnsi" w:cstheme="majorHAnsi"/>
          <w:bCs/>
          <w:color w:val="2C2D5B"/>
        </w:rPr>
        <w:t xml:space="preserve">linked to the Charter in two </w:t>
      </w:r>
      <w:r w:rsidR="004316B2" w:rsidRPr="00C85D0E">
        <w:rPr>
          <w:rFonts w:asciiTheme="majorHAnsi" w:hAnsiTheme="majorHAnsi" w:cstheme="majorHAnsi"/>
          <w:bCs/>
          <w:color w:val="2C2D5B"/>
        </w:rPr>
        <w:t xml:space="preserve">main </w:t>
      </w:r>
      <w:r w:rsidRPr="00C85D0E">
        <w:rPr>
          <w:rFonts w:asciiTheme="majorHAnsi" w:hAnsiTheme="majorHAnsi" w:cstheme="majorHAnsi"/>
          <w:bCs/>
          <w:color w:val="2C2D5B"/>
        </w:rPr>
        <w:t>situations</w:t>
      </w:r>
      <w:r w:rsidR="004316B2" w:rsidRPr="00C85D0E">
        <w:rPr>
          <w:rFonts w:asciiTheme="majorHAnsi" w:hAnsiTheme="majorHAnsi" w:cstheme="majorHAnsi"/>
          <w:bCs/>
          <w:color w:val="2C2D5B"/>
        </w:rPr>
        <w:t xml:space="preserve">: </w:t>
      </w:r>
    </w:p>
    <w:p w14:paraId="27E93560" w14:textId="19C25403" w:rsidR="00562BF2" w:rsidRPr="00C85D0E" w:rsidRDefault="0030456A" w:rsidP="00253E61">
      <w:pPr>
        <w:pStyle w:val="Odstavecseseznamem"/>
        <w:numPr>
          <w:ilvl w:val="0"/>
          <w:numId w:val="25"/>
        </w:numPr>
        <w:spacing w:after="120" w:line="276" w:lineRule="auto"/>
        <w:jc w:val="both"/>
        <w:rPr>
          <w:rFonts w:asciiTheme="majorHAnsi" w:hAnsiTheme="majorHAnsi" w:cstheme="majorHAnsi"/>
          <w:bCs/>
          <w:color w:val="2C2D5B"/>
        </w:rPr>
      </w:pPr>
      <w:r w:rsidRPr="00C85D0E">
        <w:rPr>
          <w:rFonts w:asciiTheme="majorHAnsi" w:hAnsiTheme="majorHAnsi" w:cstheme="majorHAnsi"/>
          <w:bCs/>
          <w:color w:val="2C2D5B"/>
        </w:rPr>
        <w:t xml:space="preserve"> Firstly, when </w:t>
      </w:r>
      <w:r w:rsidR="004316B2" w:rsidRPr="00C85D0E">
        <w:rPr>
          <w:rFonts w:asciiTheme="majorHAnsi" w:hAnsiTheme="majorHAnsi" w:cstheme="majorHAnsi"/>
          <w:bCs/>
          <w:color w:val="2C2D5B"/>
        </w:rPr>
        <w:t xml:space="preserve">the Directive’s </w:t>
      </w:r>
      <w:r w:rsidRPr="00C85D0E">
        <w:rPr>
          <w:rFonts w:asciiTheme="majorHAnsi" w:hAnsiTheme="majorHAnsi" w:cstheme="majorHAnsi"/>
          <w:bCs/>
          <w:color w:val="2C2D5B"/>
        </w:rPr>
        <w:t xml:space="preserve">application to </w:t>
      </w:r>
      <w:r w:rsidR="004316B2" w:rsidRPr="00C85D0E">
        <w:rPr>
          <w:rFonts w:asciiTheme="majorHAnsi" w:hAnsiTheme="majorHAnsi" w:cstheme="majorHAnsi"/>
          <w:bCs/>
          <w:color w:val="2C2D5B"/>
        </w:rPr>
        <w:t>a</w:t>
      </w:r>
      <w:r w:rsidRPr="00C85D0E">
        <w:rPr>
          <w:rFonts w:asciiTheme="majorHAnsi" w:hAnsiTheme="majorHAnsi" w:cstheme="majorHAnsi"/>
          <w:bCs/>
          <w:color w:val="2C2D5B"/>
        </w:rPr>
        <w:t xml:space="preserve"> specific case </w:t>
      </w:r>
      <w:r w:rsidR="004316B2" w:rsidRPr="00C85D0E">
        <w:rPr>
          <w:rFonts w:asciiTheme="majorHAnsi" w:hAnsiTheme="majorHAnsi" w:cstheme="majorHAnsi"/>
          <w:bCs/>
          <w:color w:val="2C2D5B"/>
        </w:rPr>
        <w:t>leaves no</w:t>
      </w:r>
      <w:r w:rsidRPr="00C85D0E">
        <w:rPr>
          <w:rFonts w:asciiTheme="majorHAnsi" w:hAnsiTheme="majorHAnsi" w:cstheme="majorHAnsi"/>
          <w:bCs/>
          <w:color w:val="2C2D5B"/>
        </w:rPr>
        <w:t xml:space="preserve"> margin of appreciation</w:t>
      </w:r>
      <w:r w:rsidR="004316B2" w:rsidRPr="00C85D0E">
        <w:rPr>
          <w:rFonts w:asciiTheme="majorHAnsi" w:hAnsiTheme="majorHAnsi" w:cstheme="majorHAnsi"/>
          <w:bCs/>
          <w:color w:val="2C2D5B"/>
        </w:rPr>
        <w:t>, thereby</w:t>
      </w:r>
      <w:r w:rsidR="00562BF2" w:rsidRPr="00C85D0E">
        <w:rPr>
          <w:rFonts w:asciiTheme="majorHAnsi" w:hAnsiTheme="majorHAnsi" w:cstheme="majorHAnsi"/>
          <w:bCs/>
          <w:color w:val="2C2D5B"/>
        </w:rPr>
        <w:t xml:space="preserve"> </w:t>
      </w:r>
      <w:r w:rsidRPr="00C85D0E">
        <w:rPr>
          <w:rFonts w:asciiTheme="majorHAnsi" w:hAnsiTheme="majorHAnsi" w:cstheme="majorHAnsi"/>
          <w:bCs/>
          <w:color w:val="2C2D5B"/>
        </w:rPr>
        <w:t xml:space="preserve">imposing a specific obligation on Member States. </w:t>
      </w:r>
    </w:p>
    <w:p w14:paraId="4BB23DCA" w14:textId="2E7555C7" w:rsidR="0030456A" w:rsidRPr="00C85D0E" w:rsidRDefault="0030456A" w:rsidP="00253E61">
      <w:pPr>
        <w:pStyle w:val="Odstavecseseznamem"/>
        <w:numPr>
          <w:ilvl w:val="0"/>
          <w:numId w:val="25"/>
        </w:numPr>
        <w:spacing w:after="120" w:line="276" w:lineRule="auto"/>
        <w:jc w:val="both"/>
        <w:rPr>
          <w:rFonts w:asciiTheme="majorHAnsi" w:hAnsiTheme="majorHAnsi" w:cstheme="majorHAnsi"/>
          <w:bCs/>
          <w:color w:val="2C2D5B"/>
        </w:rPr>
      </w:pPr>
      <w:r w:rsidRPr="00C85D0E">
        <w:rPr>
          <w:rFonts w:asciiTheme="majorHAnsi" w:hAnsiTheme="majorHAnsi" w:cstheme="majorHAnsi"/>
          <w:bCs/>
          <w:color w:val="2C2D5B"/>
        </w:rPr>
        <w:t>And secondly, when</w:t>
      </w:r>
      <w:r w:rsidR="004735AE" w:rsidRPr="00C85D0E">
        <w:rPr>
          <w:rFonts w:asciiTheme="majorHAnsi" w:hAnsiTheme="majorHAnsi" w:cstheme="majorHAnsi"/>
          <w:bCs/>
          <w:color w:val="2C2D5B"/>
        </w:rPr>
        <w:t xml:space="preserve"> i</w:t>
      </w:r>
      <w:r w:rsidR="00FE5EC6" w:rsidRPr="00C85D0E">
        <w:rPr>
          <w:rFonts w:asciiTheme="majorHAnsi" w:hAnsiTheme="majorHAnsi" w:cstheme="majorHAnsi"/>
          <w:bCs/>
          <w:color w:val="2C2D5B"/>
        </w:rPr>
        <w:t>mplementing</w:t>
      </w:r>
      <w:r w:rsidRPr="00C85D0E">
        <w:rPr>
          <w:rFonts w:asciiTheme="majorHAnsi" w:hAnsiTheme="majorHAnsi" w:cstheme="majorHAnsi"/>
          <w:bCs/>
          <w:color w:val="2C2D5B"/>
        </w:rPr>
        <w:t xml:space="preserve"> the Directive </w:t>
      </w:r>
      <w:r w:rsidR="00562BF2" w:rsidRPr="00C85D0E">
        <w:rPr>
          <w:rFonts w:asciiTheme="majorHAnsi" w:hAnsiTheme="majorHAnsi" w:cstheme="majorHAnsi"/>
          <w:bCs/>
          <w:color w:val="2C2D5B"/>
        </w:rPr>
        <w:t>requires</w:t>
      </w:r>
      <w:r w:rsidRPr="00C85D0E">
        <w:rPr>
          <w:rFonts w:asciiTheme="majorHAnsi" w:hAnsiTheme="majorHAnsi" w:cstheme="majorHAnsi"/>
          <w:bCs/>
          <w:color w:val="2C2D5B"/>
        </w:rPr>
        <w:t xml:space="preserve"> an assessment that may undermine the effectiveness of EU Law.</w:t>
      </w:r>
    </w:p>
    <w:p w14:paraId="0FF94B4C" w14:textId="512103DF" w:rsidR="00ED05AB" w:rsidRPr="00C85D0E" w:rsidRDefault="00B4518C" w:rsidP="00740BB9">
      <w:pPr>
        <w:spacing w:after="120" w:line="276" w:lineRule="auto"/>
        <w:jc w:val="both"/>
        <w:rPr>
          <w:rFonts w:asciiTheme="majorHAnsi" w:hAnsiTheme="majorHAnsi" w:cstheme="majorHAnsi"/>
          <w:bCs/>
          <w:color w:val="2C2D5B"/>
        </w:rPr>
      </w:pPr>
      <w:r w:rsidRPr="00C85D0E">
        <w:rPr>
          <w:rFonts w:asciiTheme="majorHAnsi" w:hAnsiTheme="majorHAnsi" w:cstheme="majorHAnsi"/>
          <w:bCs/>
          <w:color w:val="2C2D5B"/>
        </w:rPr>
        <w:t>Guided</w:t>
      </w:r>
      <w:r w:rsidR="00FE5EC6" w:rsidRPr="00C85D0E">
        <w:rPr>
          <w:rFonts w:asciiTheme="majorHAnsi" w:hAnsiTheme="majorHAnsi" w:cstheme="majorHAnsi"/>
          <w:bCs/>
          <w:color w:val="2C2D5B"/>
        </w:rPr>
        <w:t xml:space="preserve"> </w:t>
      </w:r>
      <w:r w:rsidR="0030456A" w:rsidRPr="00C85D0E">
        <w:rPr>
          <w:rFonts w:asciiTheme="majorHAnsi" w:hAnsiTheme="majorHAnsi" w:cstheme="majorHAnsi"/>
          <w:bCs/>
          <w:color w:val="2C2D5B"/>
        </w:rPr>
        <w:t xml:space="preserve">by the doctrine of the Constitutional Court, the majority of ordinary Spanish </w:t>
      </w:r>
      <w:r w:rsidRPr="00C85D0E">
        <w:rPr>
          <w:rFonts w:asciiTheme="majorHAnsi" w:hAnsiTheme="majorHAnsi" w:cstheme="majorHAnsi"/>
          <w:bCs/>
          <w:color w:val="2C2D5B"/>
        </w:rPr>
        <w:t>court</w:t>
      </w:r>
      <w:r w:rsidR="0030456A" w:rsidRPr="00C85D0E">
        <w:rPr>
          <w:rFonts w:asciiTheme="majorHAnsi" w:hAnsiTheme="majorHAnsi" w:cstheme="majorHAnsi"/>
          <w:bCs/>
          <w:color w:val="2C2D5B"/>
        </w:rPr>
        <w:t xml:space="preserve">s </w:t>
      </w:r>
      <w:r w:rsidRPr="00C85D0E">
        <w:rPr>
          <w:rFonts w:asciiTheme="majorHAnsi" w:hAnsiTheme="majorHAnsi" w:cstheme="majorHAnsi"/>
          <w:bCs/>
          <w:color w:val="2C2D5B"/>
        </w:rPr>
        <w:t>resist</w:t>
      </w:r>
      <w:r w:rsidR="0030456A" w:rsidRPr="00C85D0E">
        <w:rPr>
          <w:rFonts w:asciiTheme="majorHAnsi" w:hAnsiTheme="majorHAnsi" w:cstheme="majorHAnsi"/>
          <w:bCs/>
          <w:color w:val="2C2D5B"/>
        </w:rPr>
        <w:t xml:space="preserve"> the </w:t>
      </w:r>
      <w:r w:rsidRPr="00C85D0E">
        <w:rPr>
          <w:rFonts w:asciiTheme="majorHAnsi" w:hAnsiTheme="majorHAnsi" w:cstheme="majorHAnsi"/>
          <w:bCs/>
          <w:color w:val="2C2D5B"/>
        </w:rPr>
        <w:t>direct</w:t>
      </w:r>
      <w:r w:rsidR="0030456A" w:rsidRPr="00C85D0E">
        <w:rPr>
          <w:rFonts w:asciiTheme="majorHAnsi" w:hAnsiTheme="majorHAnsi" w:cstheme="majorHAnsi"/>
          <w:bCs/>
          <w:color w:val="2C2D5B"/>
        </w:rPr>
        <w:t xml:space="preserve"> application </w:t>
      </w:r>
      <w:r w:rsidRPr="00C85D0E">
        <w:rPr>
          <w:rFonts w:asciiTheme="majorHAnsi" w:hAnsiTheme="majorHAnsi" w:cstheme="majorHAnsi"/>
          <w:bCs/>
          <w:color w:val="2C2D5B"/>
        </w:rPr>
        <w:t>of</w:t>
      </w:r>
      <w:r w:rsidR="0030456A" w:rsidRPr="00C85D0E">
        <w:rPr>
          <w:rFonts w:asciiTheme="majorHAnsi" w:hAnsiTheme="majorHAnsi" w:cstheme="majorHAnsi"/>
          <w:bCs/>
          <w:color w:val="2C2D5B"/>
        </w:rPr>
        <w:t xml:space="preserve"> European Directive</w:t>
      </w:r>
      <w:r w:rsidR="00FE5EC6" w:rsidRPr="00C85D0E">
        <w:rPr>
          <w:rFonts w:asciiTheme="majorHAnsi" w:hAnsiTheme="majorHAnsi" w:cstheme="majorHAnsi"/>
          <w:bCs/>
          <w:color w:val="2C2D5B"/>
        </w:rPr>
        <w:t>s</w:t>
      </w:r>
      <w:r w:rsidRPr="00C85D0E">
        <w:rPr>
          <w:rFonts w:asciiTheme="majorHAnsi" w:hAnsiTheme="majorHAnsi" w:cstheme="majorHAnsi"/>
          <w:bCs/>
          <w:color w:val="2C2D5B"/>
        </w:rPr>
        <w:t>, instead</w:t>
      </w:r>
      <w:r w:rsidR="0030456A" w:rsidRPr="00C85D0E">
        <w:rPr>
          <w:rFonts w:asciiTheme="majorHAnsi" w:hAnsiTheme="majorHAnsi" w:cstheme="majorHAnsi"/>
          <w:bCs/>
          <w:color w:val="2C2D5B"/>
        </w:rPr>
        <w:t xml:space="preserve"> determin</w:t>
      </w:r>
      <w:r w:rsidRPr="00C85D0E">
        <w:rPr>
          <w:rFonts w:asciiTheme="majorHAnsi" w:hAnsiTheme="majorHAnsi" w:cstheme="majorHAnsi"/>
          <w:bCs/>
          <w:color w:val="2C2D5B"/>
        </w:rPr>
        <w:t>ing</w:t>
      </w:r>
      <w:r w:rsidR="0030456A" w:rsidRPr="00C85D0E">
        <w:rPr>
          <w:rFonts w:asciiTheme="majorHAnsi" w:hAnsiTheme="majorHAnsi" w:cstheme="majorHAnsi"/>
          <w:bCs/>
          <w:color w:val="2C2D5B"/>
        </w:rPr>
        <w:t xml:space="preserve"> the</w:t>
      </w:r>
      <w:r w:rsidRPr="00C85D0E">
        <w:rPr>
          <w:rFonts w:asciiTheme="majorHAnsi" w:hAnsiTheme="majorHAnsi" w:cstheme="majorHAnsi"/>
          <w:bCs/>
          <w:color w:val="2C2D5B"/>
        </w:rPr>
        <w:t>ir own</w:t>
      </w:r>
      <w:r w:rsidR="0030456A" w:rsidRPr="00C85D0E">
        <w:rPr>
          <w:rFonts w:asciiTheme="majorHAnsi" w:hAnsiTheme="majorHAnsi" w:cstheme="majorHAnsi"/>
          <w:bCs/>
          <w:color w:val="2C2D5B"/>
        </w:rPr>
        <w:t xml:space="preserve"> margins of appreciation under the Charter. This </w:t>
      </w:r>
      <w:r w:rsidRPr="00C85D0E">
        <w:rPr>
          <w:rFonts w:asciiTheme="majorHAnsi" w:hAnsiTheme="majorHAnsi" w:cstheme="majorHAnsi"/>
          <w:bCs/>
          <w:color w:val="2C2D5B"/>
        </w:rPr>
        <w:t>approach</w:t>
      </w:r>
      <w:r w:rsidR="0030456A" w:rsidRPr="00C85D0E">
        <w:rPr>
          <w:rFonts w:asciiTheme="majorHAnsi" w:hAnsiTheme="majorHAnsi" w:cstheme="majorHAnsi"/>
          <w:bCs/>
          <w:color w:val="2C2D5B"/>
        </w:rPr>
        <w:t xml:space="preserve"> has </w:t>
      </w:r>
      <w:r w:rsidRPr="00C85D0E">
        <w:rPr>
          <w:rFonts w:asciiTheme="majorHAnsi" w:hAnsiTheme="majorHAnsi" w:cstheme="majorHAnsi"/>
          <w:bCs/>
          <w:color w:val="2C2D5B"/>
        </w:rPr>
        <w:t>led</w:t>
      </w:r>
      <w:r w:rsidR="004735AE" w:rsidRPr="00C85D0E">
        <w:rPr>
          <w:rFonts w:asciiTheme="majorHAnsi" w:hAnsiTheme="majorHAnsi" w:cstheme="majorHAnsi"/>
          <w:bCs/>
          <w:color w:val="2C2D5B"/>
        </w:rPr>
        <w:t xml:space="preserve"> </w:t>
      </w:r>
      <w:r w:rsidR="0030456A" w:rsidRPr="00C85D0E">
        <w:rPr>
          <w:rFonts w:asciiTheme="majorHAnsi" w:hAnsiTheme="majorHAnsi" w:cstheme="majorHAnsi"/>
          <w:bCs/>
          <w:color w:val="2C2D5B"/>
        </w:rPr>
        <w:t xml:space="preserve"> to a </w:t>
      </w:r>
      <w:r w:rsidRPr="00C85D0E">
        <w:rPr>
          <w:rFonts w:asciiTheme="majorHAnsi" w:hAnsiTheme="majorHAnsi" w:cstheme="majorHAnsi"/>
          <w:bCs/>
          <w:color w:val="2C2D5B"/>
        </w:rPr>
        <w:t>substantial</w:t>
      </w:r>
      <w:r w:rsidR="00012644" w:rsidRPr="00C85D0E">
        <w:rPr>
          <w:rFonts w:asciiTheme="majorHAnsi" w:hAnsiTheme="majorHAnsi" w:cstheme="majorHAnsi"/>
          <w:bCs/>
          <w:color w:val="2C2D5B"/>
        </w:rPr>
        <w:t xml:space="preserve"> number </w:t>
      </w:r>
      <w:r w:rsidR="0030456A" w:rsidRPr="00C85D0E">
        <w:rPr>
          <w:rFonts w:asciiTheme="majorHAnsi" w:hAnsiTheme="majorHAnsi" w:cstheme="majorHAnsi"/>
          <w:bCs/>
          <w:color w:val="2C2D5B"/>
        </w:rPr>
        <w:t xml:space="preserve">of </w:t>
      </w:r>
      <w:r w:rsidR="00012644" w:rsidRPr="00C85D0E">
        <w:rPr>
          <w:rFonts w:asciiTheme="majorHAnsi" w:hAnsiTheme="majorHAnsi" w:cstheme="majorHAnsi"/>
          <w:bCs/>
          <w:color w:val="2C2D5B"/>
        </w:rPr>
        <w:t>preliminary references</w:t>
      </w:r>
      <w:r w:rsidR="0030456A" w:rsidRPr="00C85D0E">
        <w:rPr>
          <w:rFonts w:asciiTheme="majorHAnsi" w:hAnsiTheme="majorHAnsi" w:cstheme="majorHAnsi"/>
          <w:bCs/>
          <w:color w:val="2C2D5B"/>
        </w:rPr>
        <w:t xml:space="preserve"> regarding the application of the Charter in the case of the Directives. For example,</w:t>
      </w:r>
      <w:r w:rsidR="00012644" w:rsidRPr="00C85D0E">
        <w:rPr>
          <w:rFonts w:asciiTheme="majorHAnsi" w:hAnsiTheme="majorHAnsi" w:cstheme="majorHAnsi"/>
          <w:bCs/>
          <w:color w:val="2C2D5B"/>
        </w:rPr>
        <w:t xml:space="preserve"> notable cases include</w:t>
      </w:r>
      <w:r w:rsidR="0030456A" w:rsidRPr="00C85D0E">
        <w:rPr>
          <w:rFonts w:asciiTheme="majorHAnsi" w:hAnsiTheme="majorHAnsi" w:cstheme="majorHAnsi"/>
          <w:bCs/>
          <w:color w:val="2C2D5B"/>
        </w:rPr>
        <w:t xml:space="preserve"> the </w:t>
      </w:r>
      <w:r w:rsidR="0030456A" w:rsidRPr="00C85D0E">
        <w:rPr>
          <w:rFonts w:asciiTheme="majorHAnsi" w:hAnsiTheme="majorHAnsi" w:cstheme="majorHAnsi"/>
          <w:bCs/>
          <w:i/>
          <w:color w:val="2C2D5B"/>
        </w:rPr>
        <w:t>ASNEF</w:t>
      </w:r>
      <w:r w:rsidR="0030456A" w:rsidRPr="00C85D0E">
        <w:rPr>
          <w:rFonts w:asciiTheme="majorHAnsi" w:hAnsiTheme="majorHAnsi" w:cstheme="majorHAnsi"/>
          <w:bCs/>
          <w:color w:val="2C2D5B"/>
        </w:rPr>
        <w:t xml:space="preserve"> case</w:t>
      </w:r>
      <w:r w:rsidR="00012644" w:rsidRPr="00C85D0E">
        <w:rPr>
          <w:rFonts w:asciiTheme="majorHAnsi" w:hAnsiTheme="majorHAnsi" w:cstheme="majorHAnsi"/>
          <w:bCs/>
          <w:color w:val="2C2D5B"/>
        </w:rPr>
        <w:t xml:space="preserve"> on personal data processing</w:t>
      </w:r>
      <w:r w:rsidR="0030456A" w:rsidRPr="00C85D0E">
        <w:rPr>
          <w:rFonts w:asciiTheme="majorHAnsi" w:hAnsiTheme="majorHAnsi" w:cstheme="majorHAnsi"/>
          <w:bCs/>
          <w:color w:val="2C2D5B"/>
        </w:rPr>
        <w:t xml:space="preserve"> </w:t>
      </w:r>
      <w:r w:rsidR="0030456A" w:rsidRPr="00C85D0E">
        <w:rPr>
          <w:rFonts w:asciiTheme="majorHAnsi" w:hAnsiTheme="majorHAnsi" w:cstheme="majorHAnsi"/>
          <w:bCs/>
          <w:color w:val="B6A04C"/>
        </w:rPr>
        <w:t>(</w:t>
      </w:r>
      <w:hyperlink r:id="rId66" w:history="1">
        <w:r w:rsidR="0030456A" w:rsidRPr="00C85D0E">
          <w:rPr>
            <w:rStyle w:val="Hypertextovodkaz"/>
            <w:rFonts w:asciiTheme="majorHAnsi" w:hAnsiTheme="majorHAnsi" w:cstheme="majorHAnsi"/>
            <w:bCs/>
            <w:color w:val="B6A04C"/>
          </w:rPr>
          <w:t>C-468/10 and C-469/10, ECLI:EU:C:2011:777</w:t>
        </w:r>
      </w:hyperlink>
      <w:r w:rsidR="0030456A" w:rsidRPr="00C85D0E">
        <w:rPr>
          <w:rFonts w:asciiTheme="majorHAnsi" w:hAnsiTheme="majorHAnsi" w:cstheme="majorHAnsi"/>
          <w:bCs/>
          <w:color w:val="B6A04C"/>
        </w:rPr>
        <w:t>)</w:t>
      </w:r>
      <w:r w:rsidR="0030456A" w:rsidRPr="00C85D0E">
        <w:rPr>
          <w:rFonts w:asciiTheme="majorHAnsi" w:hAnsiTheme="majorHAnsi" w:cstheme="majorHAnsi"/>
          <w:bCs/>
          <w:color w:val="2C2D5B"/>
        </w:rPr>
        <w:t xml:space="preserve">; the </w:t>
      </w:r>
      <w:r w:rsidR="0030456A" w:rsidRPr="00C85D0E">
        <w:rPr>
          <w:rFonts w:asciiTheme="majorHAnsi" w:hAnsiTheme="majorHAnsi" w:cstheme="majorHAnsi"/>
          <w:bCs/>
          <w:i/>
          <w:color w:val="2C2D5B"/>
        </w:rPr>
        <w:t>Aziz</w:t>
      </w:r>
      <w:r w:rsidR="0030456A" w:rsidRPr="00C85D0E">
        <w:rPr>
          <w:rFonts w:asciiTheme="majorHAnsi" w:hAnsiTheme="majorHAnsi" w:cstheme="majorHAnsi"/>
          <w:bCs/>
          <w:color w:val="2C2D5B"/>
        </w:rPr>
        <w:t xml:space="preserve"> </w:t>
      </w:r>
      <w:r w:rsidR="0030456A" w:rsidRPr="00C85D0E">
        <w:rPr>
          <w:rFonts w:asciiTheme="majorHAnsi" w:hAnsiTheme="majorHAnsi" w:cstheme="majorHAnsi"/>
          <w:bCs/>
          <w:color w:val="B6A04C"/>
        </w:rPr>
        <w:t>(</w:t>
      </w:r>
      <w:hyperlink r:id="rId67" w:history="1">
        <w:r w:rsidR="0030456A" w:rsidRPr="00C85D0E">
          <w:rPr>
            <w:rStyle w:val="Hypertextovodkaz"/>
            <w:rFonts w:asciiTheme="majorHAnsi" w:hAnsiTheme="majorHAnsi" w:cstheme="majorHAnsi"/>
            <w:bCs/>
            <w:color w:val="B6A04C"/>
          </w:rPr>
          <w:t>C- 415/11, ECLI:EU:C:2013:164)</w:t>
        </w:r>
      </w:hyperlink>
      <w:r w:rsidR="0030456A" w:rsidRPr="00C85D0E">
        <w:rPr>
          <w:rFonts w:asciiTheme="majorHAnsi" w:hAnsiTheme="majorHAnsi" w:cstheme="majorHAnsi"/>
          <w:bCs/>
          <w:color w:val="2C2D5B"/>
        </w:rPr>
        <w:t xml:space="preserve"> and </w:t>
      </w:r>
      <w:r w:rsidR="0030456A" w:rsidRPr="00C85D0E">
        <w:rPr>
          <w:rFonts w:asciiTheme="majorHAnsi" w:hAnsiTheme="majorHAnsi" w:cstheme="majorHAnsi"/>
          <w:bCs/>
          <w:i/>
          <w:color w:val="2C2D5B"/>
        </w:rPr>
        <w:t>Sánchez Morcillo</w:t>
      </w:r>
      <w:r w:rsidR="0030456A" w:rsidRPr="00C85D0E">
        <w:rPr>
          <w:rFonts w:asciiTheme="majorHAnsi" w:hAnsiTheme="majorHAnsi" w:cstheme="majorHAnsi"/>
          <w:bCs/>
          <w:color w:val="2C2D5B"/>
        </w:rPr>
        <w:t xml:space="preserve"> cases </w:t>
      </w:r>
      <w:r w:rsidR="0030456A" w:rsidRPr="00C85D0E">
        <w:rPr>
          <w:rFonts w:asciiTheme="majorHAnsi" w:hAnsiTheme="majorHAnsi" w:cstheme="majorHAnsi"/>
          <w:bCs/>
          <w:color w:val="B6A04C"/>
        </w:rPr>
        <w:t>(</w:t>
      </w:r>
      <w:hyperlink r:id="rId68" w:history="1">
        <w:r w:rsidR="0030456A" w:rsidRPr="00C85D0E">
          <w:rPr>
            <w:rStyle w:val="Hypertextovodkaz"/>
            <w:rFonts w:asciiTheme="majorHAnsi" w:hAnsiTheme="majorHAnsi" w:cstheme="majorHAnsi"/>
            <w:bCs/>
            <w:color w:val="B6A04C"/>
          </w:rPr>
          <w:t>C-169/14, ECLI:EU:C:2014:2099</w:t>
        </w:r>
      </w:hyperlink>
      <w:r w:rsidR="0030456A" w:rsidRPr="00C85D0E">
        <w:rPr>
          <w:rFonts w:asciiTheme="majorHAnsi" w:hAnsiTheme="majorHAnsi" w:cstheme="majorHAnsi"/>
          <w:bCs/>
          <w:color w:val="B6A04C"/>
        </w:rPr>
        <w:t>)</w:t>
      </w:r>
      <w:r w:rsidR="00012644" w:rsidRPr="00C85D0E">
        <w:rPr>
          <w:rFonts w:asciiTheme="majorHAnsi" w:hAnsiTheme="majorHAnsi" w:cstheme="majorHAnsi"/>
          <w:bCs/>
          <w:color w:val="B6A04C"/>
        </w:rPr>
        <w:t xml:space="preserve"> </w:t>
      </w:r>
      <w:r w:rsidR="00012644" w:rsidRPr="00C85D0E">
        <w:rPr>
          <w:rFonts w:asciiTheme="majorHAnsi" w:hAnsiTheme="majorHAnsi" w:cstheme="majorHAnsi"/>
          <w:bCs/>
          <w:color w:val="2C2D5B"/>
        </w:rPr>
        <w:t>on consumers and abusive clauses in mortgage loans</w:t>
      </w:r>
      <w:r w:rsidR="00101708" w:rsidRPr="00C85D0E">
        <w:rPr>
          <w:rFonts w:asciiTheme="majorHAnsi" w:hAnsiTheme="majorHAnsi" w:cstheme="majorHAnsi"/>
          <w:bCs/>
          <w:color w:val="2C2D5B"/>
        </w:rPr>
        <w:t>;</w:t>
      </w:r>
      <w:r w:rsidR="0030456A" w:rsidRPr="00C85D0E">
        <w:rPr>
          <w:rFonts w:asciiTheme="majorHAnsi" w:hAnsiTheme="majorHAnsi" w:cstheme="majorHAnsi"/>
          <w:bCs/>
          <w:color w:val="2C2D5B"/>
        </w:rPr>
        <w:t xml:space="preserve"> the </w:t>
      </w:r>
      <w:r w:rsidR="0030456A" w:rsidRPr="00C85D0E">
        <w:rPr>
          <w:rFonts w:asciiTheme="majorHAnsi" w:hAnsiTheme="majorHAnsi" w:cstheme="majorHAnsi"/>
          <w:bCs/>
          <w:i/>
          <w:color w:val="2C2D5B"/>
        </w:rPr>
        <w:t>Vital Pérez</w:t>
      </w:r>
      <w:r w:rsidR="0030456A" w:rsidRPr="00C85D0E">
        <w:rPr>
          <w:rFonts w:asciiTheme="majorHAnsi" w:hAnsiTheme="majorHAnsi" w:cstheme="majorHAnsi"/>
          <w:bCs/>
          <w:color w:val="2C2D5B"/>
        </w:rPr>
        <w:t xml:space="preserve"> case </w:t>
      </w:r>
      <w:r w:rsidR="0030456A" w:rsidRPr="00C85D0E">
        <w:rPr>
          <w:rFonts w:asciiTheme="majorHAnsi" w:hAnsiTheme="majorHAnsi" w:cstheme="majorHAnsi"/>
          <w:bCs/>
          <w:color w:val="B6A04C"/>
        </w:rPr>
        <w:t>(</w:t>
      </w:r>
      <w:hyperlink r:id="rId69" w:history="1">
        <w:r w:rsidR="0030456A" w:rsidRPr="00C85D0E">
          <w:rPr>
            <w:rStyle w:val="Hypertextovodkaz"/>
            <w:rFonts w:asciiTheme="majorHAnsi" w:hAnsiTheme="majorHAnsi" w:cstheme="majorHAnsi"/>
            <w:bCs/>
            <w:color w:val="B6A04C"/>
          </w:rPr>
          <w:t>C-416/13, ECLI:EU:C:2014:2371</w:t>
        </w:r>
      </w:hyperlink>
      <w:r w:rsidR="0030456A" w:rsidRPr="00C85D0E">
        <w:rPr>
          <w:rFonts w:asciiTheme="majorHAnsi" w:hAnsiTheme="majorHAnsi" w:cstheme="majorHAnsi"/>
          <w:bCs/>
          <w:color w:val="B6A04C"/>
        </w:rPr>
        <w:t>)</w:t>
      </w:r>
      <w:r w:rsidR="00CC2FFA" w:rsidRPr="00C85D0E">
        <w:rPr>
          <w:rFonts w:asciiTheme="majorHAnsi" w:hAnsiTheme="majorHAnsi" w:cstheme="majorHAnsi"/>
          <w:bCs/>
          <w:color w:val="B6A04C"/>
        </w:rPr>
        <w:t xml:space="preserve"> </w:t>
      </w:r>
      <w:r w:rsidR="00CC2FFA" w:rsidRPr="00C85D0E">
        <w:rPr>
          <w:rFonts w:asciiTheme="majorHAnsi" w:hAnsiTheme="majorHAnsi" w:cstheme="majorHAnsi"/>
          <w:bCs/>
          <w:color w:val="2C2D5B"/>
        </w:rPr>
        <w:t>on discrimination on grounds of age in a public call</w:t>
      </w:r>
      <w:r w:rsidR="0030456A" w:rsidRPr="00C85D0E">
        <w:rPr>
          <w:rFonts w:asciiTheme="majorHAnsi" w:hAnsiTheme="majorHAnsi" w:cstheme="majorHAnsi"/>
          <w:bCs/>
          <w:color w:val="2C2D5B"/>
        </w:rPr>
        <w:t xml:space="preserve">; </w:t>
      </w:r>
      <w:r w:rsidR="00CC2FFA" w:rsidRPr="00C85D0E">
        <w:rPr>
          <w:rFonts w:asciiTheme="majorHAnsi" w:hAnsiTheme="majorHAnsi" w:cstheme="majorHAnsi"/>
          <w:bCs/>
          <w:color w:val="2C2D5B"/>
        </w:rPr>
        <w:t>and</w:t>
      </w:r>
      <w:r w:rsidR="00101708" w:rsidRPr="00C85D0E">
        <w:rPr>
          <w:rFonts w:asciiTheme="majorHAnsi" w:hAnsiTheme="majorHAnsi" w:cstheme="majorHAnsi"/>
          <w:bCs/>
          <w:color w:val="2C2D5B"/>
        </w:rPr>
        <w:t xml:space="preserve"> </w:t>
      </w:r>
      <w:r w:rsidR="0030456A" w:rsidRPr="00C85D0E">
        <w:rPr>
          <w:rFonts w:asciiTheme="majorHAnsi" w:hAnsiTheme="majorHAnsi" w:cstheme="majorHAnsi"/>
          <w:bCs/>
          <w:color w:val="2C2D5B"/>
        </w:rPr>
        <w:t xml:space="preserve">the </w:t>
      </w:r>
      <w:r w:rsidR="0030456A" w:rsidRPr="00C85D0E">
        <w:rPr>
          <w:rFonts w:asciiTheme="majorHAnsi" w:hAnsiTheme="majorHAnsi" w:cstheme="majorHAnsi"/>
          <w:bCs/>
          <w:i/>
          <w:color w:val="2C2D5B"/>
        </w:rPr>
        <w:t>Nisttahuz</w:t>
      </w:r>
      <w:r w:rsidR="0030456A" w:rsidRPr="00C85D0E">
        <w:rPr>
          <w:rFonts w:asciiTheme="majorHAnsi" w:hAnsiTheme="majorHAnsi" w:cstheme="majorHAnsi"/>
          <w:bCs/>
          <w:color w:val="2C2D5B"/>
        </w:rPr>
        <w:t xml:space="preserve"> case </w:t>
      </w:r>
      <w:r w:rsidR="0030456A" w:rsidRPr="00C85D0E">
        <w:rPr>
          <w:rFonts w:asciiTheme="majorHAnsi" w:hAnsiTheme="majorHAnsi" w:cstheme="majorHAnsi"/>
          <w:bCs/>
          <w:color w:val="B6A04C"/>
        </w:rPr>
        <w:t>(</w:t>
      </w:r>
      <w:hyperlink r:id="rId70" w:history="1">
        <w:r w:rsidR="0030456A" w:rsidRPr="00C85D0E">
          <w:rPr>
            <w:rStyle w:val="Hypertextovodkaz"/>
            <w:rFonts w:asciiTheme="majorHAnsi" w:hAnsiTheme="majorHAnsi" w:cstheme="majorHAnsi"/>
            <w:bCs/>
            <w:color w:val="B6A04C"/>
          </w:rPr>
          <w:t>C-117/14, ECLI:EU:C:2015:60</w:t>
        </w:r>
      </w:hyperlink>
      <w:r w:rsidR="0030456A" w:rsidRPr="00C85D0E">
        <w:rPr>
          <w:rFonts w:asciiTheme="majorHAnsi" w:hAnsiTheme="majorHAnsi" w:cstheme="majorHAnsi"/>
          <w:bCs/>
          <w:color w:val="B6A04C"/>
        </w:rPr>
        <w:t>)</w:t>
      </w:r>
      <w:r w:rsidR="00CC2FFA" w:rsidRPr="00C85D0E">
        <w:rPr>
          <w:rFonts w:asciiTheme="majorHAnsi" w:hAnsiTheme="majorHAnsi" w:cstheme="majorHAnsi"/>
          <w:bCs/>
          <w:color w:val="B6A04C"/>
        </w:rPr>
        <w:t xml:space="preserve"> </w:t>
      </w:r>
      <w:r w:rsidR="00CC2FFA" w:rsidRPr="00C85D0E">
        <w:rPr>
          <w:rFonts w:asciiTheme="majorHAnsi" w:hAnsiTheme="majorHAnsi" w:cstheme="majorHAnsi"/>
          <w:bCs/>
          <w:color w:val="2C2D5B"/>
        </w:rPr>
        <w:t>on employment contracts and trial periods</w:t>
      </w:r>
      <w:r w:rsidR="0030456A" w:rsidRPr="00C85D0E">
        <w:rPr>
          <w:rFonts w:asciiTheme="majorHAnsi" w:hAnsiTheme="majorHAnsi" w:cstheme="majorHAnsi"/>
          <w:bCs/>
          <w:color w:val="2C2D5B"/>
        </w:rPr>
        <w:t>.</w:t>
      </w:r>
    </w:p>
    <w:p w14:paraId="10164A4B" w14:textId="77777777" w:rsidR="00ED05AB" w:rsidRDefault="00ED05AB">
      <w:pPr>
        <w:rPr>
          <w:rFonts w:asciiTheme="majorHAnsi" w:hAnsiTheme="majorHAnsi" w:cstheme="majorHAnsi"/>
          <w:bCs/>
        </w:rPr>
      </w:pPr>
      <w:r>
        <w:rPr>
          <w:rFonts w:asciiTheme="majorHAnsi" w:hAnsiTheme="majorHAnsi" w:cstheme="majorHAnsi"/>
          <w:bCs/>
        </w:rPr>
        <w:br w:type="page"/>
      </w:r>
    </w:p>
    <w:p w14:paraId="1A6368E9" w14:textId="77777777" w:rsidR="0030456A" w:rsidRPr="002B030A" w:rsidRDefault="0030456A" w:rsidP="00740BB9">
      <w:pPr>
        <w:spacing w:after="120" w:line="276" w:lineRule="auto"/>
        <w:jc w:val="both"/>
        <w:rPr>
          <w:rFonts w:asciiTheme="majorHAnsi" w:hAnsiTheme="majorHAnsi" w:cstheme="majorHAnsi"/>
          <w:sz w:val="16"/>
          <w:szCs w:val="16"/>
          <w:highlight w:val="yellow"/>
        </w:rPr>
      </w:pPr>
    </w:p>
    <w:p w14:paraId="12C7211B" w14:textId="4E45AA19" w:rsidR="00532606" w:rsidRPr="002B030A" w:rsidRDefault="002B030A" w:rsidP="002B030A">
      <w:pPr>
        <w:pStyle w:val="Nadpis1"/>
        <w:ind w:left="1080"/>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A300E">
        <w:rPr>
          <w:rFonts w:ascii="Calibri" w:hAnsi="Calibri" w:cs="Calibri"/>
          <w:b/>
          <w:bCs/>
          <w:noProof/>
          <w:color w:val="FFFFFF" w:themeColor="background1"/>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Contextual"/>
        </w:rPr>
        <mc:AlternateContent>
          <mc:Choice Requires="wps">
            <w:drawing>
              <wp:anchor distT="0" distB="0" distL="114300" distR="114300" simplePos="0" relativeHeight="251872256" behindDoc="0" locked="0" layoutInCell="1" allowOverlap="1" wp14:anchorId="79525C73" wp14:editId="0606D713">
                <wp:simplePos x="0" y="0"/>
                <wp:positionH relativeFrom="column">
                  <wp:posOffset>710360</wp:posOffset>
                </wp:positionH>
                <wp:positionV relativeFrom="paragraph">
                  <wp:posOffset>529202</wp:posOffset>
                </wp:positionV>
                <wp:extent cx="586740" cy="45085"/>
                <wp:effectExtent l="38100" t="38100" r="60960" b="88265"/>
                <wp:wrapNone/>
                <wp:docPr id="139258188" name="Rectangle 63"/>
                <wp:cNvGraphicFramePr/>
                <a:graphic xmlns:a="http://schemas.openxmlformats.org/drawingml/2006/main">
                  <a:graphicData uri="http://schemas.microsoft.com/office/word/2010/wordprocessingShape">
                    <wps:wsp>
                      <wps:cNvSpPr/>
                      <wps:spPr>
                        <a:xfrm>
                          <a:off x="0" y="0"/>
                          <a:ext cx="586740" cy="45085"/>
                        </a:xfrm>
                        <a:prstGeom prst="rect">
                          <a:avLst/>
                        </a:prstGeom>
                        <a:solidFill>
                          <a:srgbClr val="B6A04C"/>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7F8CCC4" id="Rectangle 63" o:spid="_x0000_s1026" style="position:absolute;margin-left:55.95pt;margin-top:41.65pt;width:46.2pt;height:3.55pt;z-index:2518722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xMk0wIAABIGAAAOAAAAZHJzL2Uyb0RvYy54bWysVFFv2jAQfp+0/2D5fU1g0DLUUDGqTpOq&#10;FpVOfTaOQ6w5tmcbAvv1u7NDYG2fpvFgfPHdd9999t31zb5RZCecl0YXdHCRUyI0N6XUm4L+eL77&#10;NKHEB6ZLpowWBT0IT29mHz9ct3YqhqY2qhSOAIj209YWtA7BTrPM81o0zF8YKzQcVsY1LIDpNlnp&#10;WAvojcqGeX6ZtcaV1hkuvIevt+mQziJ+VQkeHqvKi0BUQYFbiKuL6xrXbHbNphvHbC15R4P9A4uG&#10;SQ1Je6hbFhjZOvkGqpHcGW+qcMFNk5mqklzEGqCaQf6qmlXNrIi1gDje9jL5/wfLH3Yru3QgQ2v9&#10;1MMWq9hXrsF/4Ef2UaxDL5bYB8Lh43hyeTUCSTkcjcb5ZIxaZqdY63z4JkxDcFNQB1cRFWK7ex+S&#10;69EFU3mjZHknlYqG26wXypEdg2v7ejnPR4sO/S83pdFZGwxLiOmLiBcPaWIN2yDcqi5bslZb98RK&#10;oJ5PcmBeSiT2eTJIBryK4VWOP0qY2sBzDooSZ8KLDHW8CtQAIZF3T2+tGP+ZKlO2ZonzKMKcqgTv&#10;KI45konWGc/sJH/chYMSmErpJ1ERWYLgw5gkdoboszPOhQ6DdFSzUqT8gzGWkfL3ETFnBETkCkTr&#10;sTsA7Lq32Amm88fQxLsPTqL0aRKDI7EU3EfEzEaHPriR2rj3KlNQVZc5+QP9M2lwuzblYenwiuIb&#10;9ZbfSbiae+bDkjnoY7hJmE3hEZZKmbagpttRUhv3+73v6A/tBaeUtDAXCup/bZkTlKjvGhrvy2CE&#10;rz5EYzS+GoLhzk/W5yd62ywMvOEBTEHL4xb9gzpuK2eaFxhhc8wKR0xzyF1QHtzRWIQ0r2AIcjGf&#10;RzcYHpaFe72yHMFRVXyUz/sX5mzXcQE69cEcZwibvmq85IuR2sy3wVQyduVJ105vGDzx4XRDEifb&#10;uR29TqN89gcAAP//AwBQSwMEFAAGAAgAAAAhABlYc9HbAAAACQEAAA8AAABkcnMvZG93bnJldi54&#10;bWxMj8FOwzAMhu9IvENkJG4s6Vqg65pOiKnivI0HyBrTVmucqsnW8vaYE9z8y59+fy53ixvEDafQ&#10;e9KQrBQIpMbbnloNn6f6KQcRoiFrBk+o4RsD7Kr7u9IU1s90wNsxtoJLKBRGQxfjWEgZmg6dCSs/&#10;IvHuy0/ORI5TK+1kZi53g1wr9SKd6YkvdGbE9w6by/HqNHzMWW1Vk0mH6esh1vn+ubZ7rR8flrct&#10;iIhL/IPhV5/VoWKns7+SDWLgnCQbRjXkaQqCgbXKeDhr2KgMZFXK/x9UPwAAAP//AwBQSwECLQAU&#10;AAYACAAAACEAtoM4kv4AAADhAQAAEwAAAAAAAAAAAAAAAAAAAAAAW0NvbnRlbnRfVHlwZXNdLnht&#10;bFBLAQItABQABgAIAAAAIQA4/SH/1gAAAJQBAAALAAAAAAAAAAAAAAAAAC8BAABfcmVscy8ucmVs&#10;c1BLAQItABQABgAIAAAAIQCvgxMk0wIAABIGAAAOAAAAAAAAAAAAAAAAAC4CAABkcnMvZTJvRG9j&#10;LnhtbFBLAQItABQABgAIAAAAIQAZWHPR2wAAAAkBAAAPAAAAAAAAAAAAAAAAAC0FAABkcnMvZG93&#10;bnJldi54bWxQSwUGAAAAAAQABADzAAAANQYAAAAA&#10;" fillcolor="#b6a04c" stroked="f" strokeweight="1pt">
                <v:shadow on="t" color="black" opacity="26214f" origin="-.5,-.5" offset=".74836mm,.74836mm"/>
              </v:rect>
            </w:pict>
          </mc:Fallback>
        </mc:AlternateContent>
      </w:r>
      <w:r w:rsidR="0083428A" w:rsidRPr="002B030A">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APPENDIX </w:t>
      </w:r>
      <w:r w:rsidR="0083428A" w:rsidRPr="00D851B5">
        <w:rPr>
          <w:rFonts w:ascii="Calibri" w:hAnsi="Calibri" w:cs="Calibri"/>
          <w:b/>
          <w:bCs/>
          <w:color w:val="B6A04C"/>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4</w:t>
      </w:r>
      <w:r w:rsidR="0083428A" w:rsidRPr="002B030A">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00505929" w:rsidRPr="002B030A">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w:t>
      </w:r>
      <w:r w:rsidR="0083428A" w:rsidRPr="002B030A">
        <w:rPr>
          <w:rFonts w:ascii="Calibri" w:hAnsi="Calibri" w:cs="Calibri"/>
          <w:b/>
          <w:bCs/>
          <w:color w:val="FFFFFF" w:themeColor="background1"/>
          <w:sz w:val="56"/>
          <w:szCs w:val="5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RELAND</w:t>
      </w:r>
    </w:p>
    <w:p w14:paraId="29B7EC4E" w14:textId="2F9DAE91" w:rsidR="002B030A" w:rsidRPr="002B030A" w:rsidRDefault="002B030A" w:rsidP="002B030A">
      <w:pPr>
        <w:spacing w:after="120" w:line="276" w:lineRule="auto"/>
        <w:jc w:val="center"/>
        <w:rPr>
          <w:rFonts w:ascii="Calibri" w:hAnsi="Calibri" w:cs="Calibri"/>
          <w:b/>
          <w:bCs/>
          <w:color w:val="2C2D5B"/>
          <w:sz w:val="32"/>
          <w:szCs w:val="32"/>
        </w:rPr>
      </w:pPr>
    </w:p>
    <w:p w14:paraId="16893E7B" w14:textId="2273A926" w:rsidR="00740BB9" w:rsidRPr="002B030A" w:rsidRDefault="00740BB9" w:rsidP="00740BB9">
      <w:pPr>
        <w:spacing w:after="120" w:line="276" w:lineRule="auto"/>
        <w:jc w:val="both"/>
        <w:rPr>
          <w:rFonts w:asciiTheme="majorHAnsi" w:hAnsiTheme="majorHAnsi" w:cstheme="majorHAnsi"/>
          <w:color w:val="2C2D5B"/>
        </w:rPr>
      </w:pPr>
      <w:r w:rsidRPr="002B030A">
        <w:rPr>
          <w:rFonts w:asciiTheme="majorHAnsi" w:hAnsiTheme="majorHAnsi" w:cstheme="majorHAnsi"/>
          <w:color w:val="2C2D5B"/>
        </w:rPr>
        <w:t>The Irish constitution makes reference to the primacy of European Union (EU) law in Article 29, but does not specifically mention the Charter. Against this background it is noteworthy that an amendment was necessary to enable the State to join the EU and prevent conflicts between constitutional provisions and EU law. This was achieved with the Third Amendment of the Constitution Act, 1972.</w:t>
      </w:r>
    </w:p>
    <w:p w14:paraId="5CD8E8D7" w14:textId="4453648F" w:rsidR="00740BB9" w:rsidRDefault="00740BB9" w:rsidP="00740BB9">
      <w:pPr>
        <w:spacing w:after="120" w:line="276" w:lineRule="auto"/>
        <w:jc w:val="both"/>
        <w:rPr>
          <w:rFonts w:asciiTheme="majorHAnsi" w:hAnsiTheme="majorHAnsi" w:cstheme="majorHAnsi"/>
          <w:color w:val="2C2D5B"/>
        </w:rPr>
      </w:pPr>
      <w:r w:rsidRPr="002B030A">
        <w:rPr>
          <w:rFonts w:asciiTheme="majorHAnsi" w:hAnsiTheme="majorHAnsi" w:cstheme="majorHAnsi"/>
          <w:color w:val="2C2D5B"/>
        </w:rPr>
        <w:t xml:space="preserve">In December 2009, there was a substantial shift in the EU's framework for protecting </w:t>
      </w:r>
      <w:r w:rsidR="00A16C77" w:rsidRPr="002B030A">
        <w:rPr>
          <w:rFonts w:asciiTheme="majorHAnsi" w:hAnsiTheme="majorHAnsi" w:cstheme="majorHAnsi"/>
          <w:color w:val="2C2D5B"/>
        </w:rPr>
        <w:t>fundamental</w:t>
      </w:r>
      <w:r w:rsidRPr="002B030A">
        <w:rPr>
          <w:rFonts w:asciiTheme="majorHAnsi" w:hAnsiTheme="majorHAnsi" w:cstheme="majorHAnsi"/>
          <w:color w:val="2C2D5B"/>
        </w:rPr>
        <w:t xml:space="preserve"> rights. Since then, Ireland is bound by the Charter, which has the same legal standing as the EU Treaties among member states. It is crucial to remember that the Charter only comes into play when a dispute involving EU law emerges.</w:t>
      </w:r>
      <w:r w:rsidR="00A16C77" w:rsidRPr="002B030A">
        <w:rPr>
          <w:rFonts w:asciiTheme="majorHAnsi" w:hAnsiTheme="majorHAnsi" w:cstheme="majorHAnsi"/>
          <w:color w:val="2C2D5B"/>
        </w:rPr>
        <w:t xml:space="preserve"> </w:t>
      </w:r>
      <w:r w:rsidRPr="002B030A">
        <w:rPr>
          <w:rFonts w:asciiTheme="majorHAnsi" w:hAnsiTheme="majorHAnsi" w:cstheme="majorHAnsi"/>
          <w:color w:val="2C2D5B"/>
        </w:rPr>
        <w:t xml:space="preserve">The EU Charter is applicable, for instance, when national laws incorporating EU law are adopted or implemented by EU member states, or when EU law is directly applied by their authorities. Nonetheless, the Charter will not be applicable if a new Irish law is passed that has nothing to do with EU law. When the Charter is applicable, Irish courts will immediately apply it, and in the event of a dispute, it will supersede domestic law. This implies that judges in Irish courts must use the Charter and that it may serve as the foundation for a claim. In the following, it will be clearer enunciated how this applies in judicial practice. </w:t>
      </w:r>
    </w:p>
    <w:p w14:paraId="54124C93" w14:textId="77777777" w:rsidR="002B030A" w:rsidRPr="002B030A" w:rsidRDefault="002B030A" w:rsidP="00740BB9">
      <w:pPr>
        <w:spacing w:after="120" w:line="276" w:lineRule="auto"/>
        <w:jc w:val="both"/>
        <w:rPr>
          <w:rFonts w:asciiTheme="majorHAnsi" w:hAnsiTheme="majorHAnsi" w:cstheme="majorHAnsi"/>
          <w:color w:val="2C2D5B"/>
        </w:rPr>
      </w:pPr>
    </w:p>
    <w:p w14:paraId="086957B3" w14:textId="51DF8AF8" w:rsidR="00740BB9" w:rsidRPr="00D851B5" w:rsidRDefault="00A16C77" w:rsidP="002B030A">
      <w:pPr>
        <w:spacing w:after="120" w:line="276" w:lineRule="auto"/>
        <w:ind w:left="284" w:hanging="568"/>
        <w:jc w:val="both"/>
        <w:rPr>
          <w:rFonts w:ascii="Calibri" w:hAnsi="Calibri" w:cs="Calibri"/>
          <w:b/>
          <w:bCs/>
          <w:iCs/>
          <w:color w:val="2F5496" w:themeColor="accent1" w:themeShade="BF"/>
          <w:sz w:val="32"/>
          <w:szCs w:val="32"/>
        </w:rPr>
      </w:pPr>
      <w:r w:rsidRPr="002B030A">
        <w:rPr>
          <w:rFonts w:ascii="Calibri" w:hAnsi="Calibri" w:cs="Calibri"/>
          <w:b/>
          <w:bCs/>
          <w:iCs/>
          <w:color w:val="B6A04C"/>
          <w:sz w:val="32"/>
          <w:szCs w:val="32"/>
        </w:rPr>
        <w:t>4.1</w:t>
      </w:r>
      <w:r w:rsidR="007E150B" w:rsidRPr="002B030A">
        <w:rPr>
          <w:rFonts w:ascii="Calibri" w:hAnsi="Calibri" w:cs="Calibri"/>
          <w:b/>
          <w:bCs/>
          <w:iCs/>
          <w:color w:val="B6A04C"/>
          <w:sz w:val="32"/>
          <w:szCs w:val="32"/>
        </w:rPr>
        <w:t xml:space="preserve">. </w:t>
      </w:r>
      <w:r w:rsidR="00740BB9" w:rsidRPr="00D851B5">
        <w:rPr>
          <w:rFonts w:ascii="Calibri" w:hAnsi="Calibri" w:cs="Calibri"/>
          <w:b/>
          <w:bCs/>
          <w:iCs/>
          <w:color w:val="2F5496" w:themeColor="accent1" w:themeShade="BF"/>
          <w:sz w:val="32"/>
          <w:szCs w:val="32"/>
        </w:rPr>
        <w:t xml:space="preserve">Bringing </w:t>
      </w:r>
      <w:r w:rsidR="00BF1F45" w:rsidRPr="00D851B5">
        <w:rPr>
          <w:rFonts w:ascii="Calibri" w:hAnsi="Calibri" w:cs="Calibri"/>
          <w:b/>
          <w:bCs/>
          <w:iCs/>
          <w:color w:val="2F5496" w:themeColor="accent1" w:themeShade="BF"/>
          <w:sz w:val="32"/>
          <w:szCs w:val="32"/>
        </w:rPr>
        <w:t>fundamental</w:t>
      </w:r>
      <w:r w:rsidR="00740BB9" w:rsidRPr="00D851B5">
        <w:rPr>
          <w:rFonts w:ascii="Calibri" w:hAnsi="Calibri" w:cs="Calibri"/>
          <w:b/>
          <w:bCs/>
          <w:iCs/>
          <w:color w:val="2F5496" w:themeColor="accent1" w:themeShade="BF"/>
          <w:sz w:val="32"/>
          <w:szCs w:val="32"/>
        </w:rPr>
        <w:t xml:space="preserve"> rights home - how Irish Courts and the CJEU domesticate the Charter in Ireland</w:t>
      </w:r>
      <w:r w:rsidR="00532606" w:rsidRPr="00D851B5">
        <w:rPr>
          <w:rFonts w:ascii="Calibri" w:hAnsi="Calibri" w:cs="Calibri"/>
          <w:b/>
          <w:bCs/>
          <w:iCs/>
          <w:color w:val="2F5496" w:themeColor="accent1" w:themeShade="BF"/>
          <w:sz w:val="32"/>
          <w:szCs w:val="32"/>
        </w:rPr>
        <w:t xml:space="preserve"> </w:t>
      </w:r>
    </w:p>
    <w:p w14:paraId="4C562E77" w14:textId="3BA51356" w:rsidR="00740BB9" w:rsidRPr="002B030A" w:rsidRDefault="00740BB9" w:rsidP="00740BB9">
      <w:pPr>
        <w:spacing w:after="120" w:line="276" w:lineRule="auto"/>
        <w:jc w:val="both"/>
        <w:rPr>
          <w:rFonts w:asciiTheme="majorHAnsi" w:hAnsiTheme="majorHAnsi" w:cstheme="majorHAnsi"/>
          <w:color w:val="2C2D5B"/>
        </w:rPr>
      </w:pPr>
      <w:r w:rsidRPr="002B030A">
        <w:rPr>
          <w:rFonts w:asciiTheme="majorHAnsi" w:hAnsiTheme="majorHAnsi" w:cstheme="majorHAnsi"/>
          <w:color w:val="2C2D5B"/>
        </w:rPr>
        <w:t xml:space="preserve">The </w:t>
      </w:r>
      <w:r w:rsidR="00A16C77" w:rsidRPr="002B030A">
        <w:rPr>
          <w:rFonts w:asciiTheme="majorHAnsi" w:hAnsiTheme="majorHAnsi" w:cstheme="majorHAnsi"/>
          <w:color w:val="2C2D5B"/>
        </w:rPr>
        <w:t xml:space="preserve">CJEU </w:t>
      </w:r>
      <w:r w:rsidRPr="002B030A">
        <w:rPr>
          <w:rFonts w:asciiTheme="majorHAnsi" w:hAnsiTheme="majorHAnsi" w:cstheme="majorHAnsi"/>
          <w:color w:val="2C2D5B"/>
        </w:rPr>
        <w:t>has long had a limited involvement in the area of European fundamental rights. Although the number of cases involving substantive human rights claims remained low in the early decades, the Court achieved significant results over the years by recognising fundamental rights as general principles of EU law and evaluating the compatibility of national and European measures against those principles. The Court was also frequently criticised for not being "fundamental rights minded</w:t>
      </w:r>
      <w:r w:rsidR="004735AE" w:rsidRPr="002B030A">
        <w:rPr>
          <w:rFonts w:asciiTheme="majorHAnsi" w:hAnsiTheme="majorHAnsi" w:cstheme="majorHAnsi"/>
          <w:color w:val="2C2D5B"/>
        </w:rPr>
        <w:t xml:space="preserve">” </w:t>
      </w:r>
      <w:r w:rsidRPr="002B030A">
        <w:rPr>
          <w:rFonts w:asciiTheme="majorHAnsi" w:hAnsiTheme="majorHAnsi" w:cstheme="majorHAnsi"/>
          <w:color w:val="2C2D5B"/>
        </w:rPr>
        <w:t>to support EU law supremacy.</w:t>
      </w:r>
    </w:p>
    <w:p w14:paraId="21416D2A" w14:textId="77777777" w:rsidR="00740BB9" w:rsidRPr="002B030A" w:rsidRDefault="00740BB9" w:rsidP="00740BB9">
      <w:pPr>
        <w:spacing w:after="120" w:line="276" w:lineRule="auto"/>
        <w:jc w:val="both"/>
        <w:rPr>
          <w:rFonts w:asciiTheme="majorHAnsi" w:hAnsiTheme="majorHAnsi" w:cstheme="majorHAnsi"/>
          <w:color w:val="2C2D5B"/>
        </w:rPr>
      </w:pPr>
      <w:r w:rsidRPr="002B030A">
        <w:rPr>
          <w:rFonts w:asciiTheme="majorHAnsi" w:hAnsiTheme="majorHAnsi" w:cstheme="majorHAnsi"/>
          <w:color w:val="2C2D5B"/>
        </w:rPr>
        <w:t xml:space="preserve">The breadth of EU policy and law has kept growing, and today the legislative body of the EU addresses a wide range of topics, including security, privacy, and immigration and asylum. Stated differently, the EU is a constantly expanding and omnipresent legislative body that can affect human rights, welfare, and national sovereignty in a variety of ways. As a result, requests for decisions on matters pertaining to human rights as well as the interpretation and implementation of the Charter of Rights comes in constant interaction between Irish Courts and CJEU. </w:t>
      </w:r>
    </w:p>
    <w:p w14:paraId="7335C4AD" w14:textId="77777777" w:rsidR="002B030A" w:rsidRDefault="002B030A" w:rsidP="00740BB9">
      <w:pPr>
        <w:spacing w:after="120" w:line="276" w:lineRule="auto"/>
        <w:jc w:val="both"/>
        <w:rPr>
          <w:rFonts w:asciiTheme="majorHAnsi" w:hAnsiTheme="majorHAnsi" w:cstheme="majorHAnsi"/>
        </w:rPr>
      </w:pPr>
    </w:p>
    <w:p w14:paraId="21CD4729" w14:textId="77777777" w:rsidR="002B030A" w:rsidRDefault="002B030A" w:rsidP="00740BB9">
      <w:pPr>
        <w:spacing w:after="120" w:line="276" w:lineRule="auto"/>
        <w:jc w:val="both"/>
        <w:rPr>
          <w:rFonts w:asciiTheme="majorHAnsi" w:hAnsiTheme="majorHAnsi" w:cstheme="majorHAnsi"/>
        </w:rPr>
      </w:pPr>
    </w:p>
    <w:p w14:paraId="2FCDA1DA" w14:textId="77777777" w:rsidR="002B030A" w:rsidRDefault="002B030A" w:rsidP="00740BB9">
      <w:pPr>
        <w:spacing w:after="120" w:line="276" w:lineRule="auto"/>
        <w:jc w:val="both"/>
        <w:rPr>
          <w:rFonts w:asciiTheme="majorHAnsi" w:hAnsiTheme="majorHAnsi" w:cstheme="majorHAnsi"/>
        </w:rPr>
      </w:pPr>
    </w:p>
    <w:p w14:paraId="52C589B1" w14:textId="77777777" w:rsidR="002B030A" w:rsidRDefault="002B030A" w:rsidP="00740BB9">
      <w:pPr>
        <w:spacing w:after="120" w:line="276" w:lineRule="auto"/>
        <w:jc w:val="both"/>
        <w:rPr>
          <w:rFonts w:asciiTheme="majorHAnsi" w:hAnsiTheme="majorHAnsi" w:cstheme="majorHAnsi"/>
        </w:rPr>
      </w:pPr>
    </w:p>
    <w:p w14:paraId="5E2AC1BA" w14:textId="77777777" w:rsidR="002B030A" w:rsidRDefault="002B030A" w:rsidP="00740BB9">
      <w:pPr>
        <w:spacing w:after="120" w:line="276" w:lineRule="auto"/>
        <w:jc w:val="both"/>
        <w:rPr>
          <w:rFonts w:asciiTheme="majorHAnsi" w:hAnsiTheme="majorHAnsi" w:cstheme="majorHAnsi"/>
        </w:rPr>
      </w:pPr>
    </w:p>
    <w:p w14:paraId="389DD57A" w14:textId="7F403B2A" w:rsidR="00532606" w:rsidRDefault="00740BB9" w:rsidP="00740BB9">
      <w:pPr>
        <w:spacing w:after="120" w:line="276" w:lineRule="auto"/>
        <w:jc w:val="both"/>
        <w:rPr>
          <w:rFonts w:asciiTheme="majorHAnsi" w:hAnsiTheme="majorHAnsi" w:cstheme="majorHAnsi"/>
          <w:color w:val="2C2D5B"/>
        </w:rPr>
      </w:pPr>
      <w:r w:rsidRPr="002B030A">
        <w:rPr>
          <w:rFonts w:asciiTheme="majorHAnsi" w:hAnsiTheme="majorHAnsi" w:cstheme="majorHAnsi"/>
          <w:color w:val="2C2D5B"/>
        </w:rPr>
        <w:t xml:space="preserve">In the following, two examples of these interactions are highlighted which led to a greater domestication of the Charter in the State.  </w:t>
      </w:r>
    </w:p>
    <w:p w14:paraId="2F50625D" w14:textId="77777777" w:rsidR="002B030A" w:rsidRPr="002B030A" w:rsidRDefault="002B030A" w:rsidP="00740BB9">
      <w:pPr>
        <w:spacing w:after="120" w:line="276" w:lineRule="auto"/>
        <w:jc w:val="both"/>
        <w:rPr>
          <w:rFonts w:asciiTheme="majorHAnsi" w:hAnsiTheme="majorHAnsi" w:cstheme="majorHAnsi"/>
          <w:color w:val="2C2D5B"/>
        </w:rPr>
      </w:pPr>
    </w:p>
    <w:p w14:paraId="093B4DAA" w14:textId="27EFC47B" w:rsidR="002B030A" w:rsidRPr="00D851B5" w:rsidRDefault="00A16C77" w:rsidP="00740BB9">
      <w:pPr>
        <w:spacing w:after="120" w:line="276" w:lineRule="auto"/>
        <w:jc w:val="both"/>
        <w:rPr>
          <w:rFonts w:ascii="Calibri" w:hAnsi="Calibri" w:cs="Calibri"/>
          <w:b/>
          <w:bCs/>
          <w:i/>
          <w:iCs/>
          <w:color w:val="2F5496" w:themeColor="accent1" w:themeShade="BF"/>
        </w:rPr>
      </w:pPr>
      <w:r w:rsidRPr="00D851B5">
        <w:rPr>
          <w:rFonts w:ascii="Calibri" w:hAnsi="Calibri" w:cs="Calibri"/>
          <w:b/>
          <w:bCs/>
          <w:i/>
          <w:iCs/>
          <w:color w:val="2F5496" w:themeColor="accent1" w:themeShade="BF"/>
        </w:rPr>
        <w:t xml:space="preserve">i. </w:t>
      </w:r>
      <w:r w:rsidR="00740BB9" w:rsidRPr="00D851B5">
        <w:rPr>
          <w:rFonts w:ascii="Calibri" w:hAnsi="Calibri" w:cs="Calibri"/>
          <w:b/>
          <w:bCs/>
          <w:i/>
          <w:iCs/>
          <w:color w:val="2F5496" w:themeColor="accent1" w:themeShade="BF"/>
        </w:rPr>
        <w:t xml:space="preserve">Respect for private and family life and Protection of personal data </w:t>
      </w:r>
    </w:p>
    <w:p w14:paraId="31B7CBF7" w14:textId="3B1CE323" w:rsidR="00532606" w:rsidRPr="002B030A" w:rsidRDefault="00532606" w:rsidP="00740BB9">
      <w:pPr>
        <w:spacing w:after="120" w:line="276" w:lineRule="auto"/>
        <w:jc w:val="both"/>
        <w:rPr>
          <w:rFonts w:asciiTheme="majorHAnsi" w:hAnsiTheme="majorHAnsi" w:cstheme="majorHAnsi"/>
          <w:color w:val="2C2D5B"/>
        </w:rPr>
      </w:pPr>
      <w:r w:rsidRPr="002B030A">
        <w:rPr>
          <w:rFonts w:asciiTheme="majorHAnsi" w:hAnsiTheme="majorHAnsi" w:cstheme="majorHAnsi"/>
          <w:color w:val="2C2D5B"/>
        </w:rPr>
        <w:t>It is mandatory to interpret all sub-primary provisions of EU law in accordance with the Charter.  To that end, secondary law that violates the Charter should be disregarded where appropriate interpretation is not available. In the event of a direct action for annulment as stipulated in Article 263 Treaty on the Functioning of the European Union (TFEU) or a reference for a preliminary determination (Article 267 TFEU), the CJEU is the sole authority with the authority to declare provisions of EU legislation illegal. The CJEU issued a range of judgments which declared certain invalid provisions of EU legislation or an entire EU secondary act due to being in conflict with the Charter, having effect on cases which related to the Republic of Ireland (such as C-293/12).</w:t>
      </w:r>
    </w:p>
    <w:p w14:paraId="70E8415E" w14:textId="769D15F2" w:rsidR="004B1AF1" w:rsidRPr="00532606" w:rsidRDefault="004B1AF1" w:rsidP="00740BB9">
      <w:pPr>
        <w:spacing w:after="120" w:line="276" w:lineRule="auto"/>
        <w:jc w:val="both"/>
        <w:rPr>
          <w:rFonts w:ascii="Calibri" w:hAnsi="Calibri" w:cs="Calibri"/>
          <w:b/>
          <w:bCs/>
        </w:rPr>
      </w:pPr>
    </w:p>
    <w:p w14:paraId="3C7F3E49" w14:textId="7E6178E9" w:rsidR="00532606" w:rsidRDefault="00532606" w:rsidP="00327D5A">
      <w:pPr>
        <w:spacing w:after="120" w:line="276" w:lineRule="auto"/>
        <w:rPr>
          <w:rFonts w:ascii="Calibri" w:hAnsi="Calibri" w:cs="Calibri"/>
          <w:b/>
          <w:bCs/>
        </w:rPr>
      </w:pPr>
    </w:p>
    <w:p w14:paraId="286A82F4" w14:textId="77777777" w:rsidR="002B030A" w:rsidRDefault="002B030A" w:rsidP="00327D5A">
      <w:pPr>
        <w:spacing w:after="120" w:line="276" w:lineRule="auto"/>
        <w:rPr>
          <w:rFonts w:ascii="Calibri" w:hAnsi="Calibri" w:cs="Calibri"/>
          <w:b/>
          <w:bCs/>
        </w:rPr>
      </w:pPr>
    </w:p>
    <w:p w14:paraId="2CDEDA91" w14:textId="77777777" w:rsidR="002B030A" w:rsidRDefault="002B030A" w:rsidP="00327D5A">
      <w:pPr>
        <w:spacing w:after="120" w:line="276" w:lineRule="auto"/>
        <w:rPr>
          <w:rFonts w:ascii="Calibri" w:hAnsi="Calibri" w:cs="Calibri"/>
          <w:b/>
          <w:bCs/>
        </w:rPr>
      </w:pPr>
    </w:p>
    <w:p w14:paraId="7BA88044" w14:textId="77777777" w:rsidR="002B030A" w:rsidRDefault="002B030A" w:rsidP="00327D5A">
      <w:pPr>
        <w:spacing w:after="120" w:line="276" w:lineRule="auto"/>
        <w:rPr>
          <w:rFonts w:ascii="Calibri" w:hAnsi="Calibri" w:cs="Calibri"/>
          <w:b/>
          <w:bCs/>
        </w:rPr>
      </w:pPr>
    </w:p>
    <w:p w14:paraId="0AAA7D3C" w14:textId="77777777" w:rsidR="002B030A" w:rsidRDefault="002B030A" w:rsidP="00327D5A">
      <w:pPr>
        <w:spacing w:after="120" w:line="276" w:lineRule="auto"/>
        <w:rPr>
          <w:rFonts w:ascii="Calibri" w:hAnsi="Calibri" w:cs="Calibri"/>
          <w:b/>
          <w:bCs/>
        </w:rPr>
      </w:pPr>
    </w:p>
    <w:p w14:paraId="2CDC5029" w14:textId="77777777" w:rsidR="002B030A" w:rsidRDefault="002B030A" w:rsidP="00327D5A">
      <w:pPr>
        <w:spacing w:after="120" w:line="276" w:lineRule="auto"/>
        <w:rPr>
          <w:rFonts w:ascii="Calibri" w:hAnsi="Calibri" w:cs="Calibri"/>
          <w:b/>
          <w:bCs/>
        </w:rPr>
      </w:pPr>
    </w:p>
    <w:p w14:paraId="52527987" w14:textId="77777777" w:rsidR="002B030A" w:rsidRDefault="002B030A" w:rsidP="00327D5A">
      <w:pPr>
        <w:spacing w:after="120" w:line="276" w:lineRule="auto"/>
        <w:rPr>
          <w:rFonts w:ascii="Calibri" w:hAnsi="Calibri" w:cs="Calibri"/>
          <w:b/>
          <w:bCs/>
        </w:rPr>
      </w:pPr>
    </w:p>
    <w:p w14:paraId="2FBEEC8E" w14:textId="77777777" w:rsidR="002B030A" w:rsidRDefault="002B030A" w:rsidP="00327D5A">
      <w:pPr>
        <w:spacing w:after="120" w:line="276" w:lineRule="auto"/>
        <w:rPr>
          <w:rFonts w:ascii="Calibri" w:hAnsi="Calibri" w:cs="Calibri"/>
          <w:b/>
          <w:bCs/>
        </w:rPr>
      </w:pPr>
    </w:p>
    <w:p w14:paraId="0A226C14" w14:textId="77777777" w:rsidR="002B030A" w:rsidRDefault="002B030A" w:rsidP="00327D5A">
      <w:pPr>
        <w:spacing w:after="120" w:line="276" w:lineRule="auto"/>
        <w:rPr>
          <w:rFonts w:ascii="Calibri" w:hAnsi="Calibri" w:cs="Calibri"/>
          <w:b/>
          <w:bCs/>
        </w:rPr>
      </w:pPr>
    </w:p>
    <w:p w14:paraId="37875B23" w14:textId="77777777" w:rsidR="002B030A" w:rsidRDefault="002B030A" w:rsidP="00327D5A">
      <w:pPr>
        <w:spacing w:after="120" w:line="276" w:lineRule="auto"/>
        <w:rPr>
          <w:rFonts w:ascii="Calibri" w:hAnsi="Calibri" w:cs="Calibri"/>
          <w:b/>
          <w:bCs/>
        </w:rPr>
      </w:pPr>
    </w:p>
    <w:p w14:paraId="0919CE09" w14:textId="77777777" w:rsidR="002B030A" w:rsidRDefault="002B030A" w:rsidP="00327D5A">
      <w:pPr>
        <w:spacing w:after="120" w:line="276" w:lineRule="auto"/>
        <w:rPr>
          <w:rFonts w:ascii="Calibri" w:hAnsi="Calibri" w:cs="Calibri"/>
          <w:b/>
          <w:bCs/>
        </w:rPr>
      </w:pPr>
    </w:p>
    <w:p w14:paraId="6795BFE1" w14:textId="77777777" w:rsidR="002B030A" w:rsidRDefault="002B030A" w:rsidP="00327D5A">
      <w:pPr>
        <w:spacing w:after="120" w:line="276" w:lineRule="auto"/>
        <w:rPr>
          <w:rFonts w:ascii="Calibri" w:hAnsi="Calibri" w:cs="Calibri"/>
          <w:b/>
          <w:bCs/>
        </w:rPr>
      </w:pPr>
    </w:p>
    <w:p w14:paraId="49CA70AF" w14:textId="77777777" w:rsidR="002B030A" w:rsidRDefault="002B030A" w:rsidP="00327D5A">
      <w:pPr>
        <w:spacing w:after="120" w:line="276" w:lineRule="auto"/>
        <w:rPr>
          <w:rFonts w:ascii="Calibri" w:hAnsi="Calibri" w:cs="Calibri"/>
          <w:b/>
          <w:bCs/>
        </w:rPr>
      </w:pPr>
    </w:p>
    <w:p w14:paraId="61C20371" w14:textId="77777777" w:rsidR="002B030A" w:rsidRDefault="002B030A" w:rsidP="00327D5A">
      <w:pPr>
        <w:spacing w:after="120" w:line="276" w:lineRule="auto"/>
        <w:rPr>
          <w:rFonts w:ascii="Calibri" w:hAnsi="Calibri" w:cs="Calibri"/>
          <w:b/>
          <w:bCs/>
        </w:rPr>
      </w:pPr>
    </w:p>
    <w:p w14:paraId="1B5B9E14" w14:textId="77777777" w:rsidR="002B030A" w:rsidRDefault="002B030A" w:rsidP="00327D5A">
      <w:pPr>
        <w:spacing w:after="120" w:line="276" w:lineRule="auto"/>
        <w:rPr>
          <w:rFonts w:ascii="Calibri" w:hAnsi="Calibri" w:cs="Calibri"/>
          <w:b/>
          <w:bCs/>
        </w:rPr>
      </w:pPr>
    </w:p>
    <w:p w14:paraId="49840D27" w14:textId="77777777" w:rsidR="002B030A" w:rsidRDefault="002B030A" w:rsidP="00327D5A">
      <w:pPr>
        <w:spacing w:after="120" w:line="276" w:lineRule="auto"/>
        <w:rPr>
          <w:rFonts w:ascii="Calibri" w:hAnsi="Calibri" w:cs="Calibri"/>
          <w:b/>
          <w:bCs/>
        </w:rPr>
      </w:pPr>
    </w:p>
    <w:p w14:paraId="2381DB42" w14:textId="77777777" w:rsidR="002B030A" w:rsidRDefault="002B030A" w:rsidP="00327D5A">
      <w:pPr>
        <w:spacing w:after="120" w:line="276" w:lineRule="auto"/>
        <w:rPr>
          <w:rFonts w:ascii="Calibri" w:hAnsi="Calibri" w:cs="Calibri"/>
          <w:b/>
          <w:bCs/>
        </w:rPr>
      </w:pPr>
    </w:p>
    <w:p w14:paraId="74FE982B" w14:textId="53593BE0" w:rsidR="002B030A" w:rsidRDefault="002B030A" w:rsidP="00327D5A">
      <w:pPr>
        <w:spacing w:after="120" w:line="276" w:lineRule="auto"/>
        <w:rPr>
          <w:rFonts w:ascii="Calibri" w:hAnsi="Calibri" w:cs="Calibri"/>
          <w:b/>
          <w:bCs/>
        </w:rPr>
      </w:pPr>
    </w:p>
    <w:p w14:paraId="2A608E03" w14:textId="3831066D" w:rsidR="00532606" w:rsidRDefault="00D851B5" w:rsidP="00327D5A">
      <w:pPr>
        <w:spacing w:after="120" w:line="276" w:lineRule="auto"/>
        <w:rPr>
          <w:rFonts w:ascii="Calibri" w:hAnsi="Calibri" w:cs="Calibri"/>
          <w:b/>
          <w:bCs/>
        </w:rPr>
      </w:pPr>
      <w:r w:rsidRPr="005A6959">
        <w:rPr>
          <w:rFonts w:ascii="Calibri" w:hAnsi="Calibri" w:cs="Calibri"/>
          <w:noProof/>
        </w:rPr>
        <mc:AlternateContent>
          <mc:Choice Requires="wps">
            <w:drawing>
              <wp:anchor distT="45720" distB="45720" distL="114300" distR="114300" simplePos="0" relativeHeight="251790336" behindDoc="0" locked="0" layoutInCell="1" allowOverlap="1" wp14:anchorId="141997AC" wp14:editId="6D4B9086">
                <wp:simplePos x="0" y="0"/>
                <wp:positionH relativeFrom="margin">
                  <wp:posOffset>3175</wp:posOffset>
                </wp:positionH>
                <wp:positionV relativeFrom="paragraph">
                  <wp:posOffset>271639</wp:posOffset>
                </wp:positionV>
                <wp:extent cx="5384800" cy="5745480"/>
                <wp:effectExtent l="0" t="0" r="25400" b="26670"/>
                <wp:wrapSquare wrapText="bothSides"/>
                <wp:docPr id="69292542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84800" cy="5745480"/>
                        </a:xfrm>
                        <a:prstGeom prst="roundRect">
                          <a:avLst/>
                        </a:prstGeom>
                        <a:solidFill>
                          <a:schemeClr val="bg1"/>
                        </a:solidFill>
                        <a:ln w="19050">
                          <a:solidFill>
                            <a:srgbClr val="B6A04C"/>
                          </a:solidFill>
                          <a:miter lim="800000"/>
                          <a:headEnd/>
                          <a:tailEnd/>
                        </a:ln>
                      </wps:spPr>
                      <wps:txbx>
                        <w:txbxContent>
                          <w:p w14:paraId="6A35C362" w14:textId="20777C3C" w:rsidR="004B1AF1" w:rsidRPr="002B030A" w:rsidRDefault="004B1AF1" w:rsidP="002B030A">
                            <w:pPr>
                              <w:jc w:val="center"/>
                              <w:rPr>
                                <w:rFonts w:ascii="Calibri" w:hAnsi="Calibri" w:cs="Calibri"/>
                                <w:b/>
                                <w:bCs/>
                                <w:color w:val="B6A04C"/>
                                <w:sz w:val="20"/>
                                <w:szCs w:val="20"/>
                              </w:rPr>
                            </w:pPr>
                            <w:r w:rsidRPr="002B030A">
                              <w:rPr>
                                <w:rFonts w:ascii="Calibri" w:hAnsi="Calibri" w:cs="Calibri"/>
                                <w:b/>
                                <w:bCs/>
                                <w:color w:val="B6A04C"/>
                                <w:sz w:val="20"/>
                                <w:szCs w:val="20"/>
                              </w:rPr>
                              <w:t>CJEU, 8 April 2014, Digital Rights Ireland Ltd v Minister for Communications, Marine and Natural Resources and Others and Kärntner Landesregierung and Others, Joined Cases C</w:t>
                            </w:r>
                            <w:r w:rsidRPr="002B030A">
                              <w:rPr>
                                <w:rFonts w:ascii="Calibri" w:hAnsi="Calibri" w:cs="Calibri"/>
                                <w:b/>
                                <w:bCs/>
                                <w:color w:val="B6A04C"/>
                                <w:sz w:val="20"/>
                                <w:szCs w:val="20"/>
                              </w:rPr>
                              <w:noBreakHyphen/>
                              <w:t>293/12 and C</w:t>
                            </w:r>
                            <w:r w:rsidRPr="002B030A">
                              <w:rPr>
                                <w:rFonts w:ascii="Calibri" w:hAnsi="Calibri" w:cs="Calibri"/>
                                <w:b/>
                                <w:bCs/>
                                <w:color w:val="B6A04C"/>
                                <w:sz w:val="20"/>
                                <w:szCs w:val="20"/>
                              </w:rPr>
                              <w:noBreakHyphen/>
                              <w:t>594/12., ECLI:EU:C:2014:238</w:t>
                            </w:r>
                          </w:p>
                          <w:p w14:paraId="685EC8C0" w14:textId="77777777" w:rsidR="004B1AF1" w:rsidRDefault="004B1AF1" w:rsidP="004B1AF1">
                            <w:pPr>
                              <w:jc w:val="right"/>
                              <w:rPr>
                                <w:rFonts w:ascii="Calibri" w:hAnsi="Calibri" w:cs="Calibri"/>
                                <w:b/>
                                <w:bCs/>
                                <w:sz w:val="20"/>
                                <w:szCs w:val="20"/>
                              </w:rPr>
                            </w:pPr>
                          </w:p>
                          <w:p w14:paraId="3E626E1F" w14:textId="35F79237" w:rsidR="004B1AF1" w:rsidRPr="00D851B5" w:rsidRDefault="004B1AF1" w:rsidP="004B1AF1">
                            <w:pPr>
                              <w:jc w:val="both"/>
                              <w:rPr>
                                <w:rFonts w:ascii="Calibri" w:hAnsi="Calibri" w:cs="Calibri"/>
                                <w:b/>
                                <w:bCs/>
                                <w:color w:val="2C2D5B"/>
                                <w:sz w:val="19"/>
                                <w:szCs w:val="19"/>
                              </w:rPr>
                            </w:pPr>
                            <w:r w:rsidRPr="00D851B5">
                              <w:rPr>
                                <w:rFonts w:ascii="Calibri" w:hAnsi="Calibri" w:cs="Calibri"/>
                                <w:b/>
                                <w:bCs/>
                                <w:color w:val="2C2D5B"/>
                                <w:sz w:val="19"/>
                                <w:szCs w:val="19"/>
                              </w:rPr>
                              <w:t>Facts</w:t>
                            </w:r>
                            <w:r w:rsidR="00240D8E" w:rsidRPr="00D851B5">
                              <w:rPr>
                                <w:rFonts w:ascii="Calibri" w:hAnsi="Calibri" w:cs="Calibri"/>
                                <w:b/>
                                <w:bCs/>
                                <w:color w:val="2C2D5B"/>
                                <w:sz w:val="19"/>
                                <w:szCs w:val="19"/>
                              </w:rPr>
                              <w:t xml:space="preserve"> </w:t>
                            </w:r>
                            <w:r w:rsidRPr="00D851B5">
                              <w:rPr>
                                <w:rFonts w:ascii="Calibri" w:hAnsi="Calibri" w:cs="Calibri"/>
                                <w:b/>
                                <w:bCs/>
                                <w:color w:val="2C2D5B"/>
                                <w:sz w:val="19"/>
                                <w:szCs w:val="19"/>
                              </w:rPr>
                              <w:t xml:space="preserve">: </w:t>
                            </w:r>
                          </w:p>
                          <w:p w14:paraId="636BEF5D" w14:textId="77777777" w:rsidR="004B1AF1" w:rsidRPr="00D851B5" w:rsidRDefault="004B1AF1" w:rsidP="004B1AF1">
                            <w:pPr>
                              <w:jc w:val="both"/>
                              <w:rPr>
                                <w:rFonts w:ascii="Calibri" w:hAnsi="Calibri" w:cs="Calibri"/>
                                <w:color w:val="2C2D5B"/>
                                <w:sz w:val="19"/>
                                <w:szCs w:val="19"/>
                              </w:rPr>
                            </w:pPr>
                            <w:r w:rsidRPr="00D851B5">
                              <w:rPr>
                                <w:rFonts w:ascii="Calibri" w:hAnsi="Calibri" w:cs="Calibri"/>
                                <w:color w:val="2C2D5B"/>
                                <w:sz w:val="19"/>
                                <w:szCs w:val="19"/>
                              </w:rPr>
                              <w:t>This particular case dealt with Directive 2006/24/EC (Directive), which governed Internet service providers' storage of telecommunications data and which might be utilised to combat serious crime in the EU. It was adopted by the European Parliament and Council in 2006. The purpose of the Directive was to unify the various national laws in the EU regulating the preservation of data about the origin, destination, and timing of communications occurring within the EU.</w:t>
                            </w:r>
                          </w:p>
                          <w:p w14:paraId="39958AC8" w14:textId="3ECAB5A7" w:rsidR="004B1AF1" w:rsidRPr="00D851B5" w:rsidRDefault="004B1AF1" w:rsidP="004B1AF1">
                            <w:pPr>
                              <w:jc w:val="both"/>
                              <w:rPr>
                                <w:rFonts w:ascii="Calibri" w:hAnsi="Calibri" w:cs="Calibri"/>
                                <w:color w:val="2C2D5B"/>
                                <w:sz w:val="19"/>
                                <w:szCs w:val="19"/>
                              </w:rPr>
                            </w:pPr>
                            <w:r w:rsidRPr="00D851B5">
                              <w:rPr>
                                <w:rFonts w:ascii="Calibri" w:hAnsi="Calibri" w:cs="Calibri"/>
                                <w:color w:val="2C2D5B"/>
                                <w:sz w:val="19"/>
                                <w:szCs w:val="19"/>
                              </w:rPr>
                              <w:t>Regarding the legality of the actions based upon the Directive, parallel cases were brought up in Austria and Ireland. Digital Rights Ireland, a civil rights organisation in the State, said that the Directive was being used as a foundation for regulations pertaining to mass surveillance that infringed against fundamental human rights. The Austrian Constitutional Court and the High Court of Ireland contended that they were unable to appraise such actions until the legitimacy of the Directive was determined. Following that, the questions from each court were referred to the CJEU.</w:t>
                            </w:r>
                          </w:p>
                          <w:p w14:paraId="272529F3" w14:textId="77777777" w:rsidR="004B1AF1" w:rsidRPr="00D851B5" w:rsidRDefault="004B1AF1" w:rsidP="004B1AF1">
                            <w:pPr>
                              <w:jc w:val="both"/>
                              <w:rPr>
                                <w:rFonts w:ascii="Calibri" w:hAnsi="Calibri" w:cs="Calibri"/>
                                <w:color w:val="2C2D5B"/>
                                <w:sz w:val="19"/>
                                <w:szCs w:val="19"/>
                              </w:rPr>
                            </w:pPr>
                          </w:p>
                          <w:p w14:paraId="5E8CBD2C" w14:textId="75B10B30" w:rsidR="004B1AF1" w:rsidRPr="00D851B5" w:rsidRDefault="004B1AF1" w:rsidP="004B1AF1">
                            <w:pPr>
                              <w:jc w:val="both"/>
                              <w:rPr>
                                <w:rFonts w:ascii="Calibri" w:hAnsi="Calibri" w:cs="Calibri"/>
                                <w:b/>
                                <w:bCs/>
                                <w:color w:val="2C2D5B"/>
                                <w:sz w:val="19"/>
                                <w:szCs w:val="19"/>
                              </w:rPr>
                            </w:pPr>
                            <w:r w:rsidRPr="00D851B5">
                              <w:rPr>
                                <w:rFonts w:ascii="Calibri" w:hAnsi="Calibri" w:cs="Calibri"/>
                                <w:b/>
                                <w:bCs/>
                                <w:color w:val="2C2D5B"/>
                                <w:sz w:val="19"/>
                                <w:szCs w:val="19"/>
                              </w:rPr>
                              <w:t>Ruling</w:t>
                            </w:r>
                            <w:r w:rsidR="00240D8E" w:rsidRPr="00D851B5">
                              <w:rPr>
                                <w:rFonts w:ascii="Calibri" w:hAnsi="Calibri" w:cs="Calibri"/>
                                <w:b/>
                                <w:bCs/>
                                <w:color w:val="2C2D5B"/>
                                <w:sz w:val="19"/>
                                <w:szCs w:val="19"/>
                              </w:rPr>
                              <w:t xml:space="preserve"> </w:t>
                            </w:r>
                            <w:r w:rsidRPr="00D851B5">
                              <w:rPr>
                                <w:rFonts w:ascii="Calibri" w:hAnsi="Calibri" w:cs="Calibri"/>
                                <w:b/>
                                <w:bCs/>
                                <w:color w:val="2C2D5B"/>
                                <w:sz w:val="19"/>
                                <w:szCs w:val="19"/>
                              </w:rPr>
                              <w:t xml:space="preserve">: </w:t>
                            </w:r>
                          </w:p>
                          <w:p w14:paraId="7CBF8654" w14:textId="77777777" w:rsidR="004B1AF1" w:rsidRPr="00D851B5" w:rsidRDefault="004B1AF1" w:rsidP="004B1AF1">
                            <w:pPr>
                              <w:spacing w:after="120" w:line="276" w:lineRule="auto"/>
                              <w:jc w:val="both"/>
                              <w:rPr>
                                <w:rFonts w:ascii="Calibri" w:hAnsi="Calibri" w:cs="Calibri"/>
                                <w:color w:val="2C2D5B"/>
                                <w:sz w:val="19"/>
                                <w:szCs w:val="19"/>
                              </w:rPr>
                            </w:pPr>
                            <w:r w:rsidRPr="00D851B5">
                              <w:rPr>
                                <w:rFonts w:ascii="Calibri" w:hAnsi="Calibri" w:cs="Calibri"/>
                                <w:color w:val="2C2D5B"/>
                                <w:sz w:val="19"/>
                                <w:szCs w:val="19"/>
                              </w:rPr>
                              <w:t>After assessing the Directive's compliance with Articles 7 and 8 of the Charter, the European Court of Justice (ECJ) ruled that it was unconstitutional. The CJEU claimed that the Directive infringed against both the right to the protection of personal data under Article 8 and the right to respect for one's private life under Article 7. Limitations on these rights are only permissible under Article 52(1) of the Charter if they are mandated by law, respectful of the fundamental rights guaranteed by the Charter, and commensurate with the legitimate goal being sought.</w:t>
                            </w:r>
                          </w:p>
                          <w:p w14:paraId="5A914803" w14:textId="77777777" w:rsidR="004B1AF1" w:rsidRPr="00D851B5" w:rsidRDefault="004B1AF1" w:rsidP="004B1AF1">
                            <w:pPr>
                              <w:spacing w:after="120" w:line="276" w:lineRule="auto"/>
                              <w:jc w:val="both"/>
                              <w:rPr>
                                <w:rFonts w:ascii="Calibri" w:hAnsi="Calibri" w:cs="Calibri"/>
                                <w:color w:val="2C2D5B"/>
                                <w:sz w:val="19"/>
                                <w:szCs w:val="19"/>
                              </w:rPr>
                            </w:pPr>
                            <w:r w:rsidRPr="00D851B5">
                              <w:rPr>
                                <w:rFonts w:ascii="Calibri" w:hAnsi="Calibri" w:cs="Calibri"/>
                                <w:color w:val="2C2D5B"/>
                                <w:sz w:val="19"/>
                                <w:szCs w:val="19"/>
                              </w:rPr>
                              <w:t>The CJEU concluded that the Directive's application might, for a period of time that was not stated but could range from six to twenty-four months, significantly interfere with the fundamental rights of every citizen of the EU. Regarding the terms of data storage and the responsibilities of Internet service providers and security agencies that access the data, the Directive ought to have been more explicit. Because the Directive did not provide any assurances on the storage, management, or accessibility of telecommunications data, the CJEU held that the Directive was incompatible with the Charter.</w:t>
                            </w:r>
                          </w:p>
                          <w:p w14:paraId="10C9B462" w14:textId="77777777" w:rsidR="004B1AF1" w:rsidRDefault="004B1AF1" w:rsidP="004B1AF1">
                            <w:pPr>
                              <w:jc w:val="both"/>
                              <w:rPr>
                                <w:rFonts w:ascii="Calibri" w:hAnsi="Calibri" w:cs="Calibri"/>
                                <w:b/>
                                <w:bCs/>
                                <w:sz w:val="20"/>
                                <w:szCs w:val="20"/>
                              </w:rPr>
                            </w:pPr>
                          </w:p>
                          <w:p w14:paraId="6E4B96D3" w14:textId="77777777" w:rsidR="004B1AF1" w:rsidRPr="004B1AF1" w:rsidRDefault="004B1AF1" w:rsidP="004B1AF1">
                            <w:pPr>
                              <w:jc w:val="both"/>
                              <w:rPr>
                                <w:rFonts w:ascii="Calibri" w:hAnsi="Calibri" w:cs="Calibri"/>
                                <w:b/>
                                <w:bCs/>
                                <w:sz w:val="20"/>
                                <w:szCs w:val="20"/>
                              </w:rPr>
                            </w:pPr>
                          </w:p>
                          <w:p w14:paraId="4E9ED5DA" w14:textId="77777777" w:rsidR="004B1AF1" w:rsidRPr="004B1AF1" w:rsidRDefault="004B1AF1" w:rsidP="00327D5A">
                            <w:pPr>
                              <w:jc w:val="both"/>
                              <w:rPr>
                                <w:rFonts w:ascii="Calibri" w:hAnsi="Calibri" w:cs="Calibri"/>
                                <w:b/>
                                <w:bCs/>
                                <w:sz w:val="20"/>
                                <w:szCs w:val="20"/>
                              </w:rPr>
                            </w:pPr>
                          </w:p>
                          <w:p w14:paraId="288D819F" w14:textId="2B9573C6" w:rsidR="004B1AF1" w:rsidRPr="00327D5A" w:rsidRDefault="004B1AF1" w:rsidP="00327D5A">
                            <w:pPr>
                              <w:jc w:val="right"/>
                              <w:rPr>
                                <w:rFonts w:ascii="Calibri" w:hAnsi="Calibri" w:cs="Calibri"/>
                                <w:b/>
                                <w:bCs/>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141997AC" id="_x0000_s1072" style="position:absolute;margin-left:.25pt;margin-top:21.4pt;width:424pt;height:452.4pt;z-index:2517903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OVIgIAAC0EAAAOAAAAZHJzL2Uyb0RvYy54bWysU8tu2zAQvBfoPxC815Jd2XEEy4HjNEWB&#10;9IGm/QCKpCSiFFclaUvJ13dJKY6T3orqQHC15OzO7HBzNbSaHKV1CkxB57OUEmk4CGXqgv78cftu&#10;TYnzzAimwciCPkhHr7Zv32z6LpcLaEALaQmCGJf3XUEb77s8SRxvZMvcDDppMFmBbZnH0NaJsKxH&#10;9FYnizRdJT1Y0Vng0jn8ezMm6TbiV5Xk/mtVOemJLij25uNq41qGNdluWF5b1jWKT22wf+iiZcpg&#10;0RPUDfOMHKz6C6pV3IKDys84tAlUleIyckA28/QVm/uGdTJyQXFcd5LJ/T9Y/uV4332zxA/XMOAA&#10;IwnX3QH/5YiBfcNMLXfWQt9IJrDwPEiW9J3Lp6tBape7AFL2n0HgkNnBQwQaKtsGVZAnQXQcwMNJ&#10;dDl4wvHn8v06W6eY4phbXmRLjGINlj9d76zzHyW0JGwKauFgxHccbazBjnfOh55Y/nQulHSglbhV&#10;Wscg2EnutSVHhkYo65HFq1PakB4JXqbLdJThBYStyxPA9WqXZvupyxeVWuXRz1q1BUVS+I0OC+J9&#10;MCK6zTOlxz22rM2kZhBwlNIP5UCUKGi2CpeDuiWIB9TXwuhffG+4acA+UtKjdwvqfh+YlZToTwZn&#10;dDnPsmD2GGTLiwUG9jxTnmeY4QhVUE/JuN37+ECCcAZ2OMtKRYGfO5l6Rk9G3af3E0x/HsdTz698&#10;+wcAAP//AwBQSwMEFAAGAAgAAAAhALfPk4/aAAAABwEAAA8AAABkcnMvZG93bnJldi54bWxMjr1O&#10;wzAUhXck3sG6SGzUoUqLG3JTRZVY2Bragc2JL0kgtqPYTcPbc5lgPD8658v3ix3ETFPovUN4XCUg&#10;yDXe9K5FOL29PCgQIWpn9OAdIXxTgH1xe5PrzPirO9JcxVbwiAuZRuhiHDMpQ9OR1WHlR3KcffjJ&#10;6shyaqWZ9JXH7SDXSbKVVveOHzo90qGj5qu6WIT5dNyU6vCeVt1Zfu5eS1UrqxDv75byGUSkJf6V&#10;4Ref0aFgptpfnAliQNhwDyFdMz+nKlVs1Ai79GkLssjlf/7iBwAA//8DAFBLAQItABQABgAIAAAA&#10;IQC2gziS/gAAAOEBAAATAAAAAAAAAAAAAAAAAAAAAABbQ29udGVudF9UeXBlc10ueG1sUEsBAi0A&#10;FAAGAAgAAAAhADj9If/WAAAAlAEAAAsAAAAAAAAAAAAAAAAALwEAAF9yZWxzLy5yZWxzUEsBAi0A&#10;FAAGAAgAAAAhABL+c5UiAgAALQQAAA4AAAAAAAAAAAAAAAAALgIAAGRycy9lMm9Eb2MueG1sUEsB&#10;Ai0AFAAGAAgAAAAhALfPk4/aAAAABwEAAA8AAAAAAAAAAAAAAAAAfAQAAGRycy9kb3ducmV2Lnht&#10;bFBLBQYAAAAABAAEAPMAAACDBQAAAAA=&#10;" fillcolor="white [3212]" strokecolor="#b6a04c" strokeweight="1.5pt">
                <v:stroke joinstyle="miter"/>
                <v:textbox>
                  <w:txbxContent>
                    <w:p w14:paraId="6A35C362" w14:textId="20777C3C" w:rsidR="004B1AF1" w:rsidRPr="002B030A" w:rsidRDefault="004B1AF1" w:rsidP="002B030A">
                      <w:pPr>
                        <w:jc w:val="center"/>
                        <w:rPr>
                          <w:rFonts w:ascii="Calibri" w:hAnsi="Calibri" w:cs="Calibri"/>
                          <w:b/>
                          <w:bCs/>
                          <w:color w:val="B6A04C"/>
                          <w:sz w:val="20"/>
                          <w:szCs w:val="20"/>
                        </w:rPr>
                      </w:pPr>
                      <w:r w:rsidRPr="002B030A">
                        <w:rPr>
                          <w:rFonts w:ascii="Calibri" w:hAnsi="Calibri" w:cs="Calibri"/>
                          <w:b/>
                          <w:bCs/>
                          <w:color w:val="B6A04C"/>
                          <w:sz w:val="20"/>
                          <w:szCs w:val="20"/>
                        </w:rPr>
                        <w:t xml:space="preserve">CJEU, 8 April 2014, Digital Rights Ireland Ltd v Minister for Communications, Marine and Natural Resources and Others and Kärntner </w:t>
                      </w:r>
                      <w:proofErr w:type="spellStart"/>
                      <w:r w:rsidRPr="002B030A">
                        <w:rPr>
                          <w:rFonts w:ascii="Calibri" w:hAnsi="Calibri" w:cs="Calibri"/>
                          <w:b/>
                          <w:bCs/>
                          <w:color w:val="B6A04C"/>
                          <w:sz w:val="20"/>
                          <w:szCs w:val="20"/>
                        </w:rPr>
                        <w:t>Landesregierung</w:t>
                      </w:r>
                      <w:proofErr w:type="spellEnd"/>
                      <w:r w:rsidRPr="002B030A">
                        <w:rPr>
                          <w:rFonts w:ascii="Calibri" w:hAnsi="Calibri" w:cs="Calibri"/>
                          <w:b/>
                          <w:bCs/>
                          <w:color w:val="B6A04C"/>
                          <w:sz w:val="20"/>
                          <w:szCs w:val="20"/>
                        </w:rPr>
                        <w:t xml:space="preserve"> and Others, Joined Cases C</w:t>
                      </w:r>
                      <w:r w:rsidRPr="002B030A">
                        <w:rPr>
                          <w:rFonts w:ascii="Calibri" w:hAnsi="Calibri" w:cs="Calibri"/>
                          <w:b/>
                          <w:bCs/>
                          <w:color w:val="B6A04C"/>
                          <w:sz w:val="20"/>
                          <w:szCs w:val="20"/>
                        </w:rPr>
                        <w:noBreakHyphen/>
                        <w:t>293/12 and C</w:t>
                      </w:r>
                      <w:r w:rsidRPr="002B030A">
                        <w:rPr>
                          <w:rFonts w:ascii="Calibri" w:hAnsi="Calibri" w:cs="Calibri"/>
                          <w:b/>
                          <w:bCs/>
                          <w:color w:val="B6A04C"/>
                          <w:sz w:val="20"/>
                          <w:szCs w:val="20"/>
                        </w:rPr>
                        <w:noBreakHyphen/>
                        <w:t>594/12., ECLI:EU:C:2014:238</w:t>
                      </w:r>
                    </w:p>
                    <w:p w14:paraId="685EC8C0" w14:textId="77777777" w:rsidR="004B1AF1" w:rsidRDefault="004B1AF1" w:rsidP="004B1AF1">
                      <w:pPr>
                        <w:jc w:val="right"/>
                        <w:rPr>
                          <w:rFonts w:ascii="Calibri" w:hAnsi="Calibri" w:cs="Calibri"/>
                          <w:b/>
                          <w:bCs/>
                          <w:sz w:val="20"/>
                          <w:szCs w:val="20"/>
                        </w:rPr>
                      </w:pPr>
                    </w:p>
                    <w:p w14:paraId="3E626E1F" w14:textId="35F79237" w:rsidR="004B1AF1" w:rsidRPr="00D851B5" w:rsidRDefault="004B1AF1" w:rsidP="004B1AF1">
                      <w:pPr>
                        <w:jc w:val="both"/>
                        <w:rPr>
                          <w:rFonts w:ascii="Calibri" w:hAnsi="Calibri" w:cs="Calibri"/>
                          <w:b/>
                          <w:bCs/>
                          <w:color w:val="2C2D5B"/>
                          <w:sz w:val="19"/>
                          <w:szCs w:val="19"/>
                        </w:rPr>
                      </w:pPr>
                      <w:r w:rsidRPr="00D851B5">
                        <w:rPr>
                          <w:rFonts w:ascii="Calibri" w:hAnsi="Calibri" w:cs="Calibri"/>
                          <w:b/>
                          <w:bCs/>
                          <w:color w:val="2C2D5B"/>
                          <w:sz w:val="19"/>
                          <w:szCs w:val="19"/>
                        </w:rPr>
                        <w:t>Facts</w:t>
                      </w:r>
                      <w:r w:rsidR="00240D8E" w:rsidRPr="00D851B5">
                        <w:rPr>
                          <w:rFonts w:ascii="Calibri" w:hAnsi="Calibri" w:cs="Calibri"/>
                          <w:b/>
                          <w:bCs/>
                          <w:color w:val="2C2D5B"/>
                          <w:sz w:val="19"/>
                          <w:szCs w:val="19"/>
                        </w:rPr>
                        <w:t xml:space="preserve"> </w:t>
                      </w:r>
                      <w:r w:rsidRPr="00D851B5">
                        <w:rPr>
                          <w:rFonts w:ascii="Calibri" w:hAnsi="Calibri" w:cs="Calibri"/>
                          <w:b/>
                          <w:bCs/>
                          <w:color w:val="2C2D5B"/>
                          <w:sz w:val="19"/>
                          <w:szCs w:val="19"/>
                        </w:rPr>
                        <w:t xml:space="preserve">: </w:t>
                      </w:r>
                    </w:p>
                    <w:p w14:paraId="636BEF5D" w14:textId="77777777" w:rsidR="004B1AF1" w:rsidRPr="00D851B5" w:rsidRDefault="004B1AF1" w:rsidP="004B1AF1">
                      <w:pPr>
                        <w:jc w:val="both"/>
                        <w:rPr>
                          <w:rFonts w:ascii="Calibri" w:hAnsi="Calibri" w:cs="Calibri"/>
                          <w:color w:val="2C2D5B"/>
                          <w:sz w:val="19"/>
                          <w:szCs w:val="19"/>
                        </w:rPr>
                      </w:pPr>
                      <w:r w:rsidRPr="00D851B5">
                        <w:rPr>
                          <w:rFonts w:ascii="Calibri" w:hAnsi="Calibri" w:cs="Calibri"/>
                          <w:color w:val="2C2D5B"/>
                          <w:sz w:val="19"/>
                          <w:szCs w:val="19"/>
                        </w:rPr>
                        <w:t>This particular case dealt with Directive 2006/24/EC (Directive), which governed Internet service providers' storage of telecommunications data and which might be utilised to combat serious crime in the EU. It was adopted by the European Parliament and Council in 2006. The purpose of the Directive was to unify the various national laws in the EU regulating the preservation of data about the origin, destination, and timing of communications occurring within the EU.</w:t>
                      </w:r>
                    </w:p>
                    <w:p w14:paraId="39958AC8" w14:textId="3ECAB5A7" w:rsidR="004B1AF1" w:rsidRPr="00D851B5" w:rsidRDefault="004B1AF1" w:rsidP="004B1AF1">
                      <w:pPr>
                        <w:jc w:val="both"/>
                        <w:rPr>
                          <w:rFonts w:ascii="Calibri" w:hAnsi="Calibri" w:cs="Calibri"/>
                          <w:color w:val="2C2D5B"/>
                          <w:sz w:val="19"/>
                          <w:szCs w:val="19"/>
                        </w:rPr>
                      </w:pPr>
                      <w:r w:rsidRPr="00D851B5">
                        <w:rPr>
                          <w:rFonts w:ascii="Calibri" w:hAnsi="Calibri" w:cs="Calibri"/>
                          <w:color w:val="2C2D5B"/>
                          <w:sz w:val="19"/>
                          <w:szCs w:val="19"/>
                        </w:rPr>
                        <w:t>Regarding the legality of the actions based upon the Directive, parallel cases were brought up in Austria and Ireland. Digital Rights Ireland, a civil rights organisation in the State, said that the Directive was being used as a foundation for regulations pertaining to mass surveillance that infringed against fundamental human rights. The Austrian Constitutional Court and the High Court of Ireland contended that they were unable to appraise such actions until the legitimacy of the Directive was determined. Following that, the questions from each court were referred to the CJEU.</w:t>
                      </w:r>
                    </w:p>
                    <w:p w14:paraId="272529F3" w14:textId="77777777" w:rsidR="004B1AF1" w:rsidRPr="00D851B5" w:rsidRDefault="004B1AF1" w:rsidP="004B1AF1">
                      <w:pPr>
                        <w:jc w:val="both"/>
                        <w:rPr>
                          <w:rFonts w:ascii="Calibri" w:hAnsi="Calibri" w:cs="Calibri"/>
                          <w:color w:val="2C2D5B"/>
                          <w:sz w:val="19"/>
                          <w:szCs w:val="19"/>
                        </w:rPr>
                      </w:pPr>
                    </w:p>
                    <w:p w14:paraId="5E8CBD2C" w14:textId="75B10B30" w:rsidR="004B1AF1" w:rsidRPr="00D851B5" w:rsidRDefault="004B1AF1" w:rsidP="004B1AF1">
                      <w:pPr>
                        <w:jc w:val="both"/>
                        <w:rPr>
                          <w:rFonts w:ascii="Calibri" w:hAnsi="Calibri" w:cs="Calibri"/>
                          <w:b/>
                          <w:bCs/>
                          <w:color w:val="2C2D5B"/>
                          <w:sz w:val="19"/>
                          <w:szCs w:val="19"/>
                        </w:rPr>
                      </w:pPr>
                      <w:r w:rsidRPr="00D851B5">
                        <w:rPr>
                          <w:rFonts w:ascii="Calibri" w:hAnsi="Calibri" w:cs="Calibri"/>
                          <w:b/>
                          <w:bCs/>
                          <w:color w:val="2C2D5B"/>
                          <w:sz w:val="19"/>
                          <w:szCs w:val="19"/>
                        </w:rPr>
                        <w:t>Ruling</w:t>
                      </w:r>
                      <w:r w:rsidR="00240D8E" w:rsidRPr="00D851B5">
                        <w:rPr>
                          <w:rFonts w:ascii="Calibri" w:hAnsi="Calibri" w:cs="Calibri"/>
                          <w:b/>
                          <w:bCs/>
                          <w:color w:val="2C2D5B"/>
                          <w:sz w:val="19"/>
                          <w:szCs w:val="19"/>
                        </w:rPr>
                        <w:t xml:space="preserve"> </w:t>
                      </w:r>
                      <w:r w:rsidRPr="00D851B5">
                        <w:rPr>
                          <w:rFonts w:ascii="Calibri" w:hAnsi="Calibri" w:cs="Calibri"/>
                          <w:b/>
                          <w:bCs/>
                          <w:color w:val="2C2D5B"/>
                          <w:sz w:val="19"/>
                          <w:szCs w:val="19"/>
                        </w:rPr>
                        <w:t xml:space="preserve">: </w:t>
                      </w:r>
                    </w:p>
                    <w:p w14:paraId="7CBF8654" w14:textId="77777777" w:rsidR="004B1AF1" w:rsidRPr="00D851B5" w:rsidRDefault="004B1AF1" w:rsidP="004B1AF1">
                      <w:pPr>
                        <w:spacing w:after="120" w:line="276" w:lineRule="auto"/>
                        <w:jc w:val="both"/>
                        <w:rPr>
                          <w:rFonts w:ascii="Calibri" w:hAnsi="Calibri" w:cs="Calibri"/>
                          <w:color w:val="2C2D5B"/>
                          <w:sz w:val="19"/>
                          <w:szCs w:val="19"/>
                        </w:rPr>
                      </w:pPr>
                      <w:r w:rsidRPr="00D851B5">
                        <w:rPr>
                          <w:rFonts w:ascii="Calibri" w:hAnsi="Calibri" w:cs="Calibri"/>
                          <w:color w:val="2C2D5B"/>
                          <w:sz w:val="19"/>
                          <w:szCs w:val="19"/>
                        </w:rPr>
                        <w:t>After assessing the Directive's compliance with Articles 7 and 8 of the Charter, the European Court of Justice (ECJ) ruled that it was unconstitutional. The CJEU claimed that the Directive infringed against both the right to the protection of personal data under Article 8 and the right to respect for one's private life under Article 7. Limitations on these rights are only permissible under Article 52(1) of the Charter if they are mandated by law, respectful of the fundamental rights guaranteed by the Charter, and commensurate with the legitimate goal being sought.</w:t>
                      </w:r>
                    </w:p>
                    <w:p w14:paraId="5A914803" w14:textId="77777777" w:rsidR="004B1AF1" w:rsidRPr="00D851B5" w:rsidRDefault="004B1AF1" w:rsidP="004B1AF1">
                      <w:pPr>
                        <w:spacing w:after="120" w:line="276" w:lineRule="auto"/>
                        <w:jc w:val="both"/>
                        <w:rPr>
                          <w:rFonts w:ascii="Calibri" w:hAnsi="Calibri" w:cs="Calibri"/>
                          <w:color w:val="2C2D5B"/>
                          <w:sz w:val="19"/>
                          <w:szCs w:val="19"/>
                        </w:rPr>
                      </w:pPr>
                      <w:r w:rsidRPr="00D851B5">
                        <w:rPr>
                          <w:rFonts w:ascii="Calibri" w:hAnsi="Calibri" w:cs="Calibri"/>
                          <w:color w:val="2C2D5B"/>
                          <w:sz w:val="19"/>
                          <w:szCs w:val="19"/>
                        </w:rPr>
                        <w:t>The CJEU concluded that the Directive's application might, for a period of time that was not stated but could range from six to twenty-four months, significantly interfere with the fundamental rights of every citizen of the EU. Regarding the terms of data storage and the responsibilities of Internet service providers and security agencies that access the data, the Directive ought to have been more explicit. Because the Directive did not provide any assurances on the storage, management, or accessibility of telecommunications data, the CJEU held that the Directive was incompatible with the Charter.</w:t>
                      </w:r>
                    </w:p>
                    <w:p w14:paraId="10C9B462" w14:textId="77777777" w:rsidR="004B1AF1" w:rsidRDefault="004B1AF1" w:rsidP="004B1AF1">
                      <w:pPr>
                        <w:jc w:val="both"/>
                        <w:rPr>
                          <w:rFonts w:ascii="Calibri" w:hAnsi="Calibri" w:cs="Calibri"/>
                          <w:b/>
                          <w:bCs/>
                          <w:sz w:val="20"/>
                          <w:szCs w:val="20"/>
                        </w:rPr>
                      </w:pPr>
                    </w:p>
                    <w:p w14:paraId="6E4B96D3" w14:textId="77777777" w:rsidR="004B1AF1" w:rsidRPr="004B1AF1" w:rsidRDefault="004B1AF1" w:rsidP="004B1AF1">
                      <w:pPr>
                        <w:jc w:val="both"/>
                        <w:rPr>
                          <w:rFonts w:ascii="Calibri" w:hAnsi="Calibri" w:cs="Calibri"/>
                          <w:b/>
                          <w:bCs/>
                          <w:sz w:val="20"/>
                          <w:szCs w:val="20"/>
                        </w:rPr>
                      </w:pPr>
                    </w:p>
                    <w:p w14:paraId="4E9ED5DA" w14:textId="77777777" w:rsidR="004B1AF1" w:rsidRPr="004B1AF1" w:rsidRDefault="004B1AF1" w:rsidP="00327D5A">
                      <w:pPr>
                        <w:jc w:val="both"/>
                        <w:rPr>
                          <w:rFonts w:ascii="Calibri" w:hAnsi="Calibri" w:cs="Calibri"/>
                          <w:b/>
                          <w:bCs/>
                          <w:sz w:val="20"/>
                          <w:szCs w:val="20"/>
                        </w:rPr>
                      </w:pPr>
                    </w:p>
                    <w:p w14:paraId="288D819F" w14:textId="2B9573C6" w:rsidR="004B1AF1" w:rsidRPr="00327D5A" w:rsidRDefault="004B1AF1" w:rsidP="00327D5A">
                      <w:pPr>
                        <w:jc w:val="right"/>
                        <w:rPr>
                          <w:rFonts w:ascii="Calibri" w:hAnsi="Calibri" w:cs="Calibri"/>
                          <w:b/>
                          <w:bCs/>
                          <w:sz w:val="20"/>
                          <w:szCs w:val="20"/>
                        </w:rPr>
                      </w:pPr>
                    </w:p>
                  </w:txbxContent>
                </v:textbox>
                <w10:wrap type="square" anchorx="margin"/>
              </v:roundrect>
            </w:pict>
          </mc:Fallback>
        </mc:AlternateContent>
      </w: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85920" behindDoc="0" locked="0" layoutInCell="1" allowOverlap="1" wp14:anchorId="48CE38BB" wp14:editId="4BD059B1">
            <wp:simplePos x="0" y="0"/>
            <wp:positionH relativeFrom="column">
              <wp:posOffset>4884420</wp:posOffset>
            </wp:positionH>
            <wp:positionV relativeFrom="paragraph">
              <wp:posOffset>51294</wp:posOffset>
            </wp:positionV>
            <wp:extent cx="713105" cy="575310"/>
            <wp:effectExtent l="0" t="0" r="0" b="0"/>
            <wp:wrapNone/>
            <wp:docPr id="157727609"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p>
    <w:p w14:paraId="427D39C7" w14:textId="77777777" w:rsidR="00240D8E" w:rsidRDefault="00240D8E" w:rsidP="00327D5A">
      <w:pPr>
        <w:spacing w:after="120" w:line="276" w:lineRule="auto"/>
        <w:rPr>
          <w:rFonts w:ascii="Calibri" w:hAnsi="Calibri" w:cs="Calibri"/>
          <w:b/>
          <w:bCs/>
          <w:i/>
          <w:iCs/>
          <w:color w:val="002060"/>
        </w:rPr>
      </w:pPr>
    </w:p>
    <w:p w14:paraId="1269A52A" w14:textId="24072E05" w:rsidR="00740BB9" w:rsidRPr="00D851B5" w:rsidRDefault="004B1AF1" w:rsidP="00327D5A">
      <w:pPr>
        <w:spacing w:after="120" w:line="276" w:lineRule="auto"/>
        <w:rPr>
          <w:rFonts w:ascii="Calibri" w:hAnsi="Calibri" w:cs="Calibri"/>
          <w:b/>
          <w:bCs/>
          <w:i/>
          <w:iCs/>
          <w:color w:val="2F5496" w:themeColor="accent1" w:themeShade="BF"/>
        </w:rPr>
      </w:pPr>
      <w:r w:rsidRPr="00D851B5">
        <w:rPr>
          <w:rFonts w:ascii="Calibri" w:hAnsi="Calibri" w:cs="Calibri"/>
          <w:b/>
          <w:bCs/>
          <w:i/>
          <w:iCs/>
          <w:color w:val="2F5496" w:themeColor="accent1" w:themeShade="BF"/>
        </w:rPr>
        <w:t xml:space="preserve">ii. </w:t>
      </w:r>
      <w:r w:rsidR="00740BB9" w:rsidRPr="00D851B5">
        <w:rPr>
          <w:rFonts w:ascii="Calibri" w:hAnsi="Calibri" w:cs="Calibri"/>
          <w:b/>
          <w:bCs/>
          <w:i/>
          <w:iCs/>
          <w:color w:val="2F5496" w:themeColor="accent1" w:themeShade="BF"/>
        </w:rPr>
        <w:t xml:space="preserve">Human dignity, prohibition of torture and inhuman or degrading treatment or punishment et al. </w:t>
      </w:r>
    </w:p>
    <w:p w14:paraId="0477EE1B" w14:textId="16DA78BC" w:rsidR="00ED05AB" w:rsidRPr="00240D8E" w:rsidRDefault="00740BB9" w:rsidP="00740BB9">
      <w:pPr>
        <w:spacing w:after="120" w:line="276" w:lineRule="auto"/>
        <w:jc w:val="both"/>
        <w:rPr>
          <w:rFonts w:asciiTheme="majorHAnsi" w:hAnsiTheme="majorHAnsi" w:cstheme="majorHAnsi"/>
          <w:color w:val="2C2D5B"/>
        </w:rPr>
      </w:pPr>
      <w:r w:rsidRPr="00240D8E">
        <w:rPr>
          <w:rFonts w:asciiTheme="majorHAnsi" w:hAnsiTheme="majorHAnsi" w:cstheme="majorHAnsi"/>
          <w:color w:val="2C2D5B"/>
        </w:rPr>
        <w:t xml:space="preserve">The case C-411-10 and C-493-10, joined cases of </w:t>
      </w:r>
      <w:r w:rsidRPr="00240D8E">
        <w:rPr>
          <w:rFonts w:asciiTheme="majorHAnsi" w:hAnsiTheme="majorHAnsi" w:cstheme="majorHAnsi"/>
          <w:i/>
          <w:iCs/>
          <w:color w:val="2C2D5B"/>
        </w:rPr>
        <w:t>N.S. v United Kingdom</w:t>
      </w:r>
      <w:r w:rsidRPr="00240D8E">
        <w:rPr>
          <w:rFonts w:asciiTheme="majorHAnsi" w:hAnsiTheme="majorHAnsi" w:cstheme="majorHAnsi"/>
          <w:color w:val="2C2D5B"/>
        </w:rPr>
        <w:t xml:space="preserve"> and </w:t>
      </w:r>
      <w:r w:rsidRPr="00240D8E">
        <w:rPr>
          <w:rFonts w:asciiTheme="majorHAnsi" w:hAnsiTheme="majorHAnsi" w:cstheme="majorHAnsi"/>
          <w:i/>
          <w:iCs/>
          <w:color w:val="2C2D5B"/>
        </w:rPr>
        <w:t>M.E. v Ireland</w:t>
      </w:r>
      <w:r w:rsidRPr="00240D8E">
        <w:rPr>
          <w:rFonts w:asciiTheme="majorHAnsi" w:hAnsiTheme="majorHAnsi" w:cstheme="majorHAnsi"/>
          <w:color w:val="2C2D5B"/>
        </w:rPr>
        <w:t xml:space="preserve"> is a case which dealt with a variety of rights enshrined in the Charter, as it encapsulates an area of law which has triggered the human rights infrastructure of the State: namely, asylum law. </w:t>
      </w:r>
    </w:p>
    <w:p w14:paraId="7DFC56C2" w14:textId="77777777" w:rsidR="00ED05AB" w:rsidRPr="00532606" w:rsidRDefault="00ED05AB" w:rsidP="00740BB9">
      <w:pPr>
        <w:spacing w:after="120" w:line="276" w:lineRule="auto"/>
        <w:jc w:val="both"/>
        <w:rPr>
          <w:rFonts w:asciiTheme="majorHAnsi" w:hAnsiTheme="majorHAnsi" w:cstheme="majorHAnsi"/>
        </w:rPr>
      </w:pPr>
    </w:p>
    <w:p w14:paraId="02CC322D" w14:textId="3B9D3573" w:rsidR="00532606" w:rsidRDefault="00532606" w:rsidP="00740BB9">
      <w:pPr>
        <w:spacing w:after="120" w:line="276" w:lineRule="auto"/>
        <w:jc w:val="both"/>
        <w:rPr>
          <w:rFonts w:ascii="Calibri" w:hAnsi="Calibri" w:cs="Calibri"/>
        </w:rPr>
      </w:pPr>
    </w:p>
    <w:p w14:paraId="174DC7AA" w14:textId="000D7A7C" w:rsidR="00532606" w:rsidRDefault="00532606" w:rsidP="00740BB9">
      <w:pPr>
        <w:spacing w:after="120" w:line="276" w:lineRule="auto"/>
        <w:jc w:val="both"/>
        <w:rPr>
          <w:rFonts w:ascii="Calibri" w:hAnsi="Calibri" w:cs="Calibri"/>
        </w:rPr>
      </w:pPr>
    </w:p>
    <w:p w14:paraId="5336EC20" w14:textId="20209C79" w:rsidR="00532606" w:rsidRDefault="00D851B5" w:rsidP="00740BB9">
      <w:pPr>
        <w:spacing w:after="120" w:line="276" w:lineRule="auto"/>
        <w:jc w:val="both"/>
        <w:rPr>
          <w:rFonts w:ascii="Calibri" w:hAnsi="Calibri" w:cs="Calibri"/>
        </w:rPr>
      </w:pPr>
      <w:r w:rsidRPr="00E53B29">
        <w:rPr>
          <w:rFonts w:asciiTheme="minorHAnsi" w:hAnsiTheme="minorHAnsi" w:cstheme="minorHAnsi"/>
          <w:b/>
          <w:bCs/>
          <w:noProof/>
          <w:color w:val="2F5496" w:themeColor="accent1" w:themeShade="BF"/>
          <w:sz w:val="32"/>
          <w:szCs w:val="32"/>
        </w:rPr>
        <w:drawing>
          <wp:anchor distT="0" distB="0" distL="114300" distR="114300" simplePos="0" relativeHeight="251987968" behindDoc="0" locked="0" layoutInCell="1" allowOverlap="1" wp14:anchorId="2621F231" wp14:editId="661792EE">
            <wp:simplePos x="0" y="0"/>
            <wp:positionH relativeFrom="column">
              <wp:posOffset>5086209</wp:posOffset>
            </wp:positionH>
            <wp:positionV relativeFrom="paragraph">
              <wp:posOffset>345440</wp:posOffset>
            </wp:positionV>
            <wp:extent cx="713105" cy="575310"/>
            <wp:effectExtent l="0" t="0" r="0" b="0"/>
            <wp:wrapNone/>
            <wp:docPr id="510881869" name="Image 1" descr="Une image contenant clipart, Graphique, dessin humoristique,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242108" name="Image 1" descr="Une image contenant clipart, Graphique, dessin humoristique, illustration&#10;&#10;Description générée automatiquement"/>
                    <pic:cNvPicPr/>
                  </pic:nvPicPr>
                  <pic:blipFill>
                    <a:blip r:embed="rId16">
                      <a:extLst>
                        <a:ext uri="{28A0092B-C50C-407E-A947-70E740481C1C}">
                          <a14:useLocalDpi xmlns:a14="http://schemas.microsoft.com/office/drawing/2010/main" val="0"/>
                        </a:ext>
                      </a:extLst>
                    </a:blip>
                    <a:stretch>
                      <a:fillRect/>
                    </a:stretch>
                  </pic:blipFill>
                  <pic:spPr>
                    <a:xfrm>
                      <a:off x="0" y="0"/>
                      <a:ext cx="713105" cy="575310"/>
                    </a:xfrm>
                    <a:prstGeom prst="rect">
                      <a:avLst/>
                    </a:prstGeom>
                  </pic:spPr>
                </pic:pic>
              </a:graphicData>
            </a:graphic>
            <wp14:sizeRelH relativeFrom="page">
              <wp14:pctWidth>0</wp14:pctWidth>
            </wp14:sizeRelH>
            <wp14:sizeRelV relativeFrom="page">
              <wp14:pctHeight>0</wp14:pctHeight>
            </wp14:sizeRelV>
          </wp:anchor>
        </w:drawing>
      </w:r>
      <w:r w:rsidRPr="005A6959">
        <w:rPr>
          <w:rFonts w:ascii="Calibri" w:hAnsi="Calibri" w:cs="Calibri"/>
          <w:noProof/>
        </w:rPr>
        <mc:AlternateContent>
          <mc:Choice Requires="wps">
            <w:drawing>
              <wp:anchor distT="45720" distB="45720" distL="114300" distR="114300" simplePos="0" relativeHeight="251792384" behindDoc="0" locked="0" layoutInCell="1" allowOverlap="1" wp14:anchorId="7BA6ED43" wp14:editId="6A9C67E8">
                <wp:simplePos x="0" y="0"/>
                <wp:positionH relativeFrom="margin">
                  <wp:posOffset>-120650</wp:posOffset>
                </wp:positionH>
                <wp:positionV relativeFrom="paragraph">
                  <wp:posOffset>393700</wp:posOffset>
                </wp:positionV>
                <wp:extent cx="5619750" cy="7823200"/>
                <wp:effectExtent l="0" t="0" r="19050" b="25400"/>
                <wp:wrapSquare wrapText="bothSides"/>
                <wp:docPr id="42252462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9750" cy="7823200"/>
                        </a:xfrm>
                        <a:prstGeom prst="roundRect">
                          <a:avLst/>
                        </a:prstGeom>
                        <a:solidFill>
                          <a:schemeClr val="bg1"/>
                        </a:solidFill>
                        <a:ln w="19050">
                          <a:solidFill>
                            <a:srgbClr val="B6A04C"/>
                          </a:solidFill>
                          <a:miter lim="800000"/>
                          <a:headEnd/>
                          <a:tailEnd/>
                        </a:ln>
                      </wps:spPr>
                      <wps:txbx>
                        <w:txbxContent>
                          <w:p w14:paraId="63A2E516" w14:textId="7D4BC229" w:rsidR="00547AC7" w:rsidRPr="00240D8E" w:rsidRDefault="00547AC7" w:rsidP="00240D8E">
                            <w:pPr>
                              <w:jc w:val="center"/>
                              <w:rPr>
                                <w:rFonts w:asciiTheme="minorHAnsi" w:hAnsiTheme="minorHAnsi" w:cstheme="minorHAnsi"/>
                                <w:b/>
                                <w:bCs/>
                                <w:color w:val="B6A04C"/>
                                <w:sz w:val="20"/>
                                <w:szCs w:val="20"/>
                              </w:rPr>
                            </w:pPr>
                            <w:hyperlink r:id="rId71" w:history="1">
                              <w:r w:rsidRPr="00240D8E">
                                <w:rPr>
                                  <w:rStyle w:val="Hypertextovodkaz"/>
                                  <w:rFonts w:asciiTheme="minorHAnsi" w:hAnsiTheme="minorHAnsi" w:cstheme="minorHAnsi"/>
                                  <w:b/>
                                  <w:bCs/>
                                  <w:color w:val="B6A04C"/>
                                  <w:sz w:val="20"/>
                                  <w:szCs w:val="20"/>
                                </w:rPr>
                                <w:t>CJEU, 21 December 2011, N. S. (C-411/10) v Secretary of State for the Home Department and M. E. and Others (C-493/10) v Refugee Applications Commissioner and Minister for Justice, Equality and Law Reform, C-411/10 and C-493/10, ECLI:EU:C:2011:865</w:t>
                              </w:r>
                            </w:hyperlink>
                          </w:p>
                          <w:p w14:paraId="0611FFFB" w14:textId="77777777" w:rsidR="00856458" w:rsidRPr="00240D8E" w:rsidRDefault="00856458" w:rsidP="00547AC7">
                            <w:pPr>
                              <w:jc w:val="right"/>
                              <w:rPr>
                                <w:rFonts w:asciiTheme="minorHAnsi" w:hAnsiTheme="minorHAnsi" w:cstheme="minorHAnsi"/>
                                <w:b/>
                                <w:bCs/>
                                <w:color w:val="2C2D5B"/>
                                <w:sz w:val="20"/>
                                <w:szCs w:val="20"/>
                              </w:rPr>
                            </w:pPr>
                          </w:p>
                          <w:p w14:paraId="53BFF813" w14:textId="118F5082" w:rsidR="00856458" w:rsidRPr="00D851B5" w:rsidRDefault="00856458" w:rsidP="00856458">
                            <w:pPr>
                              <w:jc w:val="both"/>
                              <w:rPr>
                                <w:rFonts w:asciiTheme="minorHAnsi" w:hAnsiTheme="minorHAnsi" w:cstheme="minorHAnsi"/>
                                <w:b/>
                                <w:bCs/>
                                <w:color w:val="2C2D5B"/>
                                <w:sz w:val="19"/>
                                <w:szCs w:val="19"/>
                              </w:rPr>
                            </w:pPr>
                            <w:r w:rsidRPr="00D851B5">
                              <w:rPr>
                                <w:rFonts w:asciiTheme="minorHAnsi" w:hAnsiTheme="minorHAnsi" w:cstheme="minorHAnsi"/>
                                <w:b/>
                                <w:bCs/>
                                <w:color w:val="2C2D5B"/>
                                <w:sz w:val="19"/>
                                <w:szCs w:val="19"/>
                              </w:rPr>
                              <w:t>Facts</w:t>
                            </w:r>
                            <w:r w:rsidR="00240D8E" w:rsidRPr="00D851B5">
                              <w:rPr>
                                <w:rFonts w:asciiTheme="minorHAnsi" w:hAnsiTheme="minorHAnsi" w:cstheme="minorHAnsi"/>
                                <w:b/>
                                <w:bCs/>
                                <w:color w:val="2C2D5B"/>
                                <w:sz w:val="19"/>
                                <w:szCs w:val="19"/>
                              </w:rPr>
                              <w:t xml:space="preserve"> </w:t>
                            </w:r>
                            <w:r w:rsidRPr="00D851B5">
                              <w:rPr>
                                <w:rFonts w:asciiTheme="minorHAnsi" w:hAnsiTheme="minorHAnsi" w:cstheme="minorHAnsi"/>
                                <w:b/>
                                <w:bCs/>
                                <w:color w:val="2C2D5B"/>
                                <w:sz w:val="19"/>
                                <w:szCs w:val="19"/>
                              </w:rPr>
                              <w:t xml:space="preserve">: </w:t>
                            </w:r>
                          </w:p>
                          <w:p w14:paraId="68C49CFF" w14:textId="1F4A4954" w:rsidR="00856458" w:rsidRPr="00D851B5" w:rsidRDefault="00856458" w:rsidP="00856458">
                            <w:pPr>
                              <w:jc w:val="both"/>
                              <w:rPr>
                                <w:rFonts w:ascii="Calibri" w:hAnsi="Calibri" w:cs="Calibri"/>
                                <w:color w:val="2C2D5B"/>
                                <w:sz w:val="19"/>
                                <w:szCs w:val="19"/>
                              </w:rPr>
                            </w:pPr>
                            <w:r w:rsidRPr="00D851B5">
                              <w:rPr>
                                <w:rFonts w:ascii="Calibri" w:hAnsi="Calibri" w:cs="Calibri"/>
                                <w:color w:val="2C2D5B"/>
                                <w:sz w:val="19"/>
                                <w:szCs w:val="19"/>
                              </w:rPr>
                              <w:t>The primary proceedings involved a dispute involving several nationals of other countries who had previously transited through Greece and sought asylum in the UK or Ireland. They protested being sent to Greece, the EU member state typically in charge of evaluating their asylum applications using Regulation No. 343/2003 12 (also known as the "Dublin II Regulation"). They contended that the procedures and conditions for asylum seekers in Greece are insufficient, or that such a transfer would violate their fundamental rights, and that the Member State whose territory they were on at the time was obligated to exercise its authority under Article 3(2) of the Dublin II Regulation to accept responsibility for reviewing and determining their asylum claims. In particular, that case raised two concerns about the scope of the Charter's application.</w:t>
                            </w:r>
                          </w:p>
                          <w:p w14:paraId="229F3FA6" w14:textId="77777777" w:rsidR="00856458" w:rsidRPr="00D851B5" w:rsidRDefault="00856458" w:rsidP="00856458">
                            <w:pPr>
                              <w:jc w:val="both"/>
                              <w:rPr>
                                <w:rFonts w:ascii="Calibri" w:hAnsi="Calibri" w:cs="Calibri"/>
                                <w:color w:val="2C2D5B"/>
                                <w:sz w:val="10"/>
                                <w:szCs w:val="10"/>
                              </w:rPr>
                            </w:pPr>
                          </w:p>
                          <w:p w14:paraId="09BD927C" w14:textId="42105269" w:rsidR="00856458" w:rsidRPr="00D851B5" w:rsidRDefault="00856458" w:rsidP="00856458">
                            <w:pPr>
                              <w:jc w:val="both"/>
                              <w:rPr>
                                <w:rFonts w:ascii="Calibri" w:hAnsi="Calibri" w:cs="Calibri"/>
                                <w:b/>
                                <w:bCs/>
                                <w:color w:val="2C2D5B"/>
                                <w:sz w:val="19"/>
                                <w:szCs w:val="19"/>
                              </w:rPr>
                            </w:pPr>
                            <w:r w:rsidRPr="00D851B5">
                              <w:rPr>
                                <w:rFonts w:ascii="Calibri" w:hAnsi="Calibri" w:cs="Calibri"/>
                                <w:b/>
                                <w:bCs/>
                                <w:color w:val="2C2D5B"/>
                                <w:sz w:val="19"/>
                                <w:szCs w:val="19"/>
                              </w:rPr>
                              <w:t>Key Issues examined by the CJEU</w:t>
                            </w:r>
                            <w:r w:rsidR="00240D8E" w:rsidRPr="00D851B5">
                              <w:rPr>
                                <w:rFonts w:ascii="Calibri" w:hAnsi="Calibri" w:cs="Calibri"/>
                                <w:b/>
                                <w:bCs/>
                                <w:color w:val="2C2D5B"/>
                                <w:sz w:val="19"/>
                                <w:szCs w:val="19"/>
                              </w:rPr>
                              <w:t xml:space="preserve"> </w:t>
                            </w:r>
                            <w:r w:rsidRPr="00D851B5">
                              <w:rPr>
                                <w:rFonts w:ascii="Calibri" w:hAnsi="Calibri" w:cs="Calibri"/>
                                <w:b/>
                                <w:bCs/>
                                <w:color w:val="2C2D5B"/>
                                <w:sz w:val="19"/>
                                <w:szCs w:val="19"/>
                              </w:rPr>
                              <w:t xml:space="preserve">: </w:t>
                            </w:r>
                          </w:p>
                          <w:p w14:paraId="636C7EB4" w14:textId="77777777" w:rsidR="00856458" w:rsidRPr="00D851B5" w:rsidRDefault="00856458" w:rsidP="00253E61">
                            <w:pPr>
                              <w:pStyle w:val="Odstavecseseznamem"/>
                              <w:numPr>
                                <w:ilvl w:val="0"/>
                                <w:numId w:val="26"/>
                              </w:numPr>
                              <w:jc w:val="both"/>
                              <w:rPr>
                                <w:rFonts w:ascii="Calibri" w:hAnsi="Calibri" w:cs="Calibri"/>
                                <w:b/>
                                <w:bCs/>
                                <w:color w:val="2C2D5B"/>
                                <w:sz w:val="19"/>
                                <w:szCs w:val="19"/>
                              </w:rPr>
                            </w:pPr>
                            <w:r w:rsidRPr="00D851B5">
                              <w:rPr>
                                <w:rFonts w:ascii="Calibri" w:hAnsi="Calibri" w:cs="Calibri"/>
                                <w:b/>
                                <w:bCs/>
                                <w:color w:val="2C2D5B"/>
                                <w:sz w:val="19"/>
                                <w:szCs w:val="19"/>
                              </w:rPr>
                              <w:t>Application of the Charter to Member States under EU Law:</w:t>
                            </w:r>
                          </w:p>
                          <w:p w14:paraId="5445A06C" w14:textId="77777777" w:rsidR="00856458" w:rsidRPr="00D851B5" w:rsidRDefault="00856458" w:rsidP="00856458">
                            <w:pPr>
                              <w:jc w:val="both"/>
                              <w:rPr>
                                <w:rFonts w:ascii="Calibri" w:hAnsi="Calibri" w:cs="Calibri"/>
                                <w:color w:val="2C2D5B"/>
                                <w:sz w:val="19"/>
                                <w:szCs w:val="19"/>
                              </w:rPr>
                            </w:pPr>
                            <w:r w:rsidRPr="00D851B5">
                              <w:rPr>
                                <w:rFonts w:ascii="Calibri" w:hAnsi="Calibri" w:cs="Calibri"/>
                                <w:color w:val="2C2D5B"/>
                                <w:sz w:val="19"/>
                                <w:szCs w:val="19"/>
                              </w:rPr>
                              <w:t>The Court considered whether a Member State’s decision to accept or reject an asylum claim under Article 3(2) of the Dublin II Regulation constituted an implementation of EU law under Article 51(1) of the Charter.</w:t>
                            </w:r>
                          </w:p>
                          <w:p w14:paraId="370720B4" w14:textId="5A729DB2" w:rsidR="00856458" w:rsidRPr="00D851B5" w:rsidRDefault="00856458" w:rsidP="00856458">
                            <w:pPr>
                              <w:jc w:val="both"/>
                              <w:rPr>
                                <w:rFonts w:ascii="Calibri" w:hAnsi="Calibri" w:cs="Calibri"/>
                                <w:color w:val="2C2D5B"/>
                                <w:sz w:val="19"/>
                                <w:szCs w:val="19"/>
                              </w:rPr>
                            </w:pPr>
                            <w:r w:rsidRPr="00D851B5">
                              <w:rPr>
                                <w:rFonts w:ascii="Calibri" w:hAnsi="Calibri" w:cs="Calibri"/>
                                <w:color w:val="2C2D5B"/>
                                <w:sz w:val="19"/>
                                <w:szCs w:val="19"/>
                              </w:rPr>
                              <w:t>The CJEU noted that Article 3(2) provides Member States with a discretionary power essential to the EU’s Common European Asylum System. This discretion, however, must be exercised in compliance with EU law, including the Charter. Therefore, a Member State deciding to review an asylum application under Article 3(2) was deemed to be implementing EU law and bound by the Charter (paragraphs 55, 65–69).</w:t>
                            </w:r>
                          </w:p>
                          <w:p w14:paraId="277E6538" w14:textId="77777777" w:rsidR="00856458" w:rsidRPr="00D851B5" w:rsidRDefault="00856458" w:rsidP="00856458">
                            <w:pPr>
                              <w:jc w:val="both"/>
                              <w:rPr>
                                <w:rFonts w:ascii="Calibri" w:hAnsi="Calibri" w:cs="Calibri"/>
                                <w:b/>
                                <w:bCs/>
                                <w:color w:val="2C2D5B"/>
                                <w:sz w:val="10"/>
                                <w:szCs w:val="10"/>
                              </w:rPr>
                            </w:pPr>
                          </w:p>
                          <w:p w14:paraId="36FDE84A" w14:textId="07364F0E" w:rsidR="00856458" w:rsidRPr="00D851B5" w:rsidRDefault="00856458" w:rsidP="00253E61">
                            <w:pPr>
                              <w:pStyle w:val="Odstavecseseznamem"/>
                              <w:numPr>
                                <w:ilvl w:val="0"/>
                                <w:numId w:val="26"/>
                              </w:numPr>
                              <w:jc w:val="both"/>
                              <w:rPr>
                                <w:rFonts w:ascii="Calibri" w:hAnsi="Calibri" w:cs="Calibri"/>
                                <w:b/>
                                <w:bCs/>
                                <w:color w:val="2C2D5B"/>
                                <w:sz w:val="19"/>
                                <w:szCs w:val="19"/>
                              </w:rPr>
                            </w:pPr>
                            <w:r w:rsidRPr="00D851B5">
                              <w:rPr>
                                <w:rFonts w:ascii="Calibri" w:hAnsi="Calibri" w:cs="Calibri"/>
                                <w:b/>
                                <w:bCs/>
                                <w:color w:val="2C2D5B"/>
                                <w:sz w:val="19"/>
                                <w:szCs w:val="19"/>
                              </w:rPr>
                              <w:t>Impact of Protocol No. 30</w:t>
                            </w:r>
                            <w:r w:rsidR="00240D8E" w:rsidRPr="00D851B5">
                              <w:rPr>
                                <w:rFonts w:ascii="Calibri" w:hAnsi="Calibri" w:cs="Calibri"/>
                                <w:b/>
                                <w:bCs/>
                                <w:color w:val="2C2D5B"/>
                                <w:sz w:val="19"/>
                                <w:szCs w:val="19"/>
                              </w:rPr>
                              <w:t xml:space="preserve"> </w:t>
                            </w:r>
                            <w:r w:rsidRPr="00D851B5">
                              <w:rPr>
                                <w:rFonts w:ascii="Calibri" w:hAnsi="Calibri" w:cs="Calibri"/>
                                <w:b/>
                                <w:bCs/>
                                <w:color w:val="2C2D5B"/>
                                <w:sz w:val="19"/>
                                <w:szCs w:val="19"/>
                              </w:rPr>
                              <w:t>:</w:t>
                            </w:r>
                          </w:p>
                          <w:p w14:paraId="45C53BA5" w14:textId="507139B4" w:rsidR="00856458" w:rsidRPr="00D851B5" w:rsidRDefault="00856458" w:rsidP="00856458">
                            <w:pPr>
                              <w:jc w:val="both"/>
                              <w:rPr>
                                <w:rFonts w:ascii="Calibri" w:hAnsi="Calibri" w:cs="Calibri"/>
                                <w:color w:val="2C2D5B"/>
                                <w:sz w:val="19"/>
                                <w:szCs w:val="19"/>
                              </w:rPr>
                            </w:pPr>
                            <w:r w:rsidRPr="00D851B5">
                              <w:rPr>
                                <w:rFonts w:ascii="Calibri" w:hAnsi="Calibri" w:cs="Calibri"/>
                                <w:color w:val="2C2D5B"/>
                                <w:sz w:val="19"/>
                                <w:szCs w:val="19"/>
                              </w:rPr>
                              <w:t>The Court addressed whether Protocol No. 30, which applies to the UK and Poland, limited the applicability of the Charter. The Court clarified that the Protocol did not exempt these Member States from their obligation to comply with the Charter when implementing EU law. Instead</w:t>
                            </w:r>
                            <w:r w:rsidR="0090573B" w:rsidRPr="00D851B5">
                              <w:rPr>
                                <w:rFonts w:ascii="Calibri" w:hAnsi="Calibri" w:cs="Calibri"/>
                                <w:color w:val="2C2D5B"/>
                                <w:sz w:val="19"/>
                                <w:szCs w:val="19"/>
                              </w:rPr>
                              <w:t>, the Court determined that Article 1(1) of Protocol No. 30 clarifies the scope of Article 51 of the Charter and does not aim to absolve the Republic of Poland or the United Kingdom of their duty to abide by its provisions, nor to prohibit a court of one of those Member States from enforcing compliance with those provisions (paragraphs 116, 119, 120, 122 and paragraph 4 of the operative part.</w:t>
                            </w:r>
                          </w:p>
                          <w:p w14:paraId="3A8DFDD6" w14:textId="77777777" w:rsidR="00856458" w:rsidRPr="00D851B5" w:rsidRDefault="00856458" w:rsidP="00856458">
                            <w:pPr>
                              <w:jc w:val="both"/>
                              <w:rPr>
                                <w:rFonts w:ascii="Calibri" w:hAnsi="Calibri" w:cs="Calibri"/>
                                <w:color w:val="2C2D5B"/>
                                <w:sz w:val="10"/>
                                <w:szCs w:val="10"/>
                              </w:rPr>
                            </w:pPr>
                          </w:p>
                          <w:p w14:paraId="744FCCDC" w14:textId="77777777" w:rsidR="00856458" w:rsidRPr="00D851B5" w:rsidRDefault="00856458" w:rsidP="00856458">
                            <w:pPr>
                              <w:jc w:val="both"/>
                              <w:rPr>
                                <w:rFonts w:ascii="Calibri" w:hAnsi="Calibri" w:cs="Calibri"/>
                                <w:color w:val="2C2D5B"/>
                                <w:sz w:val="19"/>
                                <w:szCs w:val="19"/>
                              </w:rPr>
                            </w:pPr>
                            <w:r w:rsidRPr="00D851B5">
                              <w:rPr>
                                <w:rFonts w:ascii="Calibri" w:hAnsi="Calibri" w:cs="Calibri"/>
                                <w:color w:val="2C2D5B"/>
                                <w:sz w:val="19"/>
                                <w:szCs w:val="19"/>
                              </w:rPr>
                              <w:t>Prohibition Against Transfer to Greece:</w:t>
                            </w:r>
                          </w:p>
                          <w:p w14:paraId="2627C893" w14:textId="3473171F" w:rsidR="00856458" w:rsidRPr="00D851B5" w:rsidRDefault="00856458" w:rsidP="00856458">
                            <w:pPr>
                              <w:jc w:val="both"/>
                              <w:rPr>
                                <w:rFonts w:ascii="Calibri" w:hAnsi="Calibri" w:cs="Calibri"/>
                                <w:color w:val="2C2D5B"/>
                                <w:sz w:val="19"/>
                                <w:szCs w:val="19"/>
                              </w:rPr>
                            </w:pPr>
                            <w:r w:rsidRPr="00D851B5">
                              <w:rPr>
                                <w:rFonts w:ascii="Calibri" w:hAnsi="Calibri" w:cs="Calibri"/>
                                <w:color w:val="2C2D5B"/>
                                <w:sz w:val="19"/>
                                <w:szCs w:val="19"/>
                              </w:rPr>
                              <w:t>The CJEU emphasized that under Article 4 of the Charter, which prohibits torture and inhuman or degrading treatment, Member States are not allowed to transfer asylum seekers to a Member State where they face a real risk of such treatment. The Court held that systemic deficiencies in Greece’s asylum procedures and reception conditions exposed asylum seekers to inhuman and degrading treatment, thereby making their transfer under the Dublin II Regulation unlawful.</w:t>
                            </w:r>
                          </w:p>
                          <w:p w14:paraId="49F61277" w14:textId="77777777" w:rsidR="0090573B" w:rsidRPr="00D851B5" w:rsidRDefault="0090573B" w:rsidP="00856458">
                            <w:pPr>
                              <w:jc w:val="both"/>
                              <w:rPr>
                                <w:rFonts w:ascii="Calibri" w:hAnsi="Calibri" w:cs="Calibri"/>
                                <w:color w:val="2C2D5B"/>
                                <w:sz w:val="10"/>
                                <w:szCs w:val="10"/>
                              </w:rPr>
                            </w:pPr>
                          </w:p>
                          <w:p w14:paraId="5897D9E9" w14:textId="49837572" w:rsidR="0090573B" w:rsidRPr="00D851B5" w:rsidRDefault="0090573B" w:rsidP="00856458">
                            <w:pPr>
                              <w:jc w:val="both"/>
                              <w:rPr>
                                <w:rFonts w:ascii="Calibri" w:hAnsi="Calibri" w:cs="Calibri"/>
                                <w:b/>
                                <w:bCs/>
                                <w:color w:val="2C2D5B"/>
                                <w:sz w:val="19"/>
                                <w:szCs w:val="19"/>
                              </w:rPr>
                            </w:pPr>
                            <w:r w:rsidRPr="00D851B5">
                              <w:rPr>
                                <w:rFonts w:ascii="Calibri" w:hAnsi="Calibri" w:cs="Calibri"/>
                                <w:b/>
                                <w:bCs/>
                                <w:color w:val="2C2D5B"/>
                                <w:sz w:val="19"/>
                                <w:szCs w:val="19"/>
                              </w:rPr>
                              <w:t>Ruling</w:t>
                            </w:r>
                            <w:r w:rsidR="00240D8E" w:rsidRPr="00D851B5">
                              <w:rPr>
                                <w:rFonts w:ascii="Calibri" w:hAnsi="Calibri" w:cs="Calibri"/>
                                <w:b/>
                                <w:bCs/>
                                <w:color w:val="2C2D5B"/>
                                <w:sz w:val="19"/>
                                <w:szCs w:val="19"/>
                              </w:rPr>
                              <w:t xml:space="preserve"> </w:t>
                            </w:r>
                            <w:r w:rsidRPr="00D851B5">
                              <w:rPr>
                                <w:rFonts w:ascii="Calibri" w:hAnsi="Calibri" w:cs="Calibri"/>
                                <w:b/>
                                <w:bCs/>
                                <w:color w:val="2C2D5B"/>
                                <w:sz w:val="19"/>
                                <w:szCs w:val="19"/>
                              </w:rPr>
                              <w:t xml:space="preserve">: </w:t>
                            </w:r>
                          </w:p>
                          <w:p w14:paraId="6A3C6CA9" w14:textId="77777777" w:rsidR="0090573B" w:rsidRPr="00D851B5" w:rsidRDefault="0090573B" w:rsidP="0090573B">
                            <w:pPr>
                              <w:jc w:val="both"/>
                              <w:rPr>
                                <w:rFonts w:ascii="Calibri" w:hAnsi="Calibri" w:cs="Calibri"/>
                                <w:color w:val="2C2D5B"/>
                                <w:sz w:val="19"/>
                                <w:szCs w:val="19"/>
                              </w:rPr>
                            </w:pPr>
                            <w:r w:rsidRPr="00D851B5">
                              <w:rPr>
                                <w:rFonts w:ascii="Calibri" w:hAnsi="Calibri" w:cs="Calibri"/>
                                <w:color w:val="2C2D5B"/>
                                <w:sz w:val="19"/>
                                <w:szCs w:val="19"/>
                              </w:rPr>
                              <w:t xml:space="preserve">The Court held that: </w:t>
                            </w:r>
                          </w:p>
                          <w:p w14:paraId="0F980358" w14:textId="77777777" w:rsidR="0090573B" w:rsidRPr="00D851B5" w:rsidRDefault="0090573B" w:rsidP="00253E61">
                            <w:pPr>
                              <w:pStyle w:val="Odstavecseseznamem"/>
                              <w:numPr>
                                <w:ilvl w:val="0"/>
                                <w:numId w:val="27"/>
                              </w:numPr>
                              <w:jc w:val="both"/>
                              <w:rPr>
                                <w:rFonts w:ascii="Calibri" w:hAnsi="Calibri" w:cs="Calibri"/>
                                <w:color w:val="2C2D5B"/>
                                <w:sz w:val="19"/>
                                <w:szCs w:val="19"/>
                              </w:rPr>
                            </w:pPr>
                            <w:r w:rsidRPr="00D851B5">
                              <w:rPr>
                                <w:rFonts w:ascii="Calibri" w:hAnsi="Calibri" w:cs="Calibri"/>
                                <w:color w:val="2C2D5B"/>
                                <w:sz w:val="19"/>
                                <w:szCs w:val="19"/>
                              </w:rPr>
                              <w:t xml:space="preserve"> a Member State exercising discretion under Article 3(2) of the </w:t>
                            </w:r>
                            <w:r w:rsidRPr="00D851B5">
                              <w:rPr>
                                <w:rFonts w:ascii="Calibri" w:hAnsi="Calibri" w:cs="Calibri"/>
                                <w:i/>
                                <w:iCs/>
                                <w:color w:val="2C2D5B"/>
                                <w:sz w:val="19"/>
                                <w:szCs w:val="19"/>
                              </w:rPr>
                              <w:t>Dublin II Regulation</w:t>
                            </w:r>
                            <w:r w:rsidRPr="00D851B5">
                              <w:rPr>
                                <w:rFonts w:ascii="Calibri" w:hAnsi="Calibri" w:cs="Calibri"/>
                                <w:color w:val="2C2D5B"/>
                                <w:sz w:val="19"/>
                                <w:szCs w:val="19"/>
                              </w:rPr>
                              <w:t xml:space="preserve"> is implementing EU law and is therefore bound by the Charter.</w:t>
                            </w:r>
                          </w:p>
                          <w:p w14:paraId="70311507" w14:textId="1961DFCC" w:rsidR="0090573B" w:rsidRPr="00D851B5" w:rsidRDefault="0090573B" w:rsidP="00253E61">
                            <w:pPr>
                              <w:pStyle w:val="Odstavecseseznamem"/>
                              <w:numPr>
                                <w:ilvl w:val="0"/>
                                <w:numId w:val="27"/>
                              </w:numPr>
                              <w:jc w:val="both"/>
                              <w:rPr>
                                <w:rFonts w:ascii="Calibri" w:hAnsi="Calibri" w:cs="Calibri"/>
                                <w:color w:val="2C2D5B"/>
                                <w:sz w:val="19"/>
                                <w:szCs w:val="19"/>
                              </w:rPr>
                            </w:pPr>
                            <w:r w:rsidRPr="00D851B5">
                              <w:rPr>
                                <w:rFonts w:ascii="Calibri" w:hAnsi="Calibri" w:cs="Calibri"/>
                                <w:color w:val="2C2D5B"/>
                                <w:sz w:val="19"/>
                                <w:szCs w:val="19"/>
                              </w:rPr>
                              <w:t>The Protocol did not absolve the UK or Poland of their obligation to ensure compliance with the Charter.it is necessary to read Article 4 of the European Union's Charter of Fundamental Rights to mean that national courts and Member States are not permitted to send asylum seekers to the Member State that is holding them accountable.</w:t>
                            </w:r>
                          </w:p>
                          <w:p w14:paraId="5F2BFF9C" w14:textId="77777777" w:rsidR="0090573B" w:rsidRPr="00327D5A" w:rsidRDefault="0090573B" w:rsidP="00327D5A">
                            <w:pPr>
                              <w:jc w:val="both"/>
                              <w:rPr>
                                <w:rFonts w:ascii="Calibri" w:hAnsi="Calibri" w:cs="Calibri"/>
                                <w:sz w:val="20"/>
                                <w:szCs w:val="20"/>
                              </w:rPr>
                            </w:pPr>
                          </w:p>
                          <w:p w14:paraId="5B9234F2" w14:textId="77777777" w:rsidR="00856458" w:rsidRDefault="00856458" w:rsidP="00547AC7">
                            <w:pPr>
                              <w:jc w:val="right"/>
                              <w:rPr>
                                <w:rFonts w:ascii="Calibri" w:hAnsi="Calibri" w:cs="Calibri"/>
                                <w:b/>
                                <w:bCs/>
                                <w:sz w:val="20"/>
                                <w:szCs w:val="20"/>
                              </w:rPr>
                            </w:pPr>
                          </w:p>
                          <w:p w14:paraId="2FC1897A" w14:textId="77777777" w:rsidR="00856458" w:rsidRDefault="00856458" w:rsidP="00547AC7">
                            <w:pPr>
                              <w:jc w:val="right"/>
                              <w:rPr>
                                <w:rFonts w:ascii="Calibri" w:hAnsi="Calibri" w:cs="Calibri"/>
                                <w:b/>
                                <w:bCs/>
                                <w:sz w:val="20"/>
                                <w:szCs w:val="20"/>
                              </w:rPr>
                            </w:pPr>
                          </w:p>
                          <w:p w14:paraId="4869F9D8" w14:textId="77777777" w:rsidR="00547AC7" w:rsidRDefault="00547AC7" w:rsidP="00547AC7">
                            <w:pPr>
                              <w:jc w:val="right"/>
                              <w:rPr>
                                <w:rFonts w:ascii="Calibri" w:hAnsi="Calibri" w:cs="Calibri"/>
                                <w:b/>
                                <w:bCs/>
                                <w:sz w:val="20"/>
                                <w:szCs w:val="20"/>
                              </w:rPr>
                            </w:pPr>
                          </w:p>
                          <w:p w14:paraId="1A3BEF27" w14:textId="77777777" w:rsidR="00547AC7" w:rsidRPr="00327D5A" w:rsidRDefault="00547AC7" w:rsidP="00327D5A">
                            <w:pPr>
                              <w:jc w:val="right"/>
                              <w:rPr>
                                <w:rFonts w:ascii="Calibri" w:hAnsi="Calibri" w:cs="Calibri"/>
                                <w:b/>
                                <w:bCs/>
                                <w:sz w:val="20"/>
                                <w:szCs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7BA6ED43" id="_x0000_s1073" style="position:absolute;left:0;text-align:left;margin-left:-9.5pt;margin-top:31pt;width:442.5pt;height:616pt;z-index:251792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i+IQIAAC0EAAAOAAAAZHJzL2Uyb0RvYy54bWysU8tu2zAQvBfoPxC815JdPwXLgeM0RYH0&#10;gab9AIqkJKIUVyVpS8nXd0kpjpvciupAcLXk7OzscHvVN5qcpHUKTE6nk5QSaTgIZaqc/vxx+25N&#10;ifPMCKbByJw+SEevdm/fbLs2kzOoQQtpCYIYl3VtTmvv2yxJHK9lw9wEWmkwWYJtmMfQVomwrEP0&#10;RiezNF0mHVjRWuDSOfx7MyTpLuKXpeT+a1k66YnOKXLzcbVxLcKa7LYsqyxra8VHGuwfWDRMGSx6&#10;hrphnpGjVa+gGsUtOCj9hEOTQFkqLmMP2M00fdHNfc1aGXtBcVx7lsn9P1j+5XTffrPE99fQ4wBj&#10;E669A/7LEQOHmplK7q2FrpZMYOFpkCzpWpeNV4PULnMBpOg+g8Ahs6OHCNSXtgmqYJ8E0XEAD2fR&#10;Ze8Jx5+L5XSzWmCKY261nr3HscYaLHu63lrnP0poSNjk1MLRiO842liDne6cD5xY9nQulHSglbhV&#10;Wscg2EketCUnhkYoqqGLF6e0IR02uEmRzWsIWxVngOvlPp0fRpZ/VWqURz9r1eR0nYZvcFgQ74MR&#10;0W2eKT3skbI2o5pBwEFK3xc9USKn81W4HNQtQDygvhYG/+J7w00N9pGSDr2bU/f7yKykRH8yOKPN&#10;dD4PZo/BfLGaYWAvM8VlhhmOUDn1lAzbg48PJEhgYI+zLFUU+JnJyBk9GXUf308w/WUcTz2/8t0f&#10;AAAA//8DAFBLAwQUAAYACAAAACEAl87vCt8AAAALAQAADwAAAGRycy9kb3ducmV2LnhtbEyPMU/D&#10;MBCFdyT+g3VIbK3TqEROiFNFlVjYGtqBzYmPOBDbUeym4d9zTDDdnd7Tu++Vh9WObME5DN5J2G0T&#10;YOg6rwfXSzi/vWwEsBCV02r0DiV8Y4BDdX9XqkL7mzvh0sSeUYgLhZJgYpwKzkNn0Kqw9RM60j78&#10;bFWkc+65ntWNwu3I0yTJuFWDow9GTXg02H01VythOZ+eanF83zfmwj/z11q0wgopHx/W+hlYxDX+&#10;meEXn9ChIqbWX50ObJSw2eXUJUrIUppkEFlGS0vONN8nwKuS/+9Q/QAAAP//AwBQSwECLQAUAAYA&#10;CAAAACEAtoM4kv4AAADhAQAAEwAAAAAAAAAAAAAAAAAAAAAAW0NvbnRlbnRfVHlwZXNdLnhtbFBL&#10;AQItABQABgAIAAAAIQA4/SH/1gAAAJQBAAALAAAAAAAAAAAAAAAAAC8BAABfcmVscy8ucmVsc1BL&#10;AQItABQABgAIAAAAIQC/V3i+IQIAAC0EAAAOAAAAAAAAAAAAAAAAAC4CAABkcnMvZTJvRG9jLnht&#10;bFBLAQItABQABgAIAAAAIQCXzu8K3wAAAAsBAAAPAAAAAAAAAAAAAAAAAHsEAABkcnMvZG93bnJl&#10;di54bWxQSwUGAAAAAAQABADzAAAAhwUAAAAA&#10;" fillcolor="white [3212]" strokecolor="#b6a04c" strokeweight="1.5pt">
                <v:stroke joinstyle="miter"/>
                <v:textbox>
                  <w:txbxContent>
                    <w:p w14:paraId="63A2E516" w14:textId="7D4BC229" w:rsidR="00547AC7" w:rsidRPr="00240D8E" w:rsidRDefault="00547AC7" w:rsidP="00240D8E">
                      <w:pPr>
                        <w:jc w:val="center"/>
                        <w:rPr>
                          <w:rFonts w:asciiTheme="minorHAnsi" w:hAnsiTheme="minorHAnsi" w:cstheme="minorHAnsi"/>
                          <w:b/>
                          <w:bCs/>
                          <w:color w:val="B6A04C"/>
                          <w:sz w:val="20"/>
                          <w:szCs w:val="20"/>
                        </w:rPr>
                      </w:pPr>
                      <w:hyperlink r:id="rId72" w:history="1">
                        <w:r w:rsidRPr="00240D8E">
                          <w:rPr>
                            <w:rStyle w:val="Lienhypertexte"/>
                            <w:rFonts w:asciiTheme="minorHAnsi" w:hAnsiTheme="minorHAnsi" w:cstheme="minorHAnsi"/>
                            <w:b/>
                            <w:bCs/>
                            <w:color w:val="B6A04C"/>
                            <w:sz w:val="20"/>
                            <w:szCs w:val="20"/>
                          </w:rPr>
                          <w:t>CJEU, 21 December 2011, N. S. (C-411/10) v Secretary of State for the Home Department and M. E. and Others (C-493/10) v Refugee Applications Commissioner and Minister for Justice, Equality and Law Reform, C-411/10 and C-493/10, ECLI:EU:C:2011:865</w:t>
                        </w:r>
                      </w:hyperlink>
                    </w:p>
                    <w:p w14:paraId="0611FFFB" w14:textId="77777777" w:rsidR="00856458" w:rsidRPr="00240D8E" w:rsidRDefault="00856458" w:rsidP="00547AC7">
                      <w:pPr>
                        <w:jc w:val="right"/>
                        <w:rPr>
                          <w:rFonts w:asciiTheme="minorHAnsi" w:hAnsiTheme="minorHAnsi" w:cstheme="minorHAnsi"/>
                          <w:b/>
                          <w:bCs/>
                          <w:color w:val="2C2D5B"/>
                          <w:sz w:val="20"/>
                          <w:szCs w:val="20"/>
                        </w:rPr>
                      </w:pPr>
                    </w:p>
                    <w:p w14:paraId="53BFF813" w14:textId="118F5082" w:rsidR="00856458" w:rsidRPr="00D851B5" w:rsidRDefault="00856458" w:rsidP="00856458">
                      <w:pPr>
                        <w:jc w:val="both"/>
                        <w:rPr>
                          <w:rFonts w:asciiTheme="minorHAnsi" w:hAnsiTheme="minorHAnsi" w:cstheme="minorHAnsi"/>
                          <w:b/>
                          <w:bCs/>
                          <w:color w:val="2C2D5B"/>
                          <w:sz w:val="19"/>
                          <w:szCs w:val="19"/>
                        </w:rPr>
                      </w:pPr>
                      <w:r w:rsidRPr="00D851B5">
                        <w:rPr>
                          <w:rFonts w:asciiTheme="minorHAnsi" w:hAnsiTheme="minorHAnsi" w:cstheme="minorHAnsi"/>
                          <w:b/>
                          <w:bCs/>
                          <w:color w:val="2C2D5B"/>
                          <w:sz w:val="19"/>
                          <w:szCs w:val="19"/>
                        </w:rPr>
                        <w:t>Facts</w:t>
                      </w:r>
                      <w:r w:rsidR="00240D8E" w:rsidRPr="00D851B5">
                        <w:rPr>
                          <w:rFonts w:asciiTheme="minorHAnsi" w:hAnsiTheme="minorHAnsi" w:cstheme="minorHAnsi"/>
                          <w:b/>
                          <w:bCs/>
                          <w:color w:val="2C2D5B"/>
                          <w:sz w:val="19"/>
                          <w:szCs w:val="19"/>
                        </w:rPr>
                        <w:t xml:space="preserve"> </w:t>
                      </w:r>
                      <w:r w:rsidRPr="00D851B5">
                        <w:rPr>
                          <w:rFonts w:asciiTheme="minorHAnsi" w:hAnsiTheme="minorHAnsi" w:cstheme="minorHAnsi"/>
                          <w:b/>
                          <w:bCs/>
                          <w:color w:val="2C2D5B"/>
                          <w:sz w:val="19"/>
                          <w:szCs w:val="19"/>
                        </w:rPr>
                        <w:t xml:space="preserve">: </w:t>
                      </w:r>
                    </w:p>
                    <w:p w14:paraId="68C49CFF" w14:textId="1F4A4954" w:rsidR="00856458" w:rsidRPr="00D851B5" w:rsidRDefault="00856458" w:rsidP="00856458">
                      <w:pPr>
                        <w:jc w:val="both"/>
                        <w:rPr>
                          <w:rFonts w:ascii="Calibri" w:hAnsi="Calibri" w:cs="Calibri"/>
                          <w:color w:val="2C2D5B"/>
                          <w:sz w:val="19"/>
                          <w:szCs w:val="19"/>
                        </w:rPr>
                      </w:pPr>
                      <w:r w:rsidRPr="00D851B5">
                        <w:rPr>
                          <w:rFonts w:ascii="Calibri" w:hAnsi="Calibri" w:cs="Calibri"/>
                          <w:color w:val="2C2D5B"/>
                          <w:sz w:val="19"/>
                          <w:szCs w:val="19"/>
                        </w:rPr>
                        <w:t>The primary proceedings involved a dispute involving several nationals of other countries who had previously transited through Greece and sought asylum in the UK or Ireland. They protested being sent to Greece, the EU member state typically in charge of evaluating their asylum applications using Regulation No. 343/2003 12 (also known as the "Dublin II Regulation"). They contended that the procedures and conditions for asylum seekers in Greece are insufficient, or that such a transfer would violate their fundamental rights, and that the Member State whose territory they were on at the time was obligated to exercise its authority under Article 3(2) of the Dublin II Regulation to accept responsibility for reviewing and determining their asylum claims. In particular, that case raised two concerns about the scope of the Charter's application.</w:t>
                      </w:r>
                    </w:p>
                    <w:p w14:paraId="229F3FA6" w14:textId="77777777" w:rsidR="00856458" w:rsidRPr="00D851B5" w:rsidRDefault="00856458" w:rsidP="00856458">
                      <w:pPr>
                        <w:jc w:val="both"/>
                        <w:rPr>
                          <w:rFonts w:ascii="Calibri" w:hAnsi="Calibri" w:cs="Calibri"/>
                          <w:color w:val="2C2D5B"/>
                          <w:sz w:val="10"/>
                          <w:szCs w:val="10"/>
                        </w:rPr>
                      </w:pPr>
                    </w:p>
                    <w:p w14:paraId="09BD927C" w14:textId="42105269" w:rsidR="00856458" w:rsidRPr="00D851B5" w:rsidRDefault="00856458" w:rsidP="00856458">
                      <w:pPr>
                        <w:jc w:val="both"/>
                        <w:rPr>
                          <w:rFonts w:ascii="Calibri" w:hAnsi="Calibri" w:cs="Calibri"/>
                          <w:b/>
                          <w:bCs/>
                          <w:color w:val="2C2D5B"/>
                          <w:sz w:val="19"/>
                          <w:szCs w:val="19"/>
                        </w:rPr>
                      </w:pPr>
                      <w:r w:rsidRPr="00D851B5">
                        <w:rPr>
                          <w:rFonts w:ascii="Calibri" w:hAnsi="Calibri" w:cs="Calibri"/>
                          <w:b/>
                          <w:bCs/>
                          <w:color w:val="2C2D5B"/>
                          <w:sz w:val="19"/>
                          <w:szCs w:val="19"/>
                        </w:rPr>
                        <w:t>Key Issues examined by the CJEU</w:t>
                      </w:r>
                      <w:r w:rsidR="00240D8E" w:rsidRPr="00D851B5">
                        <w:rPr>
                          <w:rFonts w:ascii="Calibri" w:hAnsi="Calibri" w:cs="Calibri"/>
                          <w:b/>
                          <w:bCs/>
                          <w:color w:val="2C2D5B"/>
                          <w:sz w:val="19"/>
                          <w:szCs w:val="19"/>
                        </w:rPr>
                        <w:t xml:space="preserve"> </w:t>
                      </w:r>
                      <w:r w:rsidRPr="00D851B5">
                        <w:rPr>
                          <w:rFonts w:ascii="Calibri" w:hAnsi="Calibri" w:cs="Calibri"/>
                          <w:b/>
                          <w:bCs/>
                          <w:color w:val="2C2D5B"/>
                          <w:sz w:val="19"/>
                          <w:szCs w:val="19"/>
                        </w:rPr>
                        <w:t xml:space="preserve">: </w:t>
                      </w:r>
                    </w:p>
                    <w:p w14:paraId="636C7EB4" w14:textId="77777777" w:rsidR="00856458" w:rsidRPr="00D851B5" w:rsidRDefault="00856458" w:rsidP="00253E61">
                      <w:pPr>
                        <w:pStyle w:val="Paragraphedeliste"/>
                        <w:numPr>
                          <w:ilvl w:val="0"/>
                          <w:numId w:val="26"/>
                        </w:numPr>
                        <w:jc w:val="both"/>
                        <w:rPr>
                          <w:rFonts w:ascii="Calibri" w:hAnsi="Calibri" w:cs="Calibri"/>
                          <w:b/>
                          <w:bCs/>
                          <w:color w:val="2C2D5B"/>
                          <w:sz w:val="19"/>
                          <w:szCs w:val="19"/>
                        </w:rPr>
                      </w:pPr>
                      <w:r w:rsidRPr="00D851B5">
                        <w:rPr>
                          <w:rFonts w:ascii="Calibri" w:hAnsi="Calibri" w:cs="Calibri"/>
                          <w:b/>
                          <w:bCs/>
                          <w:color w:val="2C2D5B"/>
                          <w:sz w:val="19"/>
                          <w:szCs w:val="19"/>
                        </w:rPr>
                        <w:t>Application of the Charter to Member States under EU Law:</w:t>
                      </w:r>
                    </w:p>
                    <w:p w14:paraId="5445A06C" w14:textId="77777777" w:rsidR="00856458" w:rsidRPr="00D851B5" w:rsidRDefault="00856458" w:rsidP="00856458">
                      <w:pPr>
                        <w:jc w:val="both"/>
                        <w:rPr>
                          <w:rFonts w:ascii="Calibri" w:hAnsi="Calibri" w:cs="Calibri"/>
                          <w:color w:val="2C2D5B"/>
                          <w:sz w:val="19"/>
                          <w:szCs w:val="19"/>
                        </w:rPr>
                      </w:pPr>
                      <w:r w:rsidRPr="00D851B5">
                        <w:rPr>
                          <w:rFonts w:ascii="Calibri" w:hAnsi="Calibri" w:cs="Calibri"/>
                          <w:color w:val="2C2D5B"/>
                          <w:sz w:val="19"/>
                          <w:szCs w:val="19"/>
                        </w:rPr>
                        <w:t>The Court considered whether a Member State’s decision to accept or reject an asylum claim under Article 3(2) of the Dublin II Regulation constituted an implementation of EU law under Article 51(1) of the Charter.</w:t>
                      </w:r>
                    </w:p>
                    <w:p w14:paraId="370720B4" w14:textId="5A729DB2" w:rsidR="00856458" w:rsidRPr="00D851B5" w:rsidRDefault="00856458" w:rsidP="00856458">
                      <w:pPr>
                        <w:jc w:val="both"/>
                        <w:rPr>
                          <w:rFonts w:ascii="Calibri" w:hAnsi="Calibri" w:cs="Calibri"/>
                          <w:color w:val="2C2D5B"/>
                          <w:sz w:val="19"/>
                          <w:szCs w:val="19"/>
                        </w:rPr>
                      </w:pPr>
                      <w:r w:rsidRPr="00D851B5">
                        <w:rPr>
                          <w:rFonts w:ascii="Calibri" w:hAnsi="Calibri" w:cs="Calibri"/>
                          <w:color w:val="2C2D5B"/>
                          <w:sz w:val="19"/>
                          <w:szCs w:val="19"/>
                        </w:rPr>
                        <w:t>The CJEU noted that Article 3(2) provides Member States with a discretionary power essential to the EU’s Common European Asylum System. This discretion, however, must be exercised in compliance with EU law, including the Charter. Therefore, a Member State deciding to review an asylum application under Article 3(2) was deemed to be implementing EU law and bound by the Charter (paragraphs 55, 65–69).</w:t>
                      </w:r>
                    </w:p>
                    <w:p w14:paraId="277E6538" w14:textId="77777777" w:rsidR="00856458" w:rsidRPr="00D851B5" w:rsidRDefault="00856458" w:rsidP="00856458">
                      <w:pPr>
                        <w:jc w:val="both"/>
                        <w:rPr>
                          <w:rFonts w:ascii="Calibri" w:hAnsi="Calibri" w:cs="Calibri"/>
                          <w:b/>
                          <w:bCs/>
                          <w:color w:val="2C2D5B"/>
                          <w:sz w:val="10"/>
                          <w:szCs w:val="10"/>
                        </w:rPr>
                      </w:pPr>
                    </w:p>
                    <w:p w14:paraId="36FDE84A" w14:textId="07364F0E" w:rsidR="00856458" w:rsidRPr="00D851B5" w:rsidRDefault="00856458" w:rsidP="00253E61">
                      <w:pPr>
                        <w:pStyle w:val="Paragraphedeliste"/>
                        <w:numPr>
                          <w:ilvl w:val="0"/>
                          <w:numId w:val="26"/>
                        </w:numPr>
                        <w:jc w:val="both"/>
                        <w:rPr>
                          <w:rFonts w:ascii="Calibri" w:hAnsi="Calibri" w:cs="Calibri"/>
                          <w:b/>
                          <w:bCs/>
                          <w:color w:val="2C2D5B"/>
                          <w:sz w:val="19"/>
                          <w:szCs w:val="19"/>
                        </w:rPr>
                      </w:pPr>
                      <w:r w:rsidRPr="00D851B5">
                        <w:rPr>
                          <w:rFonts w:ascii="Calibri" w:hAnsi="Calibri" w:cs="Calibri"/>
                          <w:b/>
                          <w:bCs/>
                          <w:color w:val="2C2D5B"/>
                          <w:sz w:val="19"/>
                          <w:szCs w:val="19"/>
                        </w:rPr>
                        <w:t>Impact of Protocol No. 30</w:t>
                      </w:r>
                      <w:r w:rsidR="00240D8E" w:rsidRPr="00D851B5">
                        <w:rPr>
                          <w:rFonts w:ascii="Calibri" w:hAnsi="Calibri" w:cs="Calibri"/>
                          <w:b/>
                          <w:bCs/>
                          <w:color w:val="2C2D5B"/>
                          <w:sz w:val="19"/>
                          <w:szCs w:val="19"/>
                        </w:rPr>
                        <w:t xml:space="preserve"> </w:t>
                      </w:r>
                      <w:r w:rsidRPr="00D851B5">
                        <w:rPr>
                          <w:rFonts w:ascii="Calibri" w:hAnsi="Calibri" w:cs="Calibri"/>
                          <w:b/>
                          <w:bCs/>
                          <w:color w:val="2C2D5B"/>
                          <w:sz w:val="19"/>
                          <w:szCs w:val="19"/>
                        </w:rPr>
                        <w:t>:</w:t>
                      </w:r>
                    </w:p>
                    <w:p w14:paraId="45C53BA5" w14:textId="507139B4" w:rsidR="00856458" w:rsidRPr="00D851B5" w:rsidRDefault="00856458" w:rsidP="00856458">
                      <w:pPr>
                        <w:jc w:val="both"/>
                        <w:rPr>
                          <w:rFonts w:ascii="Calibri" w:hAnsi="Calibri" w:cs="Calibri"/>
                          <w:color w:val="2C2D5B"/>
                          <w:sz w:val="19"/>
                          <w:szCs w:val="19"/>
                        </w:rPr>
                      </w:pPr>
                      <w:r w:rsidRPr="00D851B5">
                        <w:rPr>
                          <w:rFonts w:ascii="Calibri" w:hAnsi="Calibri" w:cs="Calibri"/>
                          <w:color w:val="2C2D5B"/>
                          <w:sz w:val="19"/>
                          <w:szCs w:val="19"/>
                        </w:rPr>
                        <w:t>The Court addressed whether Protocol No. 30, which applies to the UK and Poland, limited the applicability of the Charter. The Court clarified that the Protocol did not exempt these Member States from their obligation to comply with the Charter when implementing EU law. Instead</w:t>
                      </w:r>
                      <w:r w:rsidR="0090573B" w:rsidRPr="00D851B5">
                        <w:rPr>
                          <w:rFonts w:ascii="Calibri" w:hAnsi="Calibri" w:cs="Calibri"/>
                          <w:color w:val="2C2D5B"/>
                          <w:sz w:val="19"/>
                          <w:szCs w:val="19"/>
                        </w:rPr>
                        <w:t>, the Court determined that Article 1(1) of Protocol No. 30 clarifies the scope of Article 51 of the Charter and does not aim to absolve the Republic of Poland or the United Kingdom of their duty to abide by its provisions, nor to prohibit a court of one of those Member States from enforcing compliance with those provisions (paragraphs 116, 119, 120, 122 and paragraph 4 of the operative part.</w:t>
                      </w:r>
                    </w:p>
                    <w:p w14:paraId="3A8DFDD6" w14:textId="77777777" w:rsidR="00856458" w:rsidRPr="00D851B5" w:rsidRDefault="00856458" w:rsidP="00856458">
                      <w:pPr>
                        <w:jc w:val="both"/>
                        <w:rPr>
                          <w:rFonts w:ascii="Calibri" w:hAnsi="Calibri" w:cs="Calibri"/>
                          <w:color w:val="2C2D5B"/>
                          <w:sz w:val="10"/>
                          <w:szCs w:val="10"/>
                        </w:rPr>
                      </w:pPr>
                    </w:p>
                    <w:p w14:paraId="744FCCDC" w14:textId="77777777" w:rsidR="00856458" w:rsidRPr="00D851B5" w:rsidRDefault="00856458" w:rsidP="00856458">
                      <w:pPr>
                        <w:jc w:val="both"/>
                        <w:rPr>
                          <w:rFonts w:ascii="Calibri" w:hAnsi="Calibri" w:cs="Calibri"/>
                          <w:color w:val="2C2D5B"/>
                          <w:sz w:val="19"/>
                          <w:szCs w:val="19"/>
                        </w:rPr>
                      </w:pPr>
                      <w:r w:rsidRPr="00D851B5">
                        <w:rPr>
                          <w:rFonts w:ascii="Calibri" w:hAnsi="Calibri" w:cs="Calibri"/>
                          <w:color w:val="2C2D5B"/>
                          <w:sz w:val="19"/>
                          <w:szCs w:val="19"/>
                        </w:rPr>
                        <w:t>Prohibition Against Transfer to Greece:</w:t>
                      </w:r>
                    </w:p>
                    <w:p w14:paraId="2627C893" w14:textId="3473171F" w:rsidR="00856458" w:rsidRPr="00D851B5" w:rsidRDefault="00856458" w:rsidP="00856458">
                      <w:pPr>
                        <w:jc w:val="both"/>
                        <w:rPr>
                          <w:rFonts w:ascii="Calibri" w:hAnsi="Calibri" w:cs="Calibri"/>
                          <w:color w:val="2C2D5B"/>
                          <w:sz w:val="19"/>
                          <w:szCs w:val="19"/>
                        </w:rPr>
                      </w:pPr>
                      <w:r w:rsidRPr="00D851B5">
                        <w:rPr>
                          <w:rFonts w:ascii="Calibri" w:hAnsi="Calibri" w:cs="Calibri"/>
                          <w:color w:val="2C2D5B"/>
                          <w:sz w:val="19"/>
                          <w:szCs w:val="19"/>
                        </w:rPr>
                        <w:t>The CJEU emphasized that under Article 4 of the Charter, which prohibits torture and inhuman or degrading treatment, Member States are not allowed to transfer asylum seekers to a Member State where they face a real risk of such treatment. The Court held that systemic deficiencies in Greece’s asylum procedures and reception conditions exposed asylum seekers to inhuman and degrading treatment, thereby making their transfer under the Dublin II Regulation unlawful.</w:t>
                      </w:r>
                    </w:p>
                    <w:p w14:paraId="49F61277" w14:textId="77777777" w:rsidR="0090573B" w:rsidRPr="00D851B5" w:rsidRDefault="0090573B" w:rsidP="00856458">
                      <w:pPr>
                        <w:jc w:val="both"/>
                        <w:rPr>
                          <w:rFonts w:ascii="Calibri" w:hAnsi="Calibri" w:cs="Calibri"/>
                          <w:color w:val="2C2D5B"/>
                          <w:sz w:val="10"/>
                          <w:szCs w:val="10"/>
                        </w:rPr>
                      </w:pPr>
                    </w:p>
                    <w:p w14:paraId="5897D9E9" w14:textId="49837572" w:rsidR="0090573B" w:rsidRPr="00D851B5" w:rsidRDefault="0090573B" w:rsidP="00856458">
                      <w:pPr>
                        <w:jc w:val="both"/>
                        <w:rPr>
                          <w:rFonts w:ascii="Calibri" w:hAnsi="Calibri" w:cs="Calibri"/>
                          <w:b/>
                          <w:bCs/>
                          <w:color w:val="2C2D5B"/>
                          <w:sz w:val="19"/>
                          <w:szCs w:val="19"/>
                        </w:rPr>
                      </w:pPr>
                      <w:r w:rsidRPr="00D851B5">
                        <w:rPr>
                          <w:rFonts w:ascii="Calibri" w:hAnsi="Calibri" w:cs="Calibri"/>
                          <w:b/>
                          <w:bCs/>
                          <w:color w:val="2C2D5B"/>
                          <w:sz w:val="19"/>
                          <w:szCs w:val="19"/>
                        </w:rPr>
                        <w:t>Ruling</w:t>
                      </w:r>
                      <w:r w:rsidR="00240D8E" w:rsidRPr="00D851B5">
                        <w:rPr>
                          <w:rFonts w:ascii="Calibri" w:hAnsi="Calibri" w:cs="Calibri"/>
                          <w:b/>
                          <w:bCs/>
                          <w:color w:val="2C2D5B"/>
                          <w:sz w:val="19"/>
                          <w:szCs w:val="19"/>
                        </w:rPr>
                        <w:t xml:space="preserve"> </w:t>
                      </w:r>
                      <w:r w:rsidRPr="00D851B5">
                        <w:rPr>
                          <w:rFonts w:ascii="Calibri" w:hAnsi="Calibri" w:cs="Calibri"/>
                          <w:b/>
                          <w:bCs/>
                          <w:color w:val="2C2D5B"/>
                          <w:sz w:val="19"/>
                          <w:szCs w:val="19"/>
                        </w:rPr>
                        <w:t xml:space="preserve">: </w:t>
                      </w:r>
                    </w:p>
                    <w:p w14:paraId="6A3C6CA9" w14:textId="77777777" w:rsidR="0090573B" w:rsidRPr="00D851B5" w:rsidRDefault="0090573B" w:rsidP="0090573B">
                      <w:pPr>
                        <w:jc w:val="both"/>
                        <w:rPr>
                          <w:rFonts w:ascii="Calibri" w:hAnsi="Calibri" w:cs="Calibri"/>
                          <w:color w:val="2C2D5B"/>
                          <w:sz w:val="19"/>
                          <w:szCs w:val="19"/>
                        </w:rPr>
                      </w:pPr>
                      <w:r w:rsidRPr="00D851B5">
                        <w:rPr>
                          <w:rFonts w:ascii="Calibri" w:hAnsi="Calibri" w:cs="Calibri"/>
                          <w:color w:val="2C2D5B"/>
                          <w:sz w:val="19"/>
                          <w:szCs w:val="19"/>
                        </w:rPr>
                        <w:t xml:space="preserve">The Court held that: </w:t>
                      </w:r>
                    </w:p>
                    <w:p w14:paraId="0F980358" w14:textId="77777777" w:rsidR="0090573B" w:rsidRPr="00D851B5" w:rsidRDefault="0090573B" w:rsidP="00253E61">
                      <w:pPr>
                        <w:pStyle w:val="Paragraphedeliste"/>
                        <w:numPr>
                          <w:ilvl w:val="0"/>
                          <w:numId w:val="27"/>
                        </w:numPr>
                        <w:jc w:val="both"/>
                        <w:rPr>
                          <w:rFonts w:ascii="Calibri" w:hAnsi="Calibri" w:cs="Calibri"/>
                          <w:color w:val="2C2D5B"/>
                          <w:sz w:val="19"/>
                          <w:szCs w:val="19"/>
                        </w:rPr>
                      </w:pPr>
                      <w:r w:rsidRPr="00D851B5">
                        <w:rPr>
                          <w:rFonts w:ascii="Calibri" w:hAnsi="Calibri" w:cs="Calibri"/>
                          <w:color w:val="2C2D5B"/>
                          <w:sz w:val="19"/>
                          <w:szCs w:val="19"/>
                        </w:rPr>
                        <w:t xml:space="preserve"> a Member State exercising discretion under Article 3(2) of the </w:t>
                      </w:r>
                      <w:r w:rsidRPr="00D851B5">
                        <w:rPr>
                          <w:rFonts w:ascii="Calibri" w:hAnsi="Calibri" w:cs="Calibri"/>
                          <w:i/>
                          <w:iCs/>
                          <w:color w:val="2C2D5B"/>
                          <w:sz w:val="19"/>
                          <w:szCs w:val="19"/>
                        </w:rPr>
                        <w:t>Dublin II Regulation</w:t>
                      </w:r>
                      <w:r w:rsidRPr="00D851B5">
                        <w:rPr>
                          <w:rFonts w:ascii="Calibri" w:hAnsi="Calibri" w:cs="Calibri"/>
                          <w:color w:val="2C2D5B"/>
                          <w:sz w:val="19"/>
                          <w:szCs w:val="19"/>
                        </w:rPr>
                        <w:t xml:space="preserve"> is implementing EU law and is therefore bound by the Charter.</w:t>
                      </w:r>
                    </w:p>
                    <w:p w14:paraId="70311507" w14:textId="1961DFCC" w:rsidR="0090573B" w:rsidRPr="00D851B5" w:rsidRDefault="0090573B" w:rsidP="00253E61">
                      <w:pPr>
                        <w:pStyle w:val="Paragraphedeliste"/>
                        <w:numPr>
                          <w:ilvl w:val="0"/>
                          <w:numId w:val="27"/>
                        </w:numPr>
                        <w:jc w:val="both"/>
                        <w:rPr>
                          <w:rFonts w:ascii="Calibri" w:hAnsi="Calibri" w:cs="Calibri"/>
                          <w:color w:val="2C2D5B"/>
                          <w:sz w:val="19"/>
                          <w:szCs w:val="19"/>
                        </w:rPr>
                      </w:pPr>
                      <w:r w:rsidRPr="00D851B5">
                        <w:rPr>
                          <w:rFonts w:ascii="Calibri" w:hAnsi="Calibri" w:cs="Calibri"/>
                          <w:color w:val="2C2D5B"/>
                          <w:sz w:val="19"/>
                          <w:szCs w:val="19"/>
                        </w:rPr>
                        <w:t>The Protocol did not absolve the UK or Poland of their obligation to ensure compliance with the Charter.it is necessary to read Article 4 of the European Union's Charter of Fundamental Rights to mean that national courts and Member States are not permitted to send asylum seekers to the Member State that is holding them accountable.</w:t>
                      </w:r>
                    </w:p>
                    <w:p w14:paraId="5F2BFF9C" w14:textId="77777777" w:rsidR="0090573B" w:rsidRPr="00327D5A" w:rsidRDefault="0090573B" w:rsidP="00327D5A">
                      <w:pPr>
                        <w:jc w:val="both"/>
                        <w:rPr>
                          <w:rFonts w:ascii="Calibri" w:hAnsi="Calibri" w:cs="Calibri"/>
                          <w:sz w:val="20"/>
                          <w:szCs w:val="20"/>
                        </w:rPr>
                      </w:pPr>
                    </w:p>
                    <w:p w14:paraId="5B9234F2" w14:textId="77777777" w:rsidR="00856458" w:rsidRDefault="00856458" w:rsidP="00547AC7">
                      <w:pPr>
                        <w:jc w:val="right"/>
                        <w:rPr>
                          <w:rFonts w:ascii="Calibri" w:hAnsi="Calibri" w:cs="Calibri"/>
                          <w:b/>
                          <w:bCs/>
                          <w:sz w:val="20"/>
                          <w:szCs w:val="20"/>
                        </w:rPr>
                      </w:pPr>
                    </w:p>
                    <w:p w14:paraId="2FC1897A" w14:textId="77777777" w:rsidR="00856458" w:rsidRDefault="00856458" w:rsidP="00547AC7">
                      <w:pPr>
                        <w:jc w:val="right"/>
                        <w:rPr>
                          <w:rFonts w:ascii="Calibri" w:hAnsi="Calibri" w:cs="Calibri"/>
                          <w:b/>
                          <w:bCs/>
                          <w:sz w:val="20"/>
                          <w:szCs w:val="20"/>
                        </w:rPr>
                      </w:pPr>
                    </w:p>
                    <w:p w14:paraId="4869F9D8" w14:textId="77777777" w:rsidR="00547AC7" w:rsidRDefault="00547AC7" w:rsidP="00547AC7">
                      <w:pPr>
                        <w:jc w:val="right"/>
                        <w:rPr>
                          <w:rFonts w:ascii="Calibri" w:hAnsi="Calibri" w:cs="Calibri"/>
                          <w:b/>
                          <w:bCs/>
                          <w:sz w:val="20"/>
                          <w:szCs w:val="20"/>
                        </w:rPr>
                      </w:pPr>
                    </w:p>
                    <w:p w14:paraId="1A3BEF27" w14:textId="77777777" w:rsidR="00547AC7" w:rsidRPr="00327D5A" w:rsidRDefault="00547AC7" w:rsidP="00327D5A">
                      <w:pPr>
                        <w:jc w:val="right"/>
                        <w:rPr>
                          <w:rFonts w:ascii="Calibri" w:hAnsi="Calibri" w:cs="Calibri"/>
                          <w:b/>
                          <w:bCs/>
                          <w:sz w:val="20"/>
                          <w:szCs w:val="20"/>
                        </w:rPr>
                      </w:pPr>
                    </w:p>
                  </w:txbxContent>
                </v:textbox>
                <w10:wrap type="square" anchorx="margin"/>
              </v:roundrect>
            </w:pict>
          </mc:Fallback>
        </mc:AlternateContent>
      </w:r>
    </w:p>
    <w:p w14:paraId="048C2D7A" w14:textId="6A07638A" w:rsidR="00532606" w:rsidRDefault="00532606" w:rsidP="00740BB9">
      <w:pPr>
        <w:spacing w:after="120" w:line="276" w:lineRule="auto"/>
        <w:jc w:val="both"/>
        <w:rPr>
          <w:rFonts w:ascii="Calibri" w:hAnsi="Calibri" w:cs="Calibri"/>
        </w:rPr>
      </w:pPr>
    </w:p>
    <w:p w14:paraId="309AEBEC" w14:textId="5F920E8E" w:rsidR="00532606" w:rsidRDefault="00532606" w:rsidP="00740BB9">
      <w:pPr>
        <w:spacing w:after="120" w:line="276" w:lineRule="auto"/>
        <w:jc w:val="both"/>
        <w:rPr>
          <w:rFonts w:ascii="Calibri" w:hAnsi="Calibri" w:cs="Calibri"/>
        </w:rPr>
      </w:pPr>
    </w:p>
    <w:p w14:paraId="7EA53D18" w14:textId="3C947FA3" w:rsidR="00532606" w:rsidRDefault="00532606" w:rsidP="00740BB9">
      <w:pPr>
        <w:spacing w:after="120" w:line="276" w:lineRule="auto"/>
        <w:jc w:val="both"/>
        <w:rPr>
          <w:rFonts w:ascii="Calibri" w:hAnsi="Calibri" w:cs="Calibri"/>
        </w:rPr>
      </w:pPr>
    </w:p>
    <w:p w14:paraId="04B7EFA4" w14:textId="5A280F89" w:rsidR="00532606" w:rsidRDefault="00532606" w:rsidP="00740BB9">
      <w:pPr>
        <w:spacing w:after="120" w:line="276" w:lineRule="auto"/>
        <w:jc w:val="both"/>
        <w:rPr>
          <w:rFonts w:ascii="Calibri" w:hAnsi="Calibri" w:cs="Calibri"/>
          <w:b/>
          <w:bCs/>
          <w:iCs/>
        </w:rPr>
      </w:pPr>
    </w:p>
    <w:p w14:paraId="46BFEF3C" w14:textId="4C49BCEB" w:rsidR="00240D8E" w:rsidRPr="00D851B5" w:rsidRDefault="004B1AF1" w:rsidP="00240D8E">
      <w:pPr>
        <w:tabs>
          <w:tab w:val="left" w:pos="426"/>
        </w:tabs>
        <w:spacing w:after="120" w:line="276" w:lineRule="auto"/>
        <w:ind w:left="426" w:hanging="568"/>
        <w:jc w:val="both"/>
        <w:rPr>
          <w:rFonts w:ascii="Calibri" w:hAnsi="Calibri" w:cs="Calibri"/>
          <w:b/>
          <w:bCs/>
          <w:iCs/>
          <w:color w:val="2F5496" w:themeColor="accent1" w:themeShade="BF"/>
          <w:sz w:val="32"/>
          <w:szCs w:val="32"/>
        </w:rPr>
      </w:pPr>
      <w:r w:rsidRPr="00240D8E">
        <w:rPr>
          <w:rFonts w:ascii="Calibri" w:hAnsi="Calibri" w:cs="Calibri"/>
          <w:b/>
          <w:bCs/>
          <w:iCs/>
          <w:color w:val="B6A04C"/>
          <w:sz w:val="32"/>
          <w:szCs w:val="32"/>
        </w:rPr>
        <w:t>4.2</w:t>
      </w:r>
      <w:r w:rsidR="007E150B" w:rsidRPr="00240D8E">
        <w:rPr>
          <w:rFonts w:ascii="Calibri" w:hAnsi="Calibri" w:cs="Calibri"/>
          <w:b/>
          <w:bCs/>
          <w:iCs/>
          <w:color w:val="B6A04C"/>
          <w:sz w:val="32"/>
          <w:szCs w:val="32"/>
        </w:rPr>
        <w:t xml:space="preserve">. </w:t>
      </w:r>
      <w:r w:rsidR="00740BB9" w:rsidRPr="00D851B5">
        <w:rPr>
          <w:rFonts w:ascii="Calibri" w:hAnsi="Calibri" w:cs="Calibri"/>
          <w:b/>
          <w:bCs/>
          <w:iCs/>
          <w:color w:val="2F5496" w:themeColor="accent1" w:themeShade="BF"/>
          <w:sz w:val="32"/>
          <w:szCs w:val="32"/>
        </w:rPr>
        <w:t>Reflection on the Charter’s impact of</w:t>
      </w:r>
      <w:r w:rsidR="002E0223" w:rsidRPr="00D851B5">
        <w:rPr>
          <w:rFonts w:ascii="Calibri" w:hAnsi="Calibri" w:cs="Calibri"/>
          <w:b/>
          <w:bCs/>
          <w:iCs/>
          <w:color w:val="2F5496" w:themeColor="accent1" w:themeShade="BF"/>
          <w:sz w:val="32"/>
          <w:szCs w:val="32"/>
        </w:rPr>
        <w:t xml:space="preserve"> fundamental</w:t>
      </w:r>
      <w:r w:rsidR="00740BB9" w:rsidRPr="00D851B5">
        <w:rPr>
          <w:rFonts w:ascii="Calibri" w:hAnsi="Calibri" w:cs="Calibri"/>
          <w:b/>
          <w:bCs/>
          <w:iCs/>
          <w:color w:val="2F5496" w:themeColor="accent1" w:themeShade="BF"/>
          <w:sz w:val="32"/>
          <w:szCs w:val="32"/>
        </w:rPr>
        <w:t xml:space="preserve"> rights jurisprudence in Ireland</w:t>
      </w:r>
      <w:r w:rsidR="007E150B" w:rsidRPr="00D851B5">
        <w:rPr>
          <w:rFonts w:ascii="Calibri" w:hAnsi="Calibri" w:cs="Calibri"/>
          <w:b/>
          <w:bCs/>
          <w:iCs/>
          <w:color w:val="2F5496" w:themeColor="accent1" w:themeShade="BF"/>
          <w:sz w:val="32"/>
          <w:szCs w:val="32"/>
        </w:rPr>
        <w:t>.</w:t>
      </w:r>
    </w:p>
    <w:p w14:paraId="1584F5AD" w14:textId="6EA171F3" w:rsidR="00740BB9" w:rsidRPr="00240D8E" w:rsidRDefault="00740BB9" w:rsidP="00740BB9">
      <w:pPr>
        <w:spacing w:after="120" w:line="276" w:lineRule="auto"/>
        <w:jc w:val="both"/>
        <w:rPr>
          <w:rFonts w:asciiTheme="majorHAnsi" w:hAnsiTheme="majorHAnsi" w:cstheme="majorHAnsi"/>
          <w:color w:val="2C2D5B"/>
        </w:rPr>
      </w:pPr>
      <w:r w:rsidRPr="00240D8E">
        <w:rPr>
          <w:rFonts w:asciiTheme="majorHAnsi" w:hAnsiTheme="majorHAnsi" w:cstheme="majorHAnsi"/>
          <w:color w:val="2C2D5B"/>
        </w:rPr>
        <w:t xml:space="preserve">A greater reflection is needed under this section how the interaction with the Court and Charter has shaped the </w:t>
      </w:r>
      <w:r w:rsidR="002E0223" w:rsidRPr="00240D8E">
        <w:rPr>
          <w:rFonts w:asciiTheme="majorHAnsi" w:hAnsiTheme="majorHAnsi" w:cstheme="majorHAnsi"/>
          <w:color w:val="2C2D5B"/>
        </w:rPr>
        <w:t>fundamental</w:t>
      </w:r>
      <w:r w:rsidRPr="00240D8E">
        <w:rPr>
          <w:rFonts w:asciiTheme="majorHAnsi" w:hAnsiTheme="majorHAnsi" w:cstheme="majorHAnsi"/>
          <w:color w:val="2C2D5B"/>
        </w:rPr>
        <w:t xml:space="preserve"> rights jurisprudence in Ireland.  It is in particular in the area of asylum law which may have begun as a field of domestic and/or international law, but as EU legislation in the areas of justice and home affairs has grown over time, the amount of EU law occupying the field has increased dramatically.</w:t>
      </w:r>
    </w:p>
    <w:p w14:paraId="28D19A6F" w14:textId="40EBDE7E" w:rsidR="00740BB9" w:rsidRPr="00532606" w:rsidRDefault="00740BB9" w:rsidP="00740BB9">
      <w:pPr>
        <w:spacing w:after="120" w:line="276" w:lineRule="auto"/>
        <w:jc w:val="both"/>
        <w:rPr>
          <w:rFonts w:asciiTheme="majorHAnsi" w:hAnsiTheme="majorHAnsi" w:cstheme="majorHAnsi"/>
          <w:u w:val="single"/>
        </w:rPr>
      </w:pPr>
      <w:r w:rsidRPr="00240D8E">
        <w:rPr>
          <w:rFonts w:asciiTheme="majorHAnsi" w:hAnsiTheme="majorHAnsi" w:cstheme="majorHAnsi"/>
          <w:color w:val="2C2D5B"/>
        </w:rPr>
        <w:t>For this reason, the Irish courts have given the scope of application of the Charter particular consideration in cases involving immigration and asylum. Numerous rulings have underlined the ongoing character of some powers, such as the authority to deport, as sovereign to the State (meaning that some provisions of the Charter, such as the Article 7 right to respect for private and family life, are not applicable). In a rather recent case the High Court held that the State's refusal to give lodging, food, and basic hygienic facilities to a 17-year-old who had just arrived from Afghanistan was declared illegal and a violation of his Charter right to dignity by the High Court. Upon requesting international protection in Ireland, the applicant was informed that lodging was not feasible and was instead given a €25.00 Dunnes coupon. He spent three weeks on the streets as a result of this</w:t>
      </w:r>
      <w:r w:rsidR="002E0223" w:rsidRPr="00240D8E">
        <w:rPr>
          <w:rFonts w:asciiTheme="majorHAnsi" w:hAnsiTheme="majorHAnsi" w:cstheme="majorHAnsi"/>
          <w:color w:val="2C2D5B"/>
        </w:rPr>
        <w:t xml:space="preserve"> </w:t>
      </w:r>
      <w:r w:rsidR="002E0223" w:rsidRPr="00240D8E">
        <w:rPr>
          <w:rFonts w:asciiTheme="majorHAnsi" w:hAnsiTheme="majorHAnsi" w:cstheme="majorHAnsi"/>
          <w:color w:val="B6A04C"/>
        </w:rPr>
        <w:t>(</w:t>
      </w:r>
      <w:hyperlink r:id="rId73" w:history="1">
        <w:r w:rsidR="002E0223" w:rsidRPr="00240D8E">
          <w:rPr>
            <w:rStyle w:val="Hypertextovodkaz"/>
            <w:rFonts w:asciiTheme="majorHAnsi" w:hAnsiTheme="majorHAnsi" w:cstheme="majorHAnsi"/>
            <w:color w:val="B6A04C"/>
          </w:rPr>
          <w:t>S.Y. (A Minor Suing by his Next Friend Aoife Dare) v The Minister for Children and Others</w:t>
        </w:r>
      </w:hyperlink>
      <w:r w:rsidR="002E0223" w:rsidRPr="00240D8E">
        <w:rPr>
          <w:rFonts w:asciiTheme="majorHAnsi" w:hAnsiTheme="majorHAnsi" w:cstheme="majorHAnsi"/>
          <w:color w:val="B6A04C"/>
        </w:rPr>
        <w:t xml:space="preserve">.) </w:t>
      </w:r>
    </w:p>
    <w:p w14:paraId="0C1E4ABA" w14:textId="6AAE7A21" w:rsidR="00740BB9" w:rsidRPr="00532606" w:rsidRDefault="00740BB9" w:rsidP="00740BB9">
      <w:pPr>
        <w:spacing w:after="120" w:line="276" w:lineRule="auto"/>
        <w:jc w:val="both"/>
        <w:rPr>
          <w:rFonts w:asciiTheme="majorHAnsi" w:hAnsiTheme="majorHAnsi" w:cstheme="majorHAnsi"/>
        </w:rPr>
      </w:pPr>
      <w:r w:rsidRPr="00240D8E">
        <w:rPr>
          <w:rFonts w:asciiTheme="majorHAnsi" w:hAnsiTheme="majorHAnsi" w:cstheme="majorHAnsi"/>
          <w:color w:val="2C2D5B"/>
        </w:rPr>
        <w:t>In addition, a case involving an application for an injunction to prevent the execution of a deportation order, AO v. Minister for Justice, Equality and Law Reform (No. 3), may include one of the closest analysis of the breadth of applicability of the Charter in Irish courts in the last years. Hogan J. pointed out that the interpretation of Article 51 of the Charter was still being worked out by the EU courts</w:t>
      </w:r>
      <w:r w:rsidR="002E0223" w:rsidRPr="00240D8E">
        <w:rPr>
          <w:rFonts w:asciiTheme="majorHAnsi" w:hAnsiTheme="majorHAnsi" w:cstheme="majorHAnsi"/>
          <w:color w:val="2C2D5B"/>
        </w:rPr>
        <w:t xml:space="preserve"> </w:t>
      </w:r>
      <w:r w:rsidR="002E0223" w:rsidRPr="00240D8E">
        <w:rPr>
          <w:rFonts w:asciiTheme="majorHAnsi" w:hAnsiTheme="majorHAnsi" w:cstheme="majorHAnsi"/>
          <w:color w:val="B6A04C"/>
        </w:rPr>
        <w:t>(</w:t>
      </w:r>
      <w:hyperlink r:id="rId74" w:anchor="view=fitH" w:history="1">
        <w:r w:rsidR="002E0223" w:rsidRPr="00240D8E">
          <w:rPr>
            <w:rStyle w:val="Hypertextovodkaz"/>
            <w:rFonts w:asciiTheme="majorHAnsi" w:hAnsiTheme="majorHAnsi" w:cstheme="majorHAnsi"/>
            <w:color w:val="B6A04C"/>
          </w:rPr>
          <w:t>A.O. v Minister for Justice ,Equality and Law Reform (No. 3) [2012] IEHC 104).</w:t>
        </w:r>
      </w:hyperlink>
    </w:p>
    <w:p w14:paraId="0125701B" w14:textId="24976BEB" w:rsidR="00740BB9" w:rsidRPr="00240D8E" w:rsidRDefault="00740BB9" w:rsidP="004735AE">
      <w:pPr>
        <w:spacing w:after="120" w:line="276" w:lineRule="auto"/>
        <w:jc w:val="both"/>
        <w:rPr>
          <w:rFonts w:asciiTheme="majorHAnsi" w:hAnsiTheme="majorHAnsi" w:cstheme="majorHAnsi"/>
          <w:color w:val="2C2D5B"/>
          <w:u w:val="single"/>
        </w:rPr>
      </w:pPr>
      <w:r w:rsidRPr="00240D8E">
        <w:rPr>
          <w:rFonts w:asciiTheme="majorHAnsi" w:hAnsiTheme="majorHAnsi" w:cstheme="majorHAnsi"/>
          <w:color w:val="2C2D5B"/>
        </w:rPr>
        <w:t xml:space="preserve">Less straightforward cases present more difficulty. It may well be that where, for example, the State exercises a discretionary power pursuant to the European Arrest Warrant Act 2003 that the Charter will apply, although this matter is not at all free from difficulty, as Edwards J. acknowledged in Minister for Justice and Equality v. D.L. [2011] IEHC 248. Other difficult questions may possibly arise regarding the scope of application of the Charter where this is said to be triggered by the presence of possibly accidental factors of nationality and free movement in circumstances which might otherwise suggest the happening of events purely internal to this Member State. </w:t>
      </w:r>
    </w:p>
    <w:p w14:paraId="5181F8B9" w14:textId="77777777" w:rsidR="00240D8E" w:rsidRDefault="00240D8E" w:rsidP="00740BB9">
      <w:pPr>
        <w:spacing w:after="120" w:line="276" w:lineRule="auto"/>
        <w:jc w:val="both"/>
        <w:rPr>
          <w:rFonts w:asciiTheme="majorHAnsi" w:hAnsiTheme="majorHAnsi" w:cstheme="majorHAnsi"/>
        </w:rPr>
      </w:pPr>
    </w:p>
    <w:p w14:paraId="79D5DC1F" w14:textId="77777777" w:rsidR="00240D8E" w:rsidRDefault="00240D8E" w:rsidP="00740BB9">
      <w:pPr>
        <w:spacing w:after="120" w:line="276" w:lineRule="auto"/>
        <w:jc w:val="both"/>
        <w:rPr>
          <w:rFonts w:asciiTheme="majorHAnsi" w:hAnsiTheme="majorHAnsi" w:cstheme="majorHAnsi"/>
        </w:rPr>
      </w:pPr>
    </w:p>
    <w:p w14:paraId="40B73B55" w14:textId="77777777" w:rsidR="00240D8E" w:rsidRDefault="00240D8E" w:rsidP="00740BB9">
      <w:pPr>
        <w:spacing w:after="120" w:line="276" w:lineRule="auto"/>
        <w:jc w:val="both"/>
        <w:rPr>
          <w:rFonts w:asciiTheme="majorHAnsi" w:hAnsiTheme="majorHAnsi" w:cstheme="majorHAnsi"/>
        </w:rPr>
      </w:pPr>
    </w:p>
    <w:p w14:paraId="5AC559C8" w14:textId="77777777" w:rsidR="00240D8E" w:rsidRDefault="00240D8E" w:rsidP="00740BB9">
      <w:pPr>
        <w:spacing w:after="120" w:line="276" w:lineRule="auto"/>
        <w:jc w:val="both"/>
        <w:rPr>
          <w:rFonts w:asciiTheme="majorHAnsi" w:hAnsiTheme="majorHAnsi" w:cstheme="majorHAnsi"/>
        </w:rPr>
      </w:pPr>
    </w:p>
    <w:p w14:paraId="3692C181" w14:textId="77777777" w:rsidR="00240D8E" w:rsidRDefault="00240D8E" w:rsidP="00740BB9">
      <w:pPr>
        <w:spacing w:after="120" w:line="276" w:lineRule="auto"/>
        <w:jc w:val="both"/>
        <w:rPr>
          <w:rFonts w:asciiTheme="majorHAnsi" w:hAnsiTheme="majorHAnsi" w:cstheme="majorHAnsi"/>
        </w:rPr>
      </w:pPr>
    </w:p>
    <w:p w14:paraId="144A6792" w14:textId="37163EBE" w:rsidR="00740BB9" w:rsidRPr="00240D8E" w:rsidRDefault="00740BB9" w:rsidP="00740BB9">
      <w:pPr>
        <w:spacing w:after="120" w:line="276" w:lineRule="auto"/>
        <w:jc w:val="both"/>
        <w:rPr>
          <w:rFonts w:asciiTheme="majorHAnsi" w:hAnsiTheme="majorHAnsi" w:cstheme="majorHAnsi"/>
          <w:color w:val="2C2D5B"/>
        </w:rPr>
      </w:pPr>
      <w:r w:rsidRPr="00240D8E">
        <w:rPr>
          <w:rFonts w:asciiTheme="majorHAnsi" w:hAnsiTheme="majorHAnsi" w:cstheme="majorHAnsi"/>
          <w:color w:val="2C2D5B"/>
        </w:rPr>
        <w:t>In another notable case, the Charter played a role in the Irish judicial review of decisions made by the Minister of Justice and Equality</w:t>
      </w:r>
      <w:r w:rsidR="002E0223" w:rsidRPr="00240D8E">
        <w:rPr>
          <w:rFonts w:asciiTheme="majorHAnsi" w:hAnsiTheme="majorHAnsi" w:cstheme="majorHAnsi"/>
          <w:color w:val="2C2D5B"/>
        </w:rPr>
        <w:t xml:space="preserve"> (K.I. and Others v Minister for Justice and Equality and Others [2014] IEHC 83.)</w:t>
      </w:r>
      <w:r w:rsidRPr="00240D8E">
        <w:rPr>
          <w:rFonts w:asciiTheme="majorHAnsi" w:hAnsiTheme="majorHAnsi" w:cstheme="majorHAnsi"/>
          <w:color w:val="2C2D5B"/>
        </w:rPr>
        <w:t>. In this case, the applicant, a Nigerian national who had applied for asylum but was turned down, was also the second applicant's partner. The applicant claimed that because his deportation violated Article 8 ECHR by not respecting his family life, it qualified for redress under the Court of Justice's Zambrano ruling.</w:t>
      </w:r>
      <w:r w:rsidR="002E0223" w:rsidRPr="00240D8E">
        <w:rPr>
          <w:rFonts w:asciiTheme="majorHAnsi" w:hAnsiTheme="majorHAnsi" w:cstheme="majorHAnsi"/>
          <w:color w:val="2C2D5B"/>
        </w:rPr>
        <w:t xml:space="preserve"> </w:t>
      </w:r>
      <w:r w:rsidRPr="00240D8E">
        <w:rPr>
          <w:rFonts w:asciiTheme="majorHAnsi" w:hAnsiTheme="majorHAnsi" w:cstheme="majorHAnsi"/>
          <w:color w:val="2C2D5B"/>
        </w:rPr>
        <w:t>In this ruling McDermott J. held that the applicants had not proven there was a fundamental error in the respondent's decision. Even if they weren't his biological offspring, the applicant's rights had been duly taken into account, and the children's welfare and best interests had been duly evaluated. The applicants' attempt to prove that the decision to refuse to cancel deportation was invalid due to the arguments put forward did not satisfy the court. He had continued to lie about when he had arrived in the State. Throughout, the applicant disregarded immigration and asylum laws while continuing to lead a family life while being aware of his dangerous situation.</w:t>
      </w:r>
    </w:p>
    <w:p w14:paraId="05740284" w14:textId="77777777" w:rsidR="00740BB9" w:rsidRPr="00240D8E" w:rsidRDefault="00740BB9" w:rsidP="00740BB9">
      <w:pPr>
        <w:spacing w:after="120" w:line="276" w:lineRule="auto"/>
        <w:jc w:val="both"/>
        <w:rPr>
          <w:rFonts w:asciiTheme="majorHAnsi" w:hAnsiTheme="majorHAnsi" w:cstheme="majorHAnsi"/>
          <w:color w:val="2C2D5B"/>
        </w:rPr>
      </w:pPr>
      <w:r w:rsidRPr="00240D8E">
        <w:rPr>
          <w:rFonts w:asciiTheme="majorHAnsi" w:hAnsiTheme="majorHAnsi" w:cstheme="majorHAnsi"/>
          <w:color w:val="2C2D5B"/>
        </w:rPr>
        <w:t>Finally, it is also noteworthy that the Court and national courts find themselves in conflict, such as in Graham Dwyer v. Data Commissioner. In this case a jury found Mr. Graham Dwyer guilty on March 27, 2015, of killing Ms. Elaine O'Hara. On April 25, 2015, he was sentenced to life in prison. The investigation leading to the trial used the mobile telephony data generated by the phone provided by the plaintiff’s employer to the plaintiff. The 2011 Act allowed for the retention and access of this data. According to Dwyer, information obtained from his phone under the 2011 Communications (Retention of Data) Act was improperly used during his Central Criminal Court trial in 2015. Dwyer's work phone produced the data that positioned the phone in a given location at a given time. The prosecution claims that Dwyer utilised that data to connect him to another cell phone that he obtained and utilised to get in touch with Ms. O'Hara.</w:t>
      </w:r>
    </w:p>
    <w:p w14:paraId="4E9142F4" w14:textId="77777777" w:rsidR="00740BB9" w:rsidRPr="00240D8E" w:rsidRDefault="00740BB9" w:rsidP="00740BB9">
      <w:pPr>
        <w:spacing w:after="120" w:line="276" w:lineRule="auto"/>
        <w:jc w:val="both"/>
        <w:rPr>
          <w:rFonts w:asciiTheme="majorHAnsi" w:hAnsiTheme="majorHAnsi" w:cstheme="majorHAnsi"/>
          <w:color w:val="2C2D5B"/>
        </w:rPr>
      </w:pPr>
      <w:r w:rsidRPr="00240D8E">
        <w:rPr>
          <w:rFonts w:asciiTheme="majorHAnsi" w:hAnsiTheme="majorHAnsi" w:cstheme="majorHAnsi"/>
          <w:color w:val="2C2D5B"/>
        </w:rPr>
        <w:t xml:space="preserve">According to Mr. Dwyer, Section 3(1) of the 2011 Act violates Article 15(1) of the 2002 Directive because it allows the wide and indiscriminate retention of telephone data in violation of Articles 7, 8, 11, and 52 of the Charter and Articles 8 and 10 of the ECHR. </w:t>
      </w:r>
    </w:p>
    <w:p w14:paraId="05F0521F" w14:textId="316CAD2C" w:rsidR="00240D8E" w:rsidRDefault="00740BB9" w:rsidP="00D851B5">
      <w:pPr>
        <w:spacing w:after="120" w:line="276" w:lineRule="auto"/>
        <w:jc w:val="both"/>
        <w:rPr>
          <w:rFonts w:asciiTheme="majorHAnsi" w:hAnsiTheme="majorHAnsi" w:cstheme="majorHAnsi"/>
          <w:color w:val="2C2D5B"/>
        </w:rPr>
      </w:pPr>
      <w:r w:rsidRPr="00240D8E">
        <w:rPr>
          <w:rFonts w:asciiTheme="majorHAnsi" w:hAnsiTheme="majorHAnsi" w:cstheme="majorHAnsi"/>
          <w:color w:val="2C2D5B"/>
        </w:rPr>
        <w:t xml:space="preserve">In particular, the High Court held that “the requirements of the Charter to the Constitution” is hill founded because “the Irish Superior Courts have exclusive jurisdiction to define the scope and limits of the rights protected under the Constitution which have been guaranteed over many decades long before the Charter was proclaimed or given legal effect”. </w:t>
      </w:r>
    </w:p>
    <w:p w14:paraId="47CBFDD1" w14:textId="77777777" w:rsidR="00240D8E" w:rsidRDefault="00240D8E" w:rsidP="004735AE">
      <w:pPr>
        <w:spacing w:after="120" w:line="276" w:lineRule="auto"/>
        <w:ind w:left="720"/>
        <w:jc w:val="both"/>
        <w:rPr>
          <w:rFonts w:asciiTheme="majorHAnsi" w:hAnsiTheme="majorHAnsi" w:cstheme="majorHAnsi"/>
          <w:color w:val="2C2D5B"/>
        </w:rPr>
      </w:pPr>
    </w:p>
    <w:p w14:paraId="420691D8" w14:textId="77777777" w:rsidR="00240D8E" w:rsidRDefault="00240D8E" w:rsidP="004735AE">
      <w:pPr>
        <w:spacing w:after="120" w:line="276" w:lineRule="auto"/>
        <w:ind w:left="720"/>
        <w:jc w:val="both"/>
        <w:rPr>
          <w:rFonts w:asciiTheme="majorHAnsi" w:hAnsiTheme="majorHAnsi" w:cstheme="majorHAnsi"/>
          <w:color w:val="2C2D5B"/>
        </w:rPr>
      </w:pPr>
    </w:p>
    <w:p w14:paraId="105B55C1" w14:textId="77777777" w:rsidR="00240D8E" w:rsidRDefault="00240D8E" w:rsidP="004735AE">
      <w:pPr>
        <w:spacing w:after="120" w:line="276" w:lineRule="auto"/>
        <w:ind w:left="720"/>
        <w:jc w:val="both"/>
        <w:rPr>
          <w:rFonts w:asciiTheme="majorHAnsi" w:hAnsiTheme="majorHAnsi" w:cstheme="majorHAnsi"/>
          <w:color w:val="2C2D5B"/>
        </w:rPr>
      </w:pPr>
    </w:p>
    <w:p w14:paraId="573633D2" w14:textId="77777777" w:rsidR="00240D8E" w:rsidRDefault="00240D8E" w:rsidP="004735AE">
      <w:pPr>
        <w:spacing w:after="120" w:line="276" w:lineRule="auto"/>
        <w:ind w:left="720"/>
        <w:jc w:val="both"/>
        <w:rPr>
          <w:rFonts w:asciiTheme="majorHAnsi" w:hAnsiTheme="majorHAnsi" w:cstheme="majorHAnsi"/>
          <w:color w:val="2C2D5B"/>
        </w:rPr>
      </w:pPr>
    </w:p>
    <w:p w14:paraId="18E89486" w14:textId="77777777" w:rsidR="00240D8E" w:rsidRDefault="00240D8E" w:rsidP="004735AE">
      <w:pPr>
        <w:spacing w:after="120" w:line="276" w:lineRule="auto"/>
        <w:ind w:left="720"/>
        <w:jc w:val="both"/>
        <w:rPr>
          <w:rFonts w:asciiTheme="majorHAnsi" w:hAnsiTheme="majorHAnsi" w:cstheme="majorHAnsi"/>
          <w:color w:val="2C2D5B"/>
        </w:rPr>
      </w:pPr>
    </w:p>
    <w:p w14:paraId="79F7E804" w14:textId="77777777" w:rsidR="00240D8E" w:rsidRDefault="00240D8E" w:rsidP="004735AE">
      <w:pPr>
        <w:spacing w:after="120" w:line="276" w:lineRule="auto"/>
        <w:ind w:left="720"/>
        <w:jc w:val="both"/>
        <w:rPr>
          <w:rFonts w:asciiTheme="majorHAnsi" w:hAnsiTheme="majorHAnsi" w:cstheme="majorHAnsi"/>
          <w:color w:val="2C2D5B"/>
        </w:rPr>
      </w:pPr>
    </w:p>
    <w:p w14:paraId="6EE48B48" w14:textId="77777777" w:rsidR="00D851B5" w:rsidRDefault="00D851B5" w:rsidP="00240D8E">
      <w:pPr>
        <w:spacing w:after="120" w:line="276" w:lineRule="auto"/>
        <w:jc w:val="both"/>
        <w:rPr>
          <w:rFonts w:asciiTheme="majorHAnsi" w:hAnsiTheme="majorHAnsi" w:cstheme="majorHAnsi"/>
          <w:color w:val="2C2D5B"/>
        </w:rPr>
      </w:pPr>
    </w:p>
    <w:p w14:paraId="7E015F8A" w14:textId="313C3C5D" w:rsidR="00740BB9" w:rsidRPr="00532606" w:rsidRDefault="00740BB9" w:rsidP="00240D8E">
      <w:pPr>
        <w:spacing w:after="120" w:line="276" w:lineRule="auto"/>
        <w:jc w:val="both"/>
        <w:rPr>
          <w:rFonts w:asciiTheme="majorHAnsi" w:hAnsiTheme="majorHAnsi" w:cstheme="majorHAnsi"/>
        </w:rPr>
      </w:pPr>
      <w:r w:rsidRPr="00240D8E">
        <w:rPr>
          <w:rFonts w:asciiTheme="majorHAnsi" w:hAnsiTheme="majorHAnsi" w:cstheme="majorHAnsi"/>
          <w:color w:val="2C2D5B"/>
        </w:rPr>
        <w:t>Further, the logic that informed the ECJ analysis does not necessarily apply in precisely the same way to constitutional analysis”</w:t>
      </w:r>
      <w:r w:rsidR="002E0223" w:rsidRPr="00240D8E">
        <w:rPr>
          <w:rFonts w:asciiTheme="majorHAnsi" w:hAnsiTheme="majorHAnsi" w:cstheme="majorHAnsi"/>
          <w:color w:val="2C2D5B"/>
        </w:rPr>
        <w:t xml:space="preserve"> </w:t>
      </w:r>
      <w:r w:rsidR="002E0223" w:rsidRPr="00240D8E">
        <w:rPr>
          <w:rFonts w:asciiTheme="majorHAnsi" w:hAnsiTheme="majorHAnsi" w:cstheme="majorHAnsi"/>
          <w:color w:val="B6A04C"/>
        </w:rPr>
        <w:t>(</w:t>
      </w:r>
      <w:hyperlink r:id="rId75" w:history="1">
        <w:r w:rsidR="002E0223" w:rsidRPr="00240D8E">
          <w:rPr>
            <w:rStyle w:val="Hypertextovodkaz"/>
            <w:rFonts w:asciiTheme="majorHAnsi" w:hAnsiTheme="majorHAnsi" w:cstheme="majorHAnsi"/>
            <w:color w:val="B6A04C"/>
          </w:rPr>
          <w:t>Dwyer v Commissioner of an Garda Síochána, 351/2015, 6 December 2018</w:t>
        </w:r>
      </w:hyperlink>
      <w:r w:rsidR="002E0223" w:rsidRPr="00240D8E">
        <w:rPr>
          <w:rFonts w:asciiTheme="majorHAnsi" w:hAnsiTheme="majorHAnsi" w:cstheme="majorHAnsi"/>
          <w:color w:val="B6A04C"/>
        </w:rPr>
        <w:t xml:space="preserve">) </w:t>
      </w:r>
    </w:p>
    <w:p w14:paraId="651062F6" w14:textId="4CD14A59" w:rsidR="004735AE" w:rsidRPr="00240D8E" w:rsidRDefault="00740BB9" w:rsidP="00740BB9">
      <w:pPr>
        <w:spacing w:after="120" w:line="276" w:lineRule="auto"/>
        <w:jc w:val="both"/>
        <w:rPr>
          <w:rFonts w:asciiTheme="majorHAnsi" w:hAnsiTheme="majorHAnsi" w:cstheme="majorHAnsi"/>
          <w:color w:val="2C2D5B"/>
        </w:rPr>
      </w:pPr>
      <w:r w:rsidRPr="00240D8E">
        <w:rPr>
          <w:rFonts w:asciiTheme="majorHAnsi" w:hAnsiTheme="majorHAnsi" w:cstheme="majorHAnsi"/>
          <w:color w:val="2C2D5B"/>
        </w:rPr>
        <w:t>The State had maintained that legislation granting access to and use of stored data by the authorities are critical for the identification, prosecution, and deterrence of major crimes, including as cybercrime, organised crime, gangs, homicide, and terrorism. The European Convention on Human Rights and EU legislation are violated by Irish law regarding the keeping of telecommunications data, according to the by the Irish High Court.</w:t>
      </w:r>
    </w:p>
    <w:p w14:paraId="49AB3EA0" w14:textId="7BDCEA2B" w:rsidR="00740BB9" w:rsidRPr="00240D8E" w:rsidRDefault="00740BB9" w:rsidP="00740BB9">
      <w:pPr>
        <w:spacing w:after="120" w:line="276" w:lineRule="auto"/>
        <w:jc w:val="both"/>
        <w:rPr>
          <w:rFonts w:asciiTheme="majorHAnsi" w:hAnsiTheme="majorHAnsi" w:cstheme="majorHAnsi"/>
          <w:color w:val="2C2D5B"/>
        </w:rPr>
      </w:pPr>
      <w:r w:rsidRPr="00240D8E">
        <w:rPr>
          <w:rFonts w:asciiTheme="majorHAnsi" w:hAnsiTheme="majorHAnsi" w:cstheme="majorHAnsi"/>
          <w:color w:val="2C2D5B"/>
        </w:rPr>
        <w:t xml:space="preserve">The Court stated that this decision does not imply that Dwyer's murder conviction would be overturned because of phone data that was obtained and kept in violation of EU legislation and utilised by the prosecution during Dwyer's trial.  It concluded that certain provisions of Ireland's retention regulations violate EU law and rulings from the European Court of Human Rights, highlighting the supremacy of European law. </w:t>
      </w:r>
    </w:p>
    <w:p w14:paraId="498E686D" w14:textId="7E618C78" w:rsidR="00740BB9" w:rsidRPr="00240D8E" w:rsidRDefault="00740BB9" w:rsidP="00740BB9">
      <w:pPr>
        <w:spacing w:after="120" w:line="276" w:lineRule="auto"/>
        <w:jc w:val="both"/>
        <w:rPr>
          <w:rFonts w:asciiTheme="majorHAnsi" w:hAnsiTheme="majorHAnsi" w:cstheme="majorHAnsi"/>
          <w:color w:val="2C2D5B"/>
        </w:rPr>
      </w:pPr>
      <w:r w:rsidRPr="00240D8E">
        <w:rPr>
          <w:rFonts w:asciiTheme="majorHAnsi" w:hAnsiTheme="majorHAnsi" w:cstheme="majorHAnsi"/>
          <w:color w:val="2C2D5B"/>
        </w:rPr>
        <w:t>The State successfully appealed to the Supreme Court following a victorious High Court hearing in 2018, but the Supreme Court then forwarded the case to Luxembourg on the grounds that it pertained to European data retention rules.  In consequence, the CJEU held that that the widespread and indiscriminate keeping of location and electronic traffic data for the purpose of fighting serious crime is prohibited by EU law. A national legislation that permits such retention may not be declared unlawful by a national court, nor may it have its effects limited in time.</w:t>
      </w:r>
    </w:p>
    <w:p w14:paraId="32A05E58" w14:textId="31CDEE91" w:rsidR="00740BB9" w:rsidRDefault="00740BB9" w:rsidP="00C008BC">
      <w:pPr>
        <w:spacing w:after="120" w:line="276" w:lineRule="auto"/>
        <w:jc w:val="both"/>
        <w:rPr>
          <w:rFonts w:asciiTheme="majorHAnsi" w:hAnsiTheme="majorHAnsi" w:cstheme="majorHAnsi"/>
          <w:color w:val="2C2D5B"/>
        </w:rPr>
      </w:pPr>
      <w:r w:rsidRPr="00240D8E">
        <w:rPr>
          <w:rFonts w:asciiTheme="majorHAnsi" w:hAnsiTheme="majorHAnsi" w:cstheme="majorHAnsi"/>
          <w:color w:val="2C2D5B"/>
        </w:rPr>
        <w:t>Therefore, the evidence collectively demonstrates that the significance of the Charter in Irish jurisprudence is already noteworthy in areas like data protection, family law, asylum/immigration law, European Arrest Warrant law, and social/employment law. However, the significance of the Charter has also been felt in the area of companies' rights, for example. It is certain that the effect of the Charter will continue to rise as the reach of EU law broadens to encompass areas that are currently thought.  To this end it is true that Irish lawyers are using the Charter more often to support their positions in matters involving EU law as they become more conscious of its ability to support their positions and have an impact on the legal process. If this pattern persists, perhaps the courts will also progressively acquaint themselves with the European Convention on Human Rights, as they eventually did with the Charter, in order to gain additional knowledge about the Charter's applicability, contexts in which it can be used, and the significance of the various rights for resolving disputes in Irish law.</w:t>
      </w:r>
    </w:p>
    <w:p w14:paraId="4403E88F" w14:textId="18EE579B" w:rsidR="008410C4" w:rsidRPr="007A5A6C" w:rsidRDefault="007A5A6C" w:rsidP="008410C4">
      <w:pPr>
        <w:pStyle w:val="Nadpis1"/>
        <w:rPr>
          <w:rFonts w:ascii="Calibri" w:hAnsi="Calibri" w:cs="Calibri"/>
          <w:b/>
          <w:bCs/>
          <w:color w:val="FFFFFF" w:themeColor="background1"/>
          <w:sz w:val="52"/>
          <w:szCs w:val="5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AA300E">
        <w:rPr>
          <w:rFonts w:ascii="Calibri" w:hAnsi="Calibri" w:cs="Calibri"/>
          <w:b/>
          <w:bCs/>
          <w:noProof/>
          <w:color w:val="FFFFFF" w:themeColor="background1"/>
          <w:lang w:val="fr-FR"/>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14:ligatures w14:val="standardContextual"/>
        </w:rPr>
        <w:lastRenderedPageBreak/>
        <mc:AlternateContent>
          <mc:Choice Requires="wps">
            <w:drawing>
              <wp:anchor distT="0" distB="0" distL="114300" distR="114300" simplePos="0" relativeHeight="251991040" behindDoc="0" locked="0" layoutInCell="1" allowOverlap="1" wp14:anchorId="64FD8692" wp14:editId="4FB1CF9B">
                <wp:simplePos x="0" y="0"/>
                <wp:positionH relativeFrom="column">
                  <wp:posOffset>24130</wp:posOffset>
                </wp:positionH>
                <wp:positionV relativeFrom="paragraph">
                  <wp:posOffset>834390</wp:posOffset>
                </wp:positionV>
                <wp:extent cx="586740" cy="45085"/>
                <wp:effectExtent l="38100" t="38100" r="60960" b="88265"/>
                <wp:wrapNone/>
                <wp:docPr id="1529319539" name="Rectangle 63"/>
                <wp:cNvGraphicFramePr/>
                <a:graphic xmlns:a="http://schemas.openxmlformats.org/drawingml/2006/main">
                  <a:graphicData uri="http://schemas.microsoft.com/office/word/2010/wordprocessingShape">
                    <wps:wsp>
                      <wps:cNvSpPr/>
                      <wps:spPr>
                        <a:xfrm>
                          <a:off x="0" y="0"/>
                          <a:ext cx="586740" cy="45085"/>
                        </a:xfrm>
                        <a:prstGeom prst="rect">
                          <a:avLst/>
                        </a:prstGeom>
                        <a:solidFill>
                          <a:srgbClr val="B6A04C"/>
                        </a:solidFill>
                        <a:ln>
                          <a:noFill/>
                        </a:ln>
                        <a:effectLst>
                          <a:outerShdw blurRad="50800" dist="38100" dir="2700000" algn="tl" rotWithShape="0">
                            <a:prstClr val="black">
                              <a:alpha val="40000"/>
                            </a:prstClr>
                          </a:outerShdw>
                        </a:effectLst>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FF7FD01" id="Rectangle 63" o:spid="_x0000_s1026" style="position:absolute;margin-left:1.9pt;margin-top:65.7pt;width:46.2pt;height:3.55pt;z-index:25199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xMk0wIAABIGAAAOAAAAZHJzL2Uyb0RvYy54bWysVFFv2jAQfp+0/2D5fU1g0DLUUDGqTpOq&#10;FpVOfTaOQ6w5tmcbAvv1u7NDYG2fpvFgfPHdd9999t31zb5RZCecl0YXdHCRUyI0N6XUm4L+eL77&#10;NKHEB6ZLpowWBT0IT29mHz9ct3YqhqY2qhSOAIj209YWtA7BTrPM81o0zF8YKzQcVsY1LIDpNlnp&#10;WAvojcqGeX6ZtcaV1hkuvIevt+mQziJ+VQkeHqvKi0BUQYFbiKuL6xrXbHbNphvHbC15R4P9A4uG&#10;SQ1Je6hbFhjZOvkGqpHcGW+qcMFNk5mqklzEGqCaQf6qmlXNrIi1gDje9jL5/wfLH3Yru3QgQ2v9&#10;1MMWq9hXrsF/4Ef2UaxDL5bYB8Lh43hyeTUCSTkcjcb5ZIxaZqdY63z4JkxDcFNQB1cRFWK7ex+S&#10;69EFU3mjZHknlYqG26wXypEdg2v7ejnPR4sO/S83pdFZGwxLiOmLiBcPaWIN2yDcqi5bslZb98RK&#10;oJ5PcmBeSiT2eTJIBryK4VWOP0qY2sBzDooSZ8KLDHW8CtQAIZF3T2+tGP+ZKlO2ZonzKMKcqgTv&#10;KI45konWGc/sJH/chYMSmErpJ1ERWYLgw5gkdoboszPOhQ6DdFSzUqT8gzGWkfL3ETFnBETkCkTr&#10;sTsA7Lq32Amm88fQxLsPTqL0aRKDI7EU3EfEzEaHPriR2rj3KlNQVZc5+QP9M2lwuzblYenwiuIb&#10;9ZbfSbiae+bDkjnoY7hJmE3hEZZKmbagpttRUhv3+73v6A/tBaeUtDAXCup/bZkTlKjvGhrvy2CE&#10;rz5EYzS+GoLhzk/W5yd62ywMvOEBTEHL4xb9gzpuK2eaFxhhc8wKR0xzyF1QHtzRWIQ0r2AIcjGf&#10;RzcYHpaFe72yHMFRVXyUz/sX5mzXcQE69cEcZwibvmq85IuR2sy3wVQyduVJ105vGDzx4XRDEifb&#10;uR29TqN89gcAAP//AwBQSwMEFAAGAAgAAAAhALAysIDaAAAACAEAAA8AAABkcnMvZG93bnJldi54&#10;bWxMj81ugzAQhO+V+g7WVuqtMQkkoQQTRYlQz/l5AAdvAQWvEXYCfftuTu1xZlYz3+bbyXbigYNv&#10;HSmYzyIQSJUzLdUKLufyIwXhgyajO0eo4Ac9bIvXl1xnxo10xMcp1IJLyGdaQRNCn0npqwat9jPX&#10;I3H27QarA8uhlmbQI5fbTi6iaCWtbokXGt3jvsHqdrpbBV9jUpqoSqTFeH0MZXpYluag1PvbtNuA&#10;CDiFv2N44jM6FMx0dXcyXnQKYgYPbMfzBATnn6sFiOvTSJcgi1z+f6D4BQAA//8DAFBLAQItABQA&#10;BgAIAAAAIQC2gziS/gAAAOEBAAATAAAAAAAAAAAAAAAAAAAAAABbQ29udGVudF9UeXBlc10ueG1s&#10;UEsBAi0AFAAGAAgAAAAhADj9If/WAAAAlAEAAAsAAAAAAAAAAAAAAAAALwEAAF9yZWxzLy5yZWxz&#10;UEsBAi0AFAAGAAgAAAAhAK+DEyTTAgAAEgYAAA4AAAAAAAAAAAAAAAAALgIAAGRycy9lMm9Eb2Mu&#10;eG1sUEsBAi0AFAAGAAgAAAAhALAysIDaAAAACAEAAA8AAAAAAAAAAAAAAAAALQUAAGRycy9kb3du&#10;cmV2LnhtbFBLBQYAAAAABAAEAPMAAAA0BgAAAAA=&#10;" fillcolor="#b6a04c" stroked="f" strokeweight="1pt">
                <v:shadow on="t" color="black" opacity="26214f" origin="-.5,-.5" offset=".74836mm,.74836mm"/>
              </v:rect>
            </w:pict>
          </mc:Fallback>
        </mc:AlternateContent>
      </w:r>
      <w:r w:rsidR="00105AEB" w:rsidRPr="007A5A6C">
        <w:rPr>
          <w:rFonts w:ascii="Calibri" w:hAnsi="Calibri" w:cs="Calibri"/>
          <w:b/>
          <w:bCs/>
          <w:color w:val="FFFFFF" w:themeColor="background1"/>
          <w:sz w:val="52"/>
          <w:szCs w:val="5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CONTRIBUTORS</w:t>
      </w:r>
      <w:r w:rsidR="00B62183">
        <w:rPr>
          <w:rFonts w:ascii="Calibri" w:hAnsi="Calibri" w:cs="Calibri"/>
          <w:b/>
          <w:bCs/>
          <w:color w:val="FFFFFF" w:themeColor="background1"/>
          <w:sz w:val="52"/>
          <w:szCs w:val="5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AND </w:t>
      </w:r>
      <w:r w:rsidR="008410C4" w:rsidRPr="007A5A6C">
        <w:rPr>
          <w:rFonts w:ascii="Calibri" w:hAnsi="Calibri" w:cs="Calibri"/>
          <w:b/>
          <w:bCs/>
          <w:color w:val="FFFFFF" w:themeColor="background1"/>
          <w:sz w:val="52"/>
          <w:szCs w:val="5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PARTNERS </w:t>
      </w:r>
    </w:p>
    <w:p w14:paraId="37248A92" w14:textId="155C0FC6" w:rsidR="00207CC1" w:rsidRDefault="00207CC1" w:rsidP="00C008BC">
      <w:pPr>
        <w:spacing w:after="120" w:line="276" w:lineRule="auto"/>
        <w:jc w:val="both"/>
        <w:rPr>
          <w:rFonts w:asciiTheme="majorHAnsi" w:hAnsiTheme="majorHAnsi" w:cstheme="majorHAnsi"/>
          <w:color w:val="2C2D5B"/>
          <w:lang w:val="en-US"/>
        </w:rPr>
      </w:pPr>
    </w:p>
    <w:p w14:paraId="3B7C00BD" w14:textId="77777777" w:rsidR="008410C4" w:rsidRPr="008410C4" w:rsidRDefault="008410C4" w:rsidP="008410C4">
      <w:pPr>
        <w:rPr>
          <w:rFonts w:asciiTheme="majorHAnsi" w:hAnsiTheme="majorHAnsi" w:cstheme="majorHAnsi"/>
          <w:lang w:val="en-US"/>
        </w:rPr>
      </w:pPr>
    </w:p>
    <w:p w14:paraId="04984AED" w14:textId="6AE62C3F" w:rsidR="008410C4" w:rsidRDefault="00105AEB" w:rsidP="008410C4">
      <w:pPr>
        <w:rPr>
          <w:rFonts w:ascii="Calibri" w:hAnsi="Calibri" w:cs="Calibri"/>
          <w:b/>
          <w:bCs/>
          <w:iCs/>
          <w:color w:val="2F5496" w:themeColor="accent1" w:themeShade="BF"/>
          <w:sz w:val="32"/>
          <w:szCs w:val="32"/>
        </w:rPr>
      </w:pPr>
      <w:r>
        <w:rPr>
          <w:rFonts w:ascii="Calibri" w:hAnsi="Calibri" w:cs="Calibri"/>
          <w:b/>
          <w:bCs/>
          <w:iCs/>
          <w:color w:val="2F5496" w:themeColor="accent1" w:themeShade="BF"/>
          <w:sz w:val="32"/>
          <w:szCs w:val="32"/>
        </w:rPr>
        <w:t xml:space="preserve">Contributors </w:t>
      </w:r>
    </w:p>
    <w:p w14:paraId="2280A9B5" w14:textId="77777777" w:rsidR="00B62183" w:rsidRDefault="00B62183" w:rsidP="008410C4">
      <w:pPr>
        <w:rPr>
          <w:rFonts w:ascii="Calibri" w:hAnsi="Calibri" w:cs="Calibri"/>
          <w:b/>
          <w:bCs/>
          <w:iCs/>
          <w:color w:val="2F5496" w:themeColor="accent1" w:themeShade="BF"/>
          <w:sz w:val="32"/>
          <w:szCs w:val="32"/>
        </w:rPr>
      </w:pPr>
    </w:p>
    <w:p w14:paraId="64E5A6C6" w14:textId="5A72EA63" w:rsidR="004F03F3" w:rsidRPr="008410C4" w:rsidRDefault="004F03F3" w:rsidP="004F03F3">
      <w:pPr>
        <w:rPr>
          <w:rFonts w:asciiTheme="majorHAnsi" w:hAnsiTheme="majorHAnsi" w:cstheme="majorHAnsi"/>
          <w:color w:val="2C2D5B"/>
        </w:rPr>
      </w:pPr>
      <w:r w:rsidRPr="008410C4">
        <w:rPr>
          <w:rFonts w:asciiTheme="majorHAnsi" w:hAnsiTheme="majorHAnsi" w:cstheme="majorHAnsi"/>
          <w:b/>
          <w:bCs/>
          <w:color w:val="2C2D5B"/>
        </w:rPr>
        <w:t>Thamil V. Ananthavinayagan</w:t>
      </w:r>
    </w:p>
    <w:p w14:paraId="593BEDD8" w14:textId="77777777" w:rsidR="004F03F3" w:rsidRDefault="004F03F3" w:rsidP="004F03F3">
      <w:pPr>
        <w:rPr>
          <w:rFonts w:asciiTheme="majorHAnsi" w:hAnsiTheme="majorHAnsi" w:cstheme="majorHAnsi"/>
          <w:color w:val="2C2D5B"/>
        </w:rPr>
      </w:pPr>
      <w:r w:rsidRPr="008410C4">
        <w:rPr>
          <w:rFonts w:asciiTheme="majorHAnsi" w:hAnsiTheme="majorHAnsi" w:cstheme="majorHAnsi"/>
          <w:color w:val="2C2D5B"/>
        </w:rPr>
        <w:t>Guest Professor ESCP Torino, Italy; Adjunct Lecturer Maynooth University, Ireland; Adjunct Professor Woxsen University, India</w:t>
      </w:r>
    </w:p>
    <w:p w14:paraId="622819CF" w14:textId="77777777" w:rsidR="004F03F3" w:rsidRDefault="004F03F3" w:rsidP="004F03F3">
      <w:pPr>
        <w:rPr>
          <w:rFonts w:asciiTheme="majorHAnsi" w:hAnsiTheme="majorHAnsi" w:cstheme="majorHAnsi"/>
          <w:color w:val="2C2D5B"/>
        </w:rPr>
      </w:pPr>
    </w:p>
    <w:p w14:paraId="21A2402D" w14:textId="77777777" w:rsidR="004F03F3" w:rsidRPr="008410C4" w:rsidRDefault="004F03F3" w:rsidP="004F03F3">
      <w:pPr>
        <w:rPr>
          <w:rFonts w:asciiTheme="majorHAnsi" w:hAnsiTheme="majorHAnsi" w:cstheme="majorHAnsi"/>
          <w:i/>
          <w:iCs/>
          <w:color w:val="2C2D5B"/>
        </w:rPr>
      </w:pPr>
      <w:r w:rsidRPr="008410C4">
        <w:rPr>
          <w:rFonts w:asciiTheme="majorHAnsi" w:hAnsiTheme="majorHAnsi" w:cstheme="majorHAnsi"/>
          <w:b/>
          <w:bCs/>
          <w:color w:val="2C2D5B"/>
        </w:rPr>
        <w:t>JUDr. Eliska Flidrova, Ph.D</w:t>
      </w:r>
      <w:r w:rsidRPr="008410C4">
        <w:rPr>
          <w:rFonts w:asciiTheme="majorHAnsi" w:hAnsiTheme="majorHAnsi" w:cstheme="majorHAnsi"/>
          <w:i/>
          <w:iCs/>
          <w:color w:val="2C2D5B"/>
        </w:rPr>
        <w:t xml:space="preserve">. </w:t>
      </w:r>
    </w:p>
    <w:p w14:paraId="6884CFDE" w14:textId="77777777" w:rsidR="004F03F3" w:rsidRDefault="004F03F3" w:rsidP="004F03F3">
      <w:pPr>
        <w:rPr>
          <w:rFonts w:asciiTheme="majorHAnsi" w:hAnsiTheme="majorHAnsi" w:cstheme="majorHAnsi"/>
          <w:color w:val="2C2D5B"/>
        </w:rPr>
      </w:pPr>
      <w:r w:rsidRPr="008410C4">
        <w:rPr>
          <w:rFonts w:asciiTheme="majorHAnsi" w:hAnsiTheme="majorHAnsi" w:cstheme="majorHAnsi"/>
          <w:color w:val="2C2D5B"/>
        </w:rPr>
        <w:t xml:space="preserve">Attorney at law - EXPATLEGAL, law office; Researcher at Department of International Law, Charles University, Faculty of Law </w:t>
      </w:r>
    </w:p>
    <w:p w14:paraId="27C0BF08" w14:textId="77777777" w:rsidR="004F03F3" w:rsidRDefault="004F03F3" w:rsidP="004F03F3">
      <w:pPr>
        <w:rPr>
          <w:rFonts w:asciiTheme="majorHAnsi" w:hAnsiTheme="majorHAnsi" w:cstheme="majorHAnsi"/>
          <w:color w:val="2C2D5B"/>
        </w:rPr>
      </w:pPr>
    </w:p>
    <w:p w14:paraId="318B2E77" w14:textId="77777777" w:rsidR="004F03F3" w:rsidRPr="00105AEB" w:rsidRDefault="004F03F3" w:rsidP="004F03F3">
      <w:pPr>
        <w:rPr>
          <w:rFonts w:asciiTheme="majorHAnsi" w:hAnsiTheme="majorHAnsi" w:cstheme="majorHAnsi"/>
          <w:b/>
          <w:bCs/>
          <w:color w:val="2C2D5B"/>
        </w:rPr>
      </w:pPr>
      <w:bookmarkStart w:id="21" w:name="_Hlk189062241"/>
      <w:r w:rsidRPr="00105AEB">
        <w:rPr>
          <w:rFonts w:asciiTheme="majorHAnsi" w:hAnsiTheme="majorHAnsi" w:cstheme="majorHAnsi"/>
          <w:b/>
          <w:bCs/>
          <w:color w:val="2C2D5B"/>
        </w:rPr>
        <w:t>Maria Esther Jordana Santiago</w:t>
      </w:r>
    </w:p>
    <w:p w14:paraId="438259AE" w14:textId="3C9FC455" w:rsidR="004F03F3" w:rsidRDefault="004F03F3" w:rsidP="004F03F3">
      <w:pPr>
        <w:rPr>
          <w:rFonts w:asciiTheme="majorHAnsi" w:hAnsiTheme="majorHAnsi" w:cstheme="majorHAnsi"/>
          <w:color w:val="2C2D5B"/>
        </w:rPr>
      </w:pPr>
      <w:r w:rsidRPr="00105AEB">
        <w:rPr>
          <w:rFonts w:asciiTheme="majorHAnsi" w:hAnsiTheme="majorHAnsi" w:cstheme="majorHAnsi"/>
          <w:color w:val="2C2D5B"/>
        </w:rPr>
        <w:t>Lecturer in Public international Law and EU law</w:t>
      </w:r>
      <w:r w:rsidR="00392CFC">
        <w:rPr>
          <w:rFonts w:asciiTheme="majorHAnsi" w:hAnsiTheme="majorHAnsi" w:cstheme="majorHAnsi"/>
          <w:color w:val="2C2D5B"/>
        </w:rPr>
        <w:t xml:space="preserve">, </w:t>
      </w:r>
      <w:r w:rsidRPr="00105AEB">
        <w:rPr>
          <w:rFonts w:asciiTheme="majorHAnsi" w:hAnsiTheme="majorHAnsi" w:cstheme="majorHAnsi"/>
          <w:color w:val="2C2D5B"/>
        </w:rPr>
        <w:t>University of Girona</w:t>
      </w:r>
    </w:p>
    <w:p w14:paraId="647352A0" w14:textId="4D8C12BC" w:rsidR="004F03F3" w:rsidRPr="00105AEB" w:rsidRDefault="004F03F3" w:rsidP="004F03F3">
      <w:pPr>
        <w:rPr>
          <w:rFonts w:asciiTheme="majorHAnsi" w:hAnsiTheme="majorHAnsi" w:cstheme="majorHAnsi"/>
          <w:i/>
          <w:iCs/>
          <w:color w:val="2C2D5B"/>
        </w:rPr>
      </w:pPr>
      <w:r>
        <w:rPr>
          <w:rFonts w:asciiTheme="majorHAnsi" w:hAnsiTheme="majorHAnsi" w:cstheme="majorHAnsi"/>
          <w:i/>
          <w:iCs/>
          <w:color w:val="2C2D5B"/>
        </w:rPr>
        <w:t xml:space="preserve">In collaboration with </w:t>
      </w:r>
      <w:r w:rsidRPr="00105AEB">
        <w:rPr>
          <w:rFonts w:asciiTheme="majorHAnsi" w:hAnsiTheme="majorHAnsi" w:cstheme="majorHAnsi"/>
          <w:b/>
          <w:bCs/>
          <w:color w:val="2C2D5B"/>
        </w:rPr>
        <w:t>Mariona Illamola Dausà</w:t>
      </w:r>
    </w:p>
    <w:p w14:paraId="3735A635" w14:textId="6705232D" w:rsidR="004F03F3" w:rsidRPr="00105AEB" w:rsidRDefault="004F03F3" w:rsidP="004F03F3">
      <w:pPr>
        <w:rPr>
          <w:rFonts w:asciiTheme="majorHAnsi" w:hAnsiTheme="majorHAnsi" w:cstheme="majorHAnsi"/>
          <w:color w:val="2C2D5B"/>
        </w:rPr>
      </w:pPr>
      <w:r w:rsidRPr="00105AEB">
        <w:rPr>
          <w:rFonts w:asciiTheme="majorHAnsi" w:hAnsiTheme="majorHAnsi" w:cstheme="majorHAnsi"/>
          <w:color w:val="2C2D5B"/>
        </w:rPr>
        <w:t>Lecturer in Public international Law and EU law</w:t>
      </w:r>
      <w:r w:rsidR="00392CFC">
        <w:rPr>
          <w:rFonts w:asciiTheme="majorHAnsi" w:hAnsiTheme="majorHAnsi" w:cstheme="majorHAnsi"/>
          <w:color w:val="2C2D5B"/>
        </w:rPr>
        <w:t xml:space="preserve">, </w:t>
      </w:r>
      <w:r w:rsidRPr="00105AEB">
        <w:rPr>
          <w:rFonts w:asciiTheme="majorHAnsi" w:hAnsiTheme="majorHAnsi" w:cstheme="majorHAnsi"/>
          <w:color w:val="2C2D5B"/>
        </w:rPr>
        <w:t>University of Girona</w:t>
      </w:r>
    </w:p>
    <w:bookmarkEnd w:id="21"/>
    <w:p w14:paraId="0E8CD9A9" w14:textId="77777777" w:rsidR="004F03F3" w:rsidRDefault="004F03F3" w:rsidP="008410C4">
      <w:pPr>
        <w:rPr>
          <w:rFonts w:asciiTheme="majorHAnsi" w:hAnsiTheme="majorHAnsi" w:cstheme="majorHAnsi"/>
          <w:color w:val="2C2D5B"/>
        </w:rPr>
      </w:pPr>
    </w:p>
    <w:p w14:paraId="6BD13E79" w14:textId="1D3ED562" w:rsidR="008410C4" w:rsidRPr="008410C4" w:rsidRDefault="008410C4" w:rsidP="008410C4">
      <w:pPr>
        <w:rPr>
          <w:rFonts w:asciiTheme="majorHAnsi" w:hAnsiTheme="majorHAnsi" w:cstheme="majorHAnsi"/>
          <w:color w:val="2C2D5B"/>
        </w:rPr>
      </w:pPr>
      <w:r w:rsidRPr="008410C4">
        <w:rPr>
          <w:rFonts w:asciiTheme="majorHAnsi" w:hAnsiTheme="majorHAnsi" w:cstheme="majorHAnsi"/>
          <w:b/>
          <w:bCs/>
          <w:color w:val="2C2D5B"/>
        </w:rPr>
        <w:t>Christophe P</w:t>
      </w:r>
      <w:r w:rsidR="004F03F3">
        <w:rPr>
          <w:rFonts w:asciiTheme="majorHAnsi" w:hAnsiTheme="majorHAnsi" w:cstheme="majorHAnsi"/>
          <w:b/>
          <w:bCs/>
          <w:color w:val="2C2D5B"/>
        </w:rPr>
        <w:t>ettiti</w:t>
      </w:r>
    </w:p>
    <w:p w14:paraId="555687CA" w14:textId="77777777" w:rsidR="008410C4" w:rsidRPr="008410C4" w:rsidRDefault="008410C4" w:rsidP="008410C4">
      <w:pPr>
        <w:rPr>
          <w:rFonts w:asciiTheme="majorHAnsi" w:hAnsiTheme="majorHAnsi" w:cstheme="majorHAnsi"/>
          <w:color w:val="2C2D5B"/>
        </w:rPr>
      </w:pPr>
      <w:r w:rsidRPr="008410C4">
        <w:rPr>
          <w:rFonts w:asciiTheme="majorHAnsi" w:hAnsiTheme="majorHAnsi" w:cstheme="majorHAnsi"/>
          <w:color w:val="2C2D5B"/>
        </w:rPr>
        <w:t xml:space="preserve">Lawyer at the Paris Bar, Secretary General of the Institute for Human Rights of the Paris Bar, Editor-in-Chief of the </w:t>
      </w:r>
      <w:r w:rsidRPr="008410C4">
        <w:rPr>
          <w:rFonts w:asciiTheme="majorHAnsi" w:hAnsiTheme="majorHAnsi" w:cstheme="majorHAnsi"/>
          <w:i/>
          <w:iCs/>
          <w:color w:val="2C2D5B"/>
        </w:rPr>
        <w:t>Revue trimestrielle des droits de l’Homme.</w:t>
      </w:r>
      <w:r w:rsidRPr="008410C4">
        <w:rPr>
          <w:rFonts w:asciiTheme="majorHAnsi" w:hAnsiTheme="majorHAnsi" w:cstheme="majorHAnsi"/>
          <w:color w:val="2C2D5B"/>
        </w:rPr>
        <w:t xml:space="preserve"> </w:t>
      </w:r>
    </w:p>
    <w:p w14:paraId="1EA54FE7" w14:textId="77777777" w:rsidR="008410C4" w:rsidRDefault="008410C4" w:rsidP="007308A0">
      <w:pPr>
        <w:jc w:val="center"/>
        <w:rPr>
          <w:rFonts w:asciiTheme="majorHAnsi" w:hAnsiTheme="majorHAnsi" w:cstheme="majorHAnsi"/>
          <w:color w:val="2C2D5B"/>
        </w:rPr>
      </w:pPr>
    </w:p>
    <w:p w14:paraId="3A7097E6" w14:textId="70500C76" w:rsidR="007308A0" w:rsidRPr="007308A0" w:rsidRDefault="007308A0" w:rsidP="007308A0">
      <w:pPr>
        <w:pStyle w:val="Odstavecseseznamem"/>
        <w:ind w:left="2160"/>
        <w:jc w:val="center"/>
        <w:rPr>
          <w:rFonts w:asciiTheme="majorHAnsi" w:hAnsiTheme="majorHAnsi" w:cstheme="majorHAnsi"/>
          <w:color w:val="2C2D5B"/>
        </w:rPr>
      </w:pPr>
      <w:r>
        <w:rPr>
          <w:rFonts w:asciiTheme="majorHAnsi" w:hAnsiTheme="majorHAnsi" w:cstheme="majorHAnsi"/>
          <w:color w:val="2C2D5B"/>
        </w:rPr>
        <w:t>* * *</w:t>
      </w:r>
    </w:p>
    <w:p w14:paraId="21D7BE63" w14:textId="74D81BBA" w:rsidR="007A5A6C" w:rsidRDefault="00E57DB6" w:rsidP="008410C4">
      <w:pPr>
        <w:rPr>
          <w:rFonts w:asciiTheme="majorHAnsi" w:hAnsiTheme="majorHAnsi" w:cstheme="majorHAnsi"/>
          <w:b/>
          <w:bCs/>
          <w:color w:val="2C2D5B"/>
        </w:rPr>
      </w:pPr>
      <w:r>
        <w:rPr>
          <w:rFonts w:asciiTheme="majorHAnsi" w:hAnsiTheme="majorHAnsi" w:cstheme="majorHAnsi"/>
          <w:b/>
          <w:bCs/>
          <w:color w:val="2C2D5B"/>
        </w:rPr>
        <w:t xml:space="preserve">Barbara Clauss, </w:t>
      </w:r>
      <w:r w:rsidRPr="00E57DB6">
        <w:rPr>
          <w:rFonts w:asciiTheme="majorHAnsi" w:hAnsiTheme="majorHAnsi" w:cstheme="majorHAnsi"/>
          <w:color w:val="2C2D5B"/>
        </w:rPr>
        <w:t>H</w:t>
      </w:r>
      <w:r>
        <w:rPr>
          <w:rFonts w:asciiTheme="majorHAnsi" w:hAnsiTheme="majorHAnsi" w:cstheme="majorHAnsi"/>
          <w:color w:val="2C2D5B"/>
        </w:rPr>
        <w:t>ead of EFB’s</w:t>
      </w:r>
      <w:r w:rsidR="008410C4" w:rsidRPr="00E57DB6">
        <w:rPr>
          <w:rFonts w:asciiTheme="majorHAnsi" w:hAnsiTheme="majorHAnsi" w:cstheme="majorHAnsi"/>
          <w:color w:val="2C2D5B"/>
        </w:rPr>
        <w:t xml:space="preserve"> International Department </w:t>
      </w:r>
      <w:r>
        <w:rPr>
          <w:rFonts w:asciiTheme="majorHAnsi" w:hAnsiTheme="majorHAnsi" w:cstheme="majorHAnsi"/>
          <w:color w:val="2C2D5B"/>
        </w:rPr>
        <w:t xml:space="preserve"> </w:t>
      </w:r>
    </w:p>
    <w:p w14:paraId="795AAC6E" w14:textId="37593E70" w:rsidR="00E57DB6" w:rsidRPr="00392CFC" w:rsidRDefault="00E57DB6" w:rsidP="008410C4">
      <w:pPr>
        <w:rPr>
          <w:rFonts w:asciiTheme="majorHAnsi" w:hAnsiTheme="majorHAnsi" w:cstheme="majorHAnsi"/>
          <w:i/>
          <w:iCs/>
          <w:color w:val="2C2D5B"/>
        </w:rPr>
      </w:pPr>
      <w:r>
        <w:rPr>
          <w:rFonts w:asciiTheme="majorHAnsi" w:hAnsiTheme="majorHAnsi" w:cstheme="majorHAnsi"/>
          <w:i/>
          <w:iCs/>
          <w:color w:val="2C2D5B"/>
        </w:rPr>
        <w:t xml:space="preserve">In collaboration with </w:t>
      </w:r>
      <w:r>
        <w:rPr>
          <w:rFonts w:asciiTheme="majorHAnsi" w:hAnsiTheme="majorHAnsi" w:cstheme="majorHAnsi"/>
          <w:b/>
          <w:bCs/>
          <w:color w:val="2C2D5B"/>
        </w:rPr>
        <w:t xml:space="preserve">Emma Vincent, </w:t>
      </w:r>
      <w:r>
        <w:rPr>
          <w:rFonts w:asciiTheme="majorHAnsi" w:hAnsiTheme="majorHAnsi" w:cstheme="majorHAnsi"/>
          <w:color w:val="2C2D5B"/>
        </w:rPr>
        <w:t xml:space="preserve">Lawyer and Legal advisor at EFB’s International Department </w:t>
      </w:r>
    </w:p>
    <w:p w14:paraId="2BAE5B9C" w14:textId="12D9D21E" w:rsidR="00E57DB6" w:rsidRPr="00E57DB6" w:rsidRDefault="00E57DB6" w:rsidP="008410C4">
      <w:pPr>
        <w:rPr>
          <w:rFonts w:asciiTheme="majorHAnsi" w:hAnsiTheme="majorHAnsi" w:cstheme="majorHAnsi"/>
          <w:i/>
          <w:iCs/>
          <w:color w:val="2C2D5B"/>
        </w:rPr>
      </w:pPr>
    </w:p>
    <w:p w14:paraId="3B8C26AB" w14:textId="17BF04E8" w:rsidR="007A5A6C" w:rsidRDefault="007A5A6C" w:rsidP="007A5A6C">
      <w:pPr>
        <w:rPr>
          <w:rFonts w:ascii="Calibri" w:hAnsi="Calibri" w:cs="Calibri"/>
          <w:b/>
          <w:bCs/>
          <w:iCs/>
          <w:color w:val="2F5496" w:themeColor="accent1" w:themeShade="BF"/>
          <w:sz w:val="32"/>
          <w:szCs w:val="32"/>
        </w:rPr>
      </w:pPr>
      <w:r>
        <w:rPr>
          <w:rFonts w:ascii="Calibri" w:hAnsi="Calibri" w:cs="Calibri"/>
          <w:b/>
          <w:bCs/>
          <w:iCs/>
          <w:color w:val="2F5496" w:themeColor="accent1" w:themeShade="BF"/>
          <w:sz w:val="32"/>
          <w:szCs w:val="32"/>
        </w:rPr>
        <w:t>Partner</w:t>
      </w:r>
      <w:r w:rsidR="00392CFC">
        <w:rPr>
          <w:rFonts w:ascii="Calibri" w:hAnsi="Calibri" w:cs="Calibri"/>
          <w:b/>
          <w:bCs/>
          <w:iCs/>
          <w:color w:val="2F5496" w:themeColor="accent1" w:themeShade="BF"/>
          <w:sz w:val="32"/>
          <w:szCs w:val="32"/>
        </w:rPr>
        <w:t>s</w:t>
      </w:r>
      <w:r w:rsidR="00392CFC">
        <w:rPr>
          <w:rFonts w:ascii="Calibri" w:hAnsi="Calibri" w:cs="Calibri"/>
          <w:b/>
          <w:bCs/>
          <w:iCs/>
          <w:color w:val="2F5496" w:themeColor="accent1" w:themeShade="BF"/>
          <w:sz w:val="32"/>
          <w:szCs w:val="32"/>
        </w:rPr>
        <w:tab/>
      </w:r>
      <w:r w:rsidR="00392CFC">
        <w:rPr>
          <w:rFonts w:ascii="Calibri" w:hAnsi="Calibri" w:cs="Calibri"/>
          <w:b/>
          <w:bCs/>
          <w:iCs/>
          <w:color w:val="2F5496" w:themeColor="accent1" w:themeShade="BF"/>
          <w:sz w:val="32"/>
          <w:szCs w:val="32"/>
        </w:rPr>
        <w:tab/>
      </w:r>
      <w:r w:rsidR="00392CFC">
        <w:rPr>
          <w:rFonts w:ascii="Calibri" w:hAnsi="Calibri" w:cs="Calibri"/>
          <w:b/>
          <w:bCs/>
          <w:iCs/>
          <w:color w:val="2F5496" w:themeColor="accent1" w:themeShade="BF"/>
          <w:sz w:val="32"/>
          <w:szCs w:val="32"/>
        </w:rPr>
        <w:tab/>
      </w:r>
      <w:r w:rsidR="00392CFC">
        <w:rPr>
          <w:rFonts w:ascii="Calibri" w:hAnsi="Calibri" w:cs="Calibri"/>
          <w:b/>
          <w:bCs/>
          <w:iCs/>
          <w:color w:val="2F5496" w:themeColor="accent1" w:themeShade="BF"/>
          <w:sz w:val="32"/>
          <w:szCs w:val="32"/>
        </w:rPr>
        <w:tab/>
      </w:r>
    </w:p>
    <w:p w14:paraId="09C8EC76" w14:textId="71C1C0D9" w:rsidR="007A5A6C" w:rsidRDefault="00392CFC" w:rsidP="007A5A6C">
      <w:pPr>
        <w:rPr>
          <w:rFonts w:ascii="Calibri" w:hAnsi="Calibri" w:cs="Calibri"/>
          <w:b/>
          <w:bCs/>
          <w:iCs/>
          <w:color w:val="2F5496" w:themeColor="accent1" w:themeShade="BF"/>
          <w:sz w:val="32"/>
          <w:szCs w:val="32"/>
        </w:rPr>
      </w:pPr>
      <w:r>
        <w:rPr>
          <w:noProof/>
        </w:rPr>
        <w:drawing>
          <wp:anchor distT="0" distB="0" distL="0" distR="0" simplePos="0" relativeHeight="251995136" behindDoc="1" locked="0" layoutInCell="1" allowOverlap="1" wp14:anchorId="7922E569" wp14:editId="459B8F83">
            <wp:simplePos x="0" y="0"/>
            <wp:positionH relativeFrom="page">
              <wp:posOffset>2461260</wp:posOffset>
            </wp:positionH>
            <wp:positionV relativeFrom="page">
              <wp:posOffset>7094220</wp:posOffset>
            </wp:positionV>
            <wp:extent cx="795020" cy="720090"/>
            <wp:effectExtent l="0" t="0" r="5080" b="3810"/>
            <wp:wrapNone/>
            <wp:docPr id="551238231" name="Image 551238231" descr="Une image contenant texte, logo,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238231" name="Image 551238231" descr="Une image contenant texte, logo, conception&#10;&#10;Description générée automatiquement"/>
                    <pic:cNvPicPr/>
                  </pic:nvPicPr>
                  <pic:blipFill>
                    <a:blip r:embed="rId76">
                      <a:extLst>
                        <a:ext uri="{28A0092B-C50C-407E-A947-70E740481C1C}">
                          <a14:useLocalDpi xmlns:a14="http://schemas.microsoft.com/office/drawing/2010/main" val="0"/>
                        </a:ext>
                      </a:extLst>
                    </a:blip>
                    <a:stretch>
                      <a:fillRect/>
                    </a:stretch>
                  </pic:blipFill>
                  <pic:spPr>
                    <a:xfrm>
                      <a:off x="0" y="0"/>
                      <a:ext cx="795020" cy="720090"/>
                    </a:xfrm>
                    <a:prstGeom prst="rect">
                      <a:avLst/>
                    </a:prstGeom>
                  </pic:spPr>
                </pic:pic>
              </a:graphicData>
            </a:graphic>
            <wp14:sizeRelH relativeFrom="margin">
              <wp14:pctWidth>0</wp14:pctWidth>
            </wp14:sizeRelH>
            <wp14:sizeRelV relativeFrom="margin">
              <wp14:pctHeight>0</wp14:pctHeight>
            </wp14:sizeRelV>
          </wp:anchor>
        </w:drawing>
      </w:r>
    </w:p>
    <w:p w14:paraId="0C0F21B0" w14:textId="45415D33" w:rsidR="007A5A6C" w:rsidRDefault="00392CFC" w:rsidP="008410C4">
      <w:pPr>
        <w:rPr>
          <w:rFonts w:asciiTheme="majorHAnsi" w:hAnsiTheme="majorHAnsi" w:cstheme="majorHAnsi"/>
          <w:b/>
          <w:bCs/>
          <w:color w:val="2C2D5B"/>
        </w:rPr>
      </w:pPr>
      <w:r>
        <w:rPr>
          <w:noProof/>
        </w:rPr>
        <w:drawing>
          <wp:anchor distT="0" distB="0" distL="0" distR="0" simplePos="0" relativeHeight="251993088" behindDoc="1" locked="0" layoutInCell="1" allowOverlap="1" wp14:anchorId="288E24C7" wp14:editId="1F3599D4">
            <wp:simplePos x="0" y="0"/>
            <wp:positionH relativeFrom="margin">
              <wp:posOffset>3017520</wp:posOffset>
            </wp:positionH>
            <wp:positionV relativeFrom="page">
              <wp:posOffset>7176770</wp:posOffset>
            </wp:positionV>
            <wp:extent cx="1061085" cy="552450"/>
            <wp:effectExtent l="0" t="0" r="5715" b="0"/>
            <wp:wrapNone/>
            <wp:docPr id="1078663191" name="Image 1078663191" descr="Une image contenant texte, Police, Graphique,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663191" name="Image 1078663191" descr="Une image contenant texte, Police, Graphique, graphisme&#10;&#10;Description générée automatiquement"/>
                    <pic:cNvPicPr/>
                  </pic:nvPicPr>
                  <pic:blipFill>
                    <a:blip r:embed="rId77" cstate="print"/>
                    <a:stretch>
                      <a:fillRect/>
                    </a:stretch>
                  </pic:blipFill>
                  <pic:spPr>
                    <a:xfrm>
                      <a:off x="0" y="0"/>
                      <a:ext cx="1061085" cy="552450"/>
                    </a:xfrm>
                    <a:prstGeom prst="rect">
                      <a:avLst/>
                    </a:prstGeom>
                  </pic:spPr>
                </pic:pic>
              </a:graphicData>
            </a:graphic>
          </wp:anchor>
        </w:drawing>
      </w:r>
      <w:r>
        <w:rPr>
          <w:noProof/>
        </w:rPr>
        <w:drawing>
          <wp:anchor distT="0" distB="0" distL="0" distR="0" simplePos="0" relativeHeight="251999232" behindDoc="1" locked="0" layoutInCell="1" allowOverlap="1" wp14:anchorId="75D1A8A8" wp14:editId="3B8119BD">
            <wp:simplePos x="0" y="0"/>
            <wp:positionH relativeFrom="page">
              <wp:posOffset>5867400</wp:posOffset>
            </wp:positionH>
            <wp:positionV relativeFrom="page">
              <wp:posOffset>7178039</wp:posOffset>
            </wp:positionV>
            <wp:extent cx="640080" cy="627105"/>
            <wp:effectExtent l="0" t="0" r="7620" b="1905"/>
            <wp:wrapNone/>
            <wp:docPr id="167339084" name="Image 167339084" descr="Une image contenant clipart, dessin, croquis,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39084" name="Image 167339084" descr="Une image contenant clipart, dessin, croquis, Police&#10;&#10;Description générée automatiquement"/>
                    <pic:cNvPicPr/>
                  </pic:nvPicPr>
                  <pic:blipFill>
                    <a:blip r:embed="rId78" cstate="print">
                      <a:extLst>
                        <a:ext uri="{28A0092B-C50C-407E-A947-70E740481C1C}">
                          <a14:useLocalDpi xmlns:a14="http://schemas.microsoft.com/office/drawing/2010/main" val="0"/>
                        </a:ext>
                      </a:extLst>
                    </a:blip>
                    <a:stretch>
                      <a:fillRect/>
                    </a:stretch>
                  </pic:blipFill>
                  <pic:spPr>
                    <a:xfrm>
                      <a:off x="0" y="0"/>
                      <a:ext cx="643533" cy="630488"/>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05E9C527" wp14:editId="4DA1A69D">
            <wp:extent cx="657508" cy="636270"/>
            <wp:effectExtent l="0" t="0" r="9525" b="0"/>
            <wp:docPr id="583644326" name="Image 89" descr="Une image contenant symbole, logo, cercle, Emblè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644326" name="Image 89" descr="Une image contenant symbole, logo, cercle, Emblème&#10;&#10;Description générée automatiquement"/>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flipH="1">
                      <a:off x="0" y="0"/>
                      <a:ext cx="672820" cy="651087"/>
                    </a:xfrm>
                    <a:prstGeom prst="rect">
                      <a:avLst/>
                    </a:prstGeom>
                    <a:noFill/>
                    <a:ln>
                      <a:noFill/>
                    </a:ln>
                  </pic:spPr>
                </pic:pic>
              </a:graphicData>
            </a:graphic>
          </wp:inline>
        </w:drawing>
      </w:r>
    </w:p>
    <w:p w14:paraId="07B85CA4" w14:textId="46629CD7" w:rsidR="007A5A6C" w:rsidRDefault="007A5A6C" w:rsidP="008410C4">
      <w:pPr>
        <w:rPr>
          <w:rFonts w:asciiTheme="majorHAnsi" w:hAnsiTheme="majorHAnsi" w:cstheme="majorHAnsi"/>
          <w:b/>
          <w:bCs/>
          <w:color w:val="2C2D5B"/>
        </w:rPr>
      </w:pPr>
    </w:p>
    <w:p w14:paraId="2853716D" w14:textId="62C8B517" w:rsidR="007A5A6C" w:rsidRDefault="00B62183" w:rsidP="008410C4">
      <w:pPr>
        <w:rPr>
          <w:rFonts w:ascii="Calibri" w:hAnsi="Calibri" w:cs="Calibri"/>
          <w:b/>
          <w:bCs/>
          <w:iCs/>
          <w:color w:val="2F5496" w:themeColor="accent1" w:themeShade="BF"/>
          <w:sz w:val="32"/>
          <w:szCs w:val="32"/>
        </w:rPr>
      </w:pPr>
      <w:r>
        <w:rPr>
          <w:rFonts w:ascii="Calibri" w:hAnsi="Calibri" w:cs="Calibri"/>
          <w:b/>
          <w:bCs/>
          <w:iCs/>
          <w:color w:val="2F5496" w:themeColor="accent1" w:themeShade="BF"/>
          <w:sz w:val="32"/>
          <w:szCs w:val="32"/>
        </w:rPr>
        <w:t>Disclaimer</w:t>
      </w:r>
    </w:p>
    <w:p w14:paraId="229F4B19" w14:textId="77777777" w:rsidR="00B62183" w:rsidRDefault="00B62183" w:rsidP="00B62183">
      <w:pPr>
        <w:rPr>
          <w:rFonts w:ascii="Calibri" w:hAnsi="Calibri" w:cs="Calibri"/>
          <w:iCs/>
          <w:color w:val="7F7F7F" w:themeColor="text1" w:themeTint="80"/>
        </w:rPr>
      </w:pPr>
    </w:p>
    <w:p w14:paraId="5A5CAB83" w14:textId="57243202" w:rsidR="00B62183" w:rsidRPr="00B62183" w:rsidRDefault="00B62183" w:rsidP="00B62183">
      <w:pPr>
        <w:rPr>
          <w:rFonts w:ascii="Calibri" w:hAnsi="Calibri" w:cs="Calibri"/>
          <w:iCs/>
          <w:color w:val="7F7F7F" w:themeColor="text1" w:themeTint="80"/>
        </w:rPr>
      </w:pPr>
      <w:r w:rsidRPr="00B62183">
        <w:rPr>
          <w:rFonts w:ascii="Calibri" w:hAnsi="Calibri" w:cs="Calibri"/>
          <w:iCs/>
          <w:color w:val="7F7F7F" w:themeColor="text1" w:themeTint="80"/>
        </w:rPr>
        <w:t xml:space="preserve">The opinions expressed in this document are solely those of the contributors and do not necessarily reflect the views of the European Commission. </w:t>
      </w:r>
    </w:p>
    <w:tbl>
      <w:tblPr>
        <w:tblStyle w:val="Mkatabulky"/>
        <w:tblW w:w="1148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4"/>
        <w:gridCol w:w="11198"/>
      </w:tblGrid>
      <w:tr w:rsidR="00F16B74" w:rsidRPr="007A5A6C" w14:paraId="21632F8A" w14:textId="445CB6FA" w:rsidTr="00B62183">
        <w:tc>
          <w:tcPr>
            <w:tcW w:w="284" w:type="dxa"/>
          </w:tcPr>
          <w:p w14:paraId="3FF47CC4" w14:textId="712B8F61" w:rsidR="00F16B74" w:rsidRPr="007A5A6C" w:rsidRDefault="00F16B74" w:rsidP="00B62183">
            <w:pPr>
              <w:rPr>
                <w:rFonts w:ascii="Calibri Light" w:hAnsi="Calibri Light" w:cs="Calibri Light"/>
              </w:rPr>
            </w:pPr>
          </w:p>
        </w:tc>
        <w:tc>
          <w:tcPr>
            <w:tcW w:w="11198" w:type="dxa"/>
          </w:tcPr>
          <w:p w14:paraId="33E47960" w14:textId="77777777" w:rsidR="00F16B74" w:rsidRPr="007A5A6C" w:rsidRDefault="00F16B74" w:rsidP="00B62183">
            <w:pPr>
              <w:ind w:right="-4086" w:firstLine="36"/>
              <w:jc w:val="both"/>
              <w:rPr>
                <w:noProof/>
              </w:rPr>
            </w:pPr>
          </w:p>
        </w:tc>
      </w:tr>
    </w:tbl>
    <w:p w14:paraId="2AA652C4" w14:textId="77777777" w:rsidR="008410C4" w:rsidRPr="008410C4" w:rsidRDefault="008410C4" w:rsidP="008410C4">
      <w:pPr>
        <w:rPr>
          <w:rFonts w:asciiTheme="majorHAnsi" w:hAnsiTheme="majorHAnsi" w:cstheme="majorHAnsi"/>
          <w:lang w:val="en-US"/>
        </w:rPr>
      </w:pPr>
    </w:p>
    <w:sectPr w:rsidR="008410C4" w:rsidRPr="008410C4" w:rsidSect="00AA300E">
      <w:headerReference w:type="default" r:id="rId80"/>
      <w:footerReference w:type="even" r:id="rId81"/>
      <w:footerReference w:type="default" r:id="rId82"/>
      <w:pgSz w:w="11906" w:h="16838"/>
      <w:pgMar w:top="1417" w:right="1274"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7BAE6D2" w14:textId="77777777" w:rsidR="00090BB8" w:rsidRPr="00B53E64" w:rsidRDefault="00090BB8" w:rsidP="00EC2273">
      <w:r w:rsidRPr="00B53E64">
        <w:separator/>
      </w:r>
    </w:p>
  </w:endnote>
  <w:endnote w:type="continuationSeparator" w:id="0">
    <w:p w14:paraId="17C42E11" w14:textId="77777777" w:rsidR="00090BB8" w:rsidRPr="00B53E64" w:rsidRDefault="00090BB8" w:rsidP="00EC2273">
      <w:r w:rsidRPr="00B53E6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lostrnky"/>
      </w:rPr>
      <w:id w:val="-589157306"/>
      <w:docPartObj>
        <w:docPartGallery w:val="Page Numbers (Bottom of Page)"/>
        <w:docPartUnique/>
      </w:docPartObj>
    </w:sdtPr>
    <w:sdtContent>
      <w:p w14:paraId="7A095827" w14:textId="1CA7DA62" w:rsidR="00321E09" w:rsidRPr="00B53E64" w:rsidRDefault="00321E09" w:rsidP="00975BA7">
        <w:pPr>
          <w:pStyle w:val="Zpat"/>
          <w:framePr w:wrap="none" w:vAnchor="text" w:hAnchor="margin" w:xAlign="right" w:y="1"/>
          <w:rPr>
            <w:rStyle w:val="slostrnky"/>
          </w:rPr>
        </w:pPr>
        <w:r w:rsidRPr="00B53E64">
          <w:rPr>
            <w:rStyle w:val="slostrnky"/>
          </w:rPr>
          <w:fldChar w:fldCharType="begin"/>
        </w:r>
        <w:r w:rsidRPr="00B53E64">
          <w:rPr>
            <w:rStyle w:val="slostrnky"/>
          </w:rPr>
          <w:instrText xml:space="preserve"> PAGE </w:instrText>
        </w:r>
        <w:r w:rsidRPr="00B53E64">
          <w:rPr>
            <w:rStyle w:val="slostrnky"/>
          </w:rPr>
          <w:fldChar w:fldCharType="end"/>
        </w:r>
      </w:p>
    </w:sdtContent>
  </w:sdt>
  <w:p w14:paraId="40A7A247" w14:textId="77777777" w:rsidR="00321E09" w:rsidRPr="00B53E64" w:rsidRDefault="00321E09" w:rsidP="00101A66">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lostrnky"/>
      </w:rPr>
      <w:id w:val="604226813"/>
      <w:docPartObj>
        <w:docPartGallery w:val="Page Numbers (Bottom of Page)"/>
        <w:docPartUnique/>
      </w:docPartObj>
    </w:sdtPr>
    <w:sdtEndPr>
      <w:rPr>
        <w:rStyle w:val="slostrnky"/>
        <w:rFonts w:asciiTheme="majorHAnsi" w:hAnsiTheme="majorHAnsi" w:cstheme="majorHAnsi"/>
        <w:color w:val="201A3F"/>
      </w:rPr>
    </w:sdtEndPr>
    <w:sdtContent>
      <w:p w14:paraId="45D9C2F4" w14:textId="4D7BAC82" w:rsidR="00321E09" w:rsidRPr="00D02487" w:rsidRDefault="00321E09" w:rsidP="00975BA7">
        <w:pPr>
          <w:pStyle w:val="Zpat"/>
          <w:framePr w:wrap="none" w:vAnchor="text" w:hAnchor="margin" w:xAlign="right" w:y="1"/>
          <w:rPr>
            <w:rStyle w:val="slostrnky"/>
            <w:rFonts w:asciiTheme="majorHAnsi" w:hAnsiTheme="majorHAnsi" w:cstheme="majorHAnsi"/>
            <w:color w:val="201A3F"/>
          </w:rPr>
        </w:pPr>
        <w:r w:rsidRPr="00D02487">
          <w:rPr>
            <w:rStyle w:val="slostrnky"/>
            <w:rFonts w:asciiTheme="majorHAnsi" w:hAnsiTheme="majorHAnsi" w:cstheme="majorHAnsi"/>
            <w:color w:val="201A3F"/>
          </w:rPr>
          <w:fldChar w:fldCharType="begin"/>
        </w:r>
        <w:r w:rsidRPr="00D02487">
          <w:rPr>
            <w:rStyle w:val="slostrnky"/>
            <w:rFonts w:asciiTheme="majorHAnsi" w:hAnsiTheme="majorHAnsi" w:cstheme="majorHAnsi"/>
            <w:color w:val="201A3F"/>
          </w:rPr>
          <w:instrText xml:space="preserve"> PAGE </w:instrText>
        </w:r>
        <w:r w:rsidRPr="00D02487">
          <w:rPr>
            <w:rStyle w:val="slostrnky"/>
            <w:rFonts w:asciiTheme="majorHAnsi" w:hAnsiTheme="majorHAnsi" w:cstheme="majorHAnsi"/>
            <w:color w:val="201A3F"/>
          </w:rPr>
          <w:fldChar w:fldCharType="separate"/>
        </w:r>
        <w:r w:rsidR="00C008BC" w:rsidRPr="00D02487">
          <w:rPr>
            <w:rStyle w:val="slostrnky"/>
            <w:rFonts w:asciiTheme="majorHAnsi" w:hAnsiTheme="majorHAnsi" w:cstheme="majorHAnsi"/>
            <w:color w:val="201A3F"/>
          </w:rPr>
          <w:t>36</w:t>
        </w:r>
        <w:r w:rsidRPr="00D02487">
          <w:rPr>
            <w:rStyle w:val="slostrnky"/>
            <w:rFonts w:asciiTheme="majorHAnsi" w:hAnsiTheme="majorHAnsi" w:cstheme="majorHAnsi"/>
            <w:color w:val="201A3F"/>
          </w:rPr>
          <w:fldChar w:fldCharType="end"/>
        </w:r>
      </w:p>
    </w:sdtContent>
  </w:sdt>
  <w:p w14:paraId="314F2F63" w14:textId="18D22EA2" w:rsidR="00321E09" w:rsidRDefault="00D02487" w:rsidP="00101A66">
    <w:pPr>
      <w:pStyle w:val="Zpat"/>
      <w:ind w:right="360"/>
      <w:rPr>
        <w:rFonts w:asciiTheme="minorHAnsi" w:hAnsiTheme="minorHAnsi" w:cstheme="minorHAnsi"/>
        <w:color w:val="2C2D5B"/>
        <w:sz w:val="16"/>
        <w:szCs w:val="16"/>
      </w:rPr>
    </w:pPr>
    <w:r>
      <w:rPr>
        <w:noProof/>
      </w:rPr>
      <w:drawing>
        <wp:anchor distT="0" distB="0" distL="114300" distR="114300" simplePos="0" relativeHeight="251665408" behindDoc="0" locked="0" layoutInCell="1" allowOverlap="1" wp14:anchorId="1D9DFC2F" wp14:editId="03CE2977">
          <wp:simplePos x="0" y="0"/>
          <wp:positionH relativeFrom="column">
            <wp:posOffset>-118745</wp:posOffset>
          </wp:positionH>
          <wp:positionV relativeFrom="paragraph">
            <wp:posOffset>-329565</wp:posOffset>
          </wp:positionV>
          <wp:extent cx="918210" cy="778510"/>
          <wp:effectExtent l="0" t="0" r="0" b="2540"/>
          <wp:wrapSquare wrapText="bothSides"/>
          <wp:docPr id="942782681" name="Image 7" descr="Une image contenant texte, Police, logo, Graphique&#10;&#10;Description générée automatiquement"/>
          <wp:cNvGraphicFramePr/>
          <a:graphic xmlns:a="http://schemas.openxmlformats.org/drawingml/2006/main">
            <a:graphicData uri="http://schemas.openxmlformats.org/drawingml/2006/picture">
              <pic:pic xmlns:pic="http://schemas.openxmlformats.org/drawingml/2006/picture">
                <pic:nvPicPr>
                  <pic:cNvPr id="1325737798" name="Image 7" descr="Une image contenant texte, Police, logo, Graphique&#10;&#10;Description générée automatiquement"/>
                  <pic:cNvPicPr/>
                </pic:nvPicPr>
                <pic:blipFill>
                  <a:blip r:embed="rId1"/>
                  <a:stretch>
                    <a:fillRect/>
                  </a:stretch>
                </pic:blipFill>
                <pic:spPr>
                  <a:xfrm>
                    <a:off x="0" y="0"/>
                    <a:ext cx="918210" cy="778510"/>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1" locked="0" layoutInCell="1" allowOverlap="1" wp14:anchorId="492862EB" wp14:editId="4BC5A978">
          <wp:simplePos x="0" y="0"/>
          <wp:positionH relativeFrom="margin">
            <wp:posOffset>1004760</wp:posOffset>
          </wp:positionH>
          <wp:positionV relativeFrom="paragraph">
            <wp:posOffset>-111760</wp:posOffset>
          </wp:positionV>
          <wp:extent cx="489714" cy="345191"/>
          <wp:effectExtent l="0" t="0" r="5715" b="0"/>
          <wp:wrapNone/>
          <wp:docPr id="1623827269" name="Image 6" descr="Une image contenant aéronef&#10;&#10;Description générée automatiquement"/>
          <wp:cNvGraphicFramePr/>
          <a:graphic xmlns:a="http://schemas.openxmlformats.org/drawingml/2006/main">
            <a:graphicData uri="http://schemas.openxmlformats.org/drawingml/2006/picture">
              <pic:pic xmlns:pic="http://schemas.openxmlformats.org/drawingml/2006/picture">
                <pic:nvPicPr>
                  <pic:cNvPr id="3" name="Image 6" descr="Une image contenant aéronef&#10;&#10;Description générée automatiquement"/>
                  <pic:cNvPicPr/>
                </pic:nvPicPr>
                <pic:blipFill>
                  <a:blip r:embed="rId2"/>
                  <a:stretch>
                    <a:fillRect/>
                  </a:stretch>
                </pic:blipFill>
                <pic:spPr>
                  <a:xfrm>
                    <a:off x="0" y="0"/>
                    <a:ext cx="489714" cy="345191"/>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r w:rsidR="002B60D0">
      <w:t xml:space="preserve">                                                </w:t>
    </w:r>
    <w:r w:rsidR="002B60D0" w:rsidRPr="002B60D0">
      <w:rPr>
        <w:rFonts w:asciiTheme="minorHAnsi" w:hAnsiTheme="minorHAnsi" w:cstheme="minorHAnsi"/>
        <w:color w:val="2C2D5B"/>
        <w:sz w:val="16"/>
        <w:szCs w:val="16"/>
      </w:rPr>
      <w:t>HANDBOOK ON THE EU CHARTER OF FUNDAMENTAL RIGHTS</w:t>
    </w:r>
  </w:p>
  <w:p w14:paraId="499FD52E" w14:textId="51F73BCC" w:rsidR="002B60D0" w:rsidRPr="002B60D0" w:rsidRDefault="002B60D0" w:rsidP="00101A66">
    <w:pPr>
      <w:pStyle w:val="Zpat"/>
      <w:ind w:right="360"/>
      <w:rPr>
        <w:rFonts w:asciiTheme="minorHAnsi" w:hAnsiTheme="minorHAnsi" w:cstheme="minorHAnsi"/>
        <w:sz w:val="16"/>
        <w:szCs w:val="16"/>
      </w:rPr>
    </w:pPr>
    <w:r>
      <w:rPr>
        <w:rFonts w:asciiTheme="minorHAnsi" w:hAnsiTheme="minorHAnsi" w:cstheme="minorHAnsi"/>
        <w:color w:val="2C2D5B"/>
        <w:sz w:val="16"/>
        <w:szCs w:val="16"/>
      </w:rPr>
      <w:t xml:space="preserve">                                                                                A PRATICAL GUIDE FOR LAWYERS</w:t>
    </w:r>
    <w:r w:rsidR="00941491">
      <w:rPr>
        <w:rFonts w:asciiTheme="minorHAnsi" w:hAnsiTheme="minorHAnsi" w:cstheme="minorHAnsi"/>
        <w:color w:val="2C2D5B"/>
        <w:sz w:val="16"/>
        <w:szCs w:val="16"/>
      </w:rPr>
      <w:t xml:space="preserve"> – </w:t>
    </w:r>
    <w:r w:rsidR="008410C4">
      <w:rPr>
        <w:rFonts w:asciiTheme="minorHAnsi" w:hAnsiTheme="minorHAnsi" w:cstheme="minorHAnsi"/>
        <w:i/>
        <w:iCs/>
        <w:color w:val="2C2D5B"/>
        <w:sz w:val="16"/>
        <w:szCs w:val="16"/>
      </w:rPr>
      <w:t>December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F7F2FC" w14:textId="77777777" w:rsidR="00090BB8" w:rsidRPr="00B53E64" w:rsidRDefault="00090BB8" w:rsidP="00EC2273">
      <w:r w:rsidRPr="00B53E64">
        <w:separator/>
      </w:r>
    </w:p>
  </w:footnote>
  <w:footnote w:type="continuationSeparator" w:id="0">
    <w:p w14:paraId="7843A83B" w14:textId="77777777" w:rsidR="00090BB8" w:rsidRPr="00B53E64" w:rsidRDefault="00090BB8" w:rsidP="00EC2273">
      <w:r w:rsidRPr="00B53E6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A35FC6" w14:textId="4CD3DBFE" w:rsidR="00A01885" w:rsidRPr="00171117" w:rsidRDefault="00B8755D" w:rsidP="00A33A89">
    <w:pPr>
      <w:spacing w:after="160" w:line="244" w:lineRule="auto"/>
      <w:rPr>
        <w:rFonts w:asciiTheme="minorHAnsi" w:hAnsiTheme="minorHAnsi" w:cstheme="minorHAnsi"/>
        <w:color w:val="264774"/>
        <w:sz w:val="21"/>
        <w:szCs w:val="21"/>
        <w:shd w:val="clear" w:color="auto" w:fill="FFFFFF"/>
        <w:lang w:val="fr-FR"/>
      </w:rPr>
    </w:pPr>
    <w:r>
      <w:rPr>
        <w:rFonts w:asciiTheme="minorHAnsi" w:hAnsiTheme="minorHAnsi" w:cstheme="minorHAnsi"/>
        <w:noProof/>
        <w:color w:val="264774"/>
        <w:sz w:val="21"/>
        <w:szCs w:val="21"/>
        <w:shd w:val="clear" w:color="auto" w:fill="FFFFFF"/>
        <w:lang w:val="fr-FR"/>
        <w14:ligatures w14:val="standardContextual"/>
      </w:rPr>
      <w:drawing>
        <wp:anchor distT="0" distB="0" distL="114300" distR="114300" simplePos="0" relativeHeight="251666432" behindDoc="1" locked="0" layoutInCell="1" allowOverlap="1" wp14:anchorId="76AB6CAC" wp14:editId="10237833">
          <wp:simplePos x="0" y="0"/>
          <wp:positionH relativeFrom="column">
            <wp:posOffset>-1202690</wp:posOffset>
          </wp:positionH>
          <wp:positionV relativeFrom="paragraph">
            <wp:posOffset>-479283</wp:posOffset>
          </wp:positionV>
          <wp:extent cx="7684656" cy="1828800"/>
          <wp:effectExtent l="0" t="0" r="0" b="0"/>
          <wp:wrapNone/>
          <wp:docPr id="1589153250" name="Image 62" descr="Une image contenant drapeau, Bleu électrique, Bleu cobalt, Bleu Majorel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965909" name="Image 62" descr="Une image contenant drapeau, Bleu électrique, Bleu cobalt, Bleu Majorelle&#10;&#10;Description générée automatiquement"/>
                  <pic:cNvPicPr/>
                </pic:nvPicPr>
                <pic:blipFill>
                  <a:blip r:embed="rId1">
                    <a:extLst>
                      <a:ext uri="{28A0092B-C50C-407E-A947-70E740481C1C}">
                        <a14:useLocalDpi xmlns:a14="http://schemas.microsoft.com/office/drawing/2010/main" val="0"/>
                      </a:ext>
                    </a:extLst>
                  </a:blip>
                  <a:stretch>
                    <a:fillRect/>
                  </a:stretch>
                </pic:blipFill>
                <pic:spPr>
                  <a:xfrm>
                    <a:off x="0" y="0"/>
                    <a:ext cx="7684656" cy="1828800"/>
                  </a:xfrm>
                  <a:prstGeom prst="rect">
                    <a:avLst/>
                  </a:prstGeom>
                </pic:spPr>
              </pic:pic>
            </a:graphicData>
          </a:graphic>
          <wp14:sizeRelH relativeFrom="page">
            <wp14:pctWidth>0</wp14:pctWidth>
          </wp14:sizeRelH>
          <wp14:sizeRelV relativeFrom="page">
            <wp14:pctHeight>0</wp14:pctHeight>
          </wp14:sizeRelV>
        </wp:anchor>
      </w:drawing>
    </w:r>
  </w:p>
  <w:p w14:paraId="24F313EA" w14:textId="0A8E78D2" w:rsidR="00A01885" w:rsidRDefault="00A01885">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041D55"/>
    <w:multiLevelType w:val="hybridMultilevel"/>
    <w:tmpl w:val="563EDCEE"/>
    <w:lvl w:ilvl="0" w:tplc="040C0013">
      <w:start w:val="1"/>
      <w:numFmt w:val="upperRoman"/>
      <w:lvlText w:val="%1."/>
      <w:lvlJc w:val="righ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1A7F86"/>
    <w:multiLevelType w:val="multilevel"/>
    <w:tmpl w:val="A4840B16"/>
    <w:lvl w:ilvl="0">
      <w:start w:val="1"/>
      <w:numFmt w:val="decimal"/>
      <w:lvlText w:val="%1."/>
      <w:lvlJc w:val="left"/>
      <w:pPr>
        <w:ind w:left="795" w:hanging="360"/>
      </w:pPr>
      <w:rPr>
        <w:b/>
        <w:bCs/>
        <w:caps w:val="0"/>
        <w:smallCaps w:val="0"/>
        <w:color w:val="B6A04C"/>
        <w:spacing w:val="0"/>
        <w:sz w:val="96"/>
        <w:szCs w:val="96"/>
        <w14:glow w14:rad="0">
          <w14:srgbClr w14:val="000000"/>
        </w14:glow>
        <w14:shadow w14:blurRad="38100" w14:dist="22860" w14:dir="5400000" w14:sx="100000" w14:sy="100000" w14:kx="0" w14:ky="0" w14:algn="tl">
          <w14:srgbClr w14:val="000000">
            <w14:alpha w14:val="70000"/>
          </w14:srgbClr>
        </w14:shadow>
        <w14:reflection w14:blurRad="0" w14:stA="0" w14:stPos="0" w14:endA="0" w14:endPos="0" w14:dist="0" w14:dir="0" w14:fadeDir="0" w14:sx="0" w14:sy="0" w14:kx="0" w14:ky="0" w14:algn="none"/>
        <w14:textOutline w14:w="9525" w14:cap="flat" w14:cmpd="sng" w14:algn="ctr">
          <w14:solidFill>
            <w14:schemeClr w14:val="bg1"/>
          </w14:solidFill>
          <w14:prstDash w14:val="solid"/>
          <w14:round/>
        </w14:textOutline>
        <w14:props3d w14:extrusionH="0" w14:contourW="0" w14:prstMaterial="none"/>
      </w:rPr>
    </w:lvl>
    <w:lvl w:ilvl="1">
      <w:start w:val="1"/>
      <w:numFmt w:val="decimal"/>
      <w:isLgl/>
      <w:lvlText w:val="%1.%2"/>
      <w:lvlJc w:val="left"/>
      <w:pPr>
        <w:ind w:left="819" w:hanging="384"/>
      </w:pPr>
      <w:rPr>
        <w:rFonts w:hint="default"/>
      </w:rPr>
    </w:lvl>
    <w:lvl w:ilvl="2">
      <w:start w:val="1"/>
      <w:numFmt w:val="decimal"/>
      <w:isLgl/>
      <w:lvlText w:val="%1.%2.%3"/>
      <w:lvlJc w:val="left"/>
      <w:pPr>
        <w:ind w:left="1155" w:hanging="720"/>
      </w:pPr>
      <w:rPr>
        <w:rFonts w:hint="default"/>
      </w:rPr>
    </w:lvl>
    <w:lvl w:ilvl="3">
      <w:start w:val="1"/>
      <w:numFmt w:val="decimal"/>
      <w:isLgl/>
      <w:lvlText w:val="%1.%2.%3.%4"/>
      <w:lvlJc w:val="left"/>
      <w:pPr>
        <w:ind w:left="1155" w:hanging="720"/>
      </w:pPr>
      <w:rPr>
        <w:rFonts w:hint="default"/>
      </w:rPr>
    </w:lvl>
    <w:lvl w:ilvl="4">
      <w:start w:val="1"/>
      <w:numFmt w:val="decimal"/>
      <w:isLgl/>
      <w:lvlText w:val="%1.%2.%3.%4.%5"/>
      <w:lvlJc w:val="left"/>
      <w:pPr>
        <w:ind w:left="1515" w:hanging="1080"/>
      </w:pPr>
      <w:rPr>
        <w:rFonts w:hint="default"/>
      </w:rPr>
    </w:lvl>
    <w:lvl w:ilvl="5">
      <w:start w:val="1"/>
      <w:numFmt w:val="decimal"/>
      <w:isLgl/>
      <w:lvlText w:val="%1.%2.%3.%4.%5.%6"/>
      <w:lvlJc w:val="left"/>
      <w:pPr>
        <w:ind w:left="1515" w:hanging="1080"/>
      </w:pPr>
      <w:rPr>
        <w:rFonts w:hint="default"/>
      </w:rPr>
    </w:lvl>
    <w:lvl w:ilvl="6">
      <w:start w:val="1"/>
      <w:numFmt w:val="decimal"/>
      <w:isLgl/>
      <w:lvlText w:val="%1.%2.%3.%4.%5.%6.%7"/>
      <w:lvlJc w:val="left"/>
      <w:pPr>
        <w:ind w:left="1875" w:hanging="1440"/>
      </w:pPr>
      <w:rPr>
        <w:rFonts w:hint="default"/>
      </w:rPr>
    </w:lvl>
    <w:lvl w:ilvl="7">
      <w:start w:val="1"/>
      <w:numFmt w:val="decimal"/>
      <w:isLgl/>
      <w:lvlText w:val="%1.%2.%3.%4.%5.%6.%7.%8"/>
      <w:lvlJc w:val="left"/>
      <w:pPr>
        <w:ind w:left="1875" w:hanging="1440"/>
      </w:pPr>
      <w:rPr>
        <w:rFonts w:hint="default"/>
      </w:rPr>
    </w:lvl>
    <w:lvl w:ilvl="8">
      <w:start w:val="1"/>
      <w:numFmt w:val="decimal"/>
      <w:isLgl/>
      <w:lvlText w:val="%1.%2.%3.%4.%5.%6.%7.%8.%9"/>
      <w:lvlJc w:val="left"/>
      <w:pPr>
        <w:ind w:left="2235" w:hanging="1800"/>
      </w:pPr>
      <w:rPr>
        <w:rFonts w:hint="default"/>
      </w:rPr>
    </w:lvl>
  </w:abstractNum>
  <w:abstractNum w:abstractNumId="2" w15:restartNumberingAfterBreak="0">
    <w:nsid w:val="0C4F6828"/>
    <w:multiLevelType w:val="multilevel"/>
    <w:tmpl w:val="09C061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E4E72A4"/>
    <w:multiLevelType w:val="hybridMultilevel"/>
    <w:tmpl w:val="8892B616"/>
    <w:lvl w:ilvl="0" w:tplc="EA901A18">
      <w:start w:val="1"/>
      <w:numFmt w:val="decimal"/>
      <w:lvlText w:val="%1."/>
      <w:lvlJc w:val="left"/>
      <w:pPr>
        <w:ind w:left="720" w:hanging="360"/>
      </w:pPr>
      <w:rPr>
        <w:rFonts w:hint="default"/>
        <w:color w:val="B6A04C"/>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F6C47B9"/>
    <w:multiLevelType w:val="multilevel"/>
    <w:tmpl w:val="AC2217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118F450C"/>
    <w:multiLevelType w:val="hybridMultilevel"/>
    <w:tmpl w:val="3CF288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30D0277"/>
    <w:multiLevelType w:val="multilevel"/>
    <w:tmpl w:val="947A93D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3F72B64"/>
    <w:multiLevelType w:val="hybridMultilevel"/>
    <w:tmpl w:val="CE44B2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40C3935"/>
    <w:multiLevelType w:val="multilevel"/>
    <w:tmpl w:val="EEF6D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4967A23"/>
    <w:multiLevelType w:val="multilevel"/>
    <w:tmpl w:val="BC56E32C"/>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4DF64D6"/>
    <w:multiLevelType w:val="multilevel"/>
    <w:tmpl w:val="86D63A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58F3C7A"/>
    <w:multiLevelType w:val="hybridMultilevel"/>
    <w:tmpl w:val="CA5E2016"/>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5AE5FFE"/>
    <w:multiLevelType w:val="multilevel"/>
    <w:tmpl w:val="E2E403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70B2A4B"/>
    <w:multiLevelType w:val="multilevel"/>
    <w:tmpl w:val="8AB01F5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738625F"/>
    <w:multiLevelType w:val="hybridMultilevel"/>
    <w:tmpl w:val="9A96FDF2"/>
    <w:lvl w:ilvl="0" w:tplc="517A2FAE">
      <w:start w:val="27"/>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7F95087"/>
    <w:multiLevelType w:val="multilevel"/>
    <w:tmpl w:val="3D0C53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18035C99"/>
    <w:multiLevelType w:val="multilevel"/>
    <w:tmpl w:val="CA9EA6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18EC42DE"/>
    <w:multiLevelType w:val="multilevel"/>
    <w:tmpl w:val="0144FB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AB96F20"/>
    <w:multiLevelType w:val="multilevel"/>
    <w:tmpl w:val="5E14A2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1AD64479"/>
    <w:multiLevelType w:val="hybridMultilevel"/>
    <w:tmpl w:val="41BC56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1BBC3AD6"/>
    <w:multiLevelType w:val="multilevel"/>
    <w:tmpl w:val="1D405F7E"/>
    <w:lvl w:ilvl="0">
      <w:start w:val="3"/>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E3334BA"/>
    <w:multiLevelType w:val="multilevel"/>
    <w:tmpl w:val="3CAA91FE"/>
    <w:lvl w:ilvl="0">
      <w:start w:val="1"/>
      <w:numFmt w:val="bullet"/>
      <w:lvlText w:val=""/>
      <w:lvlJc w:val="left"/>
      <w:pPr>
        <w:tabs>
          <w:tab w:val="num" w:pos="720"/>
        </w:tabs>
        <w:ind w:left="720" w:hanging="360"/>
      </w:pPr>
      <w:rPr>
        <w:rFonts w:ascii="Symbol" w:hAnsi="Symbol" w:hint="default"/>
        <w:sz w:val="20"/>
      </w:rPr>
    </w:lvl>
    <w:lvl w:ilvl="1">
      <w:start w:val="27"/>
      <w:numFmt w:val="bullet"/>
      <w:lvlText w:val="-"/>
      <w:lvlJc w:val="left"/>
      <w:pPr>
        <w:ind w:left="1440" w:hanging="360"/>
      </w:pPr>
      <w:rPr>
        <w:rFonts w:ascii="Calibri" w:eastAsia="Times New Roman" w:hAnsi="Calibri" w:cs="Calibri" w:hint="default"/>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1FD85AB6"/>
    <w:multiLevelType w:val="hybridMultilevel"/>
    <w:tmpl w:val="79C4F5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7C738F3"/>
    <w:multiLevelType w:val="multilevel"/>
    <w:tmpl w:val="19C021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2A485976"/>
    <w:multiLevelType w:val="multilevel"/>
    <w:tmpl w:val="849E28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AA12E67"/>
    <w:multiLevelType w:val="multilevel"/>
    <w:tmpl w:val="9FC856E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CC36FE9"/>
    <w:multiLevelType w:val="multilevel"/>
    <w:tmpl w:val="A4E0C5A6"/>
    <w:lvl w:ilvl="0">
      <w:start w:val="1"/>
      <w:numFmt w:val="bullet"/>
      <w:lvlText w:val=""/>
      <w:lvlJc w:val="left"/>
      <w:pPr>
        <w:tabs>
          <w:tab w:val="num" w:pos="720"/>
        </w:tabs>
        <w:ind w:left="720" w:hanging="360"/>
      </w:pPr>
      <w:rPr>
        <w:rFonts w:ascii="Symbol" w:hAnsi="Symbol" w:hint="default"/>
        <w:sz w:val="20"/>
      </w:rPr>
    </w:lvl>
    <w:lvl w:ilvl="1">
      <w:start w:val="6"/>
      <w:numFmt w:val="decimal"/>
      <w:lvlText w:val="%2."/>
      <w:lvlJc w:val="left"/>
      <w:pPr>
        <w:ind w:left="1440" w:hanging="360"/>
      </w:pPr>
      <w:rPr>
        <w:rFonts w:hint="default"/>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E4845D3"/>
    <w:multiLevelType w:val="multilevel"/>
    <w:tmpl w:val="F188A5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31293C01"/>
    <w:multiLevelType w:val="hybridMultilevel"/>
    <w:tmpl w:val="5A34E2AC"/>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33A501BA"/>
    <w:multiLevelType w:val="multilevel"/>
    <w:tmpl w:val="CDF6E72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36187476"/>
    <w:multiLevelType w:val="hybridMultilevel"/>
    <w:tmpl w:val="2A626D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367615B2"/>
    <w:multiLevelType w:val="hybridMultilevel"/>
    <w:tmpl w:val="0A9C3D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3A5B67B1"/>
    <w:multiLevelType w:val="multilevel"/>
    <w:tmpl w:val="5C244A58"/>
    <w:lvl w:ilvl="0">
      <w:start w:val="1"/>
      <w:numFmt w:val="bullet"/>
      <w:lvlText w:val=""/>
      <w:lvlJc w:val="left"/>
      <w:pPr>
        <w:tabs>
          <w:tab w:val="num" w:pos="720"/>
        </w:tabs>
        <w:ind w:left="720" w:hanging="360"/>
      </w:pPr>
      <w:rPr>
        <w:rFonts w:ascii="Symbol" w:hAnsi="Symbol" w:hint="default"/>
        <w:sz w:val="20"/>
      </w:rPr>
    </w:lvl>
    <w:lvl w:ilvl="1">
      <w:start w:val="7"/>
      <w:numFmt w:val="decimal"/>
      <w:lvlText w:val="%2."/>
      <w:lvlJc w:val="left"/>
      <w:pPr>
        <w:ind w:left="1440" w:hanging="360"/>
      </w:pPr>
      <w:rPr>
        <w:rFonts w:hint="default"/>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BCB2C14"/>
    <w:multiLevelType w:val="multilevel"/>
    <w:tmpl w:val="532A0D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3DCC0C3D"/>
    <w:multiLevelType w:val="multilevel"/>
    <w:tmpl w:val="61CA01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3FB00711"/>
    <w:multiLevelType w:val="hybridMultilevel"/>
    <w:tmpl w:val="9BACC2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40A40C20"/>
    <w:multiLevelType w:val="hybridMultilevel"/>
    <w:tmpl w:val="BEEE55F2"/>
    <w:lvl w:ilvl="0" w:tplc="040C0001">
      <w:start w:val="1"/>
      <w:numFmt w:val="bullet"/>
      <w:lvlText w:val=""/>
      <w:lvlJc w:val="left"/>
      <w:pPr>
        <w:ind w:left="2160" w:hanging="360"/>
      </w:pPr>
      <w:rPr>
        <w:rFonts w:ascii="Symbol" w:hAnsi="Symbol"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37" w15:restartNumberingAfterBreak="0">
    <w:nsid w:val="469344E3"/>
    <w:multiLevelType w:val="hybridMultilevel"/>
    <w:tmpl w:val="E03A8D72"/>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769495A"/>
    <w:multiLevelType w:val="multilevel"/>
    <w:tmpl w:val="98A450E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7B81F42"/>
    <w:multiLevelType w:val="multilevel"/>
    <w:tmpl w:val="CC9E67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49B859AA"/>
    <w:multiLevelType w:val="multilevel"/>
    <w:tmpl w:val="454CC1E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49FA3711"/>
    <w:multiLevelType w:val="hybridMultilevel"/>
    <w:tmpl w:val="A57E74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4B083405"/>
    <w:multiLevelType w:val="hybridMultilevel"/>
    <w:tmpl w:val="AF9C663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4ECD592E"/>
    <w:multiLevelType w:val="multilevel"/>
    <w:tmpl w:val="F642E1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4F1D3FC9"/>
    <w:multiLevelType w:val="hybridMultilevel"/>
    <w:tmpl w:val="861A0D4E"/>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3C737EC"/>
    <w:multiLevelType w:val="hybridMultilevel"/>
    <w:tmpl w:val="2C1EFA4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 w15:restartNumberingAfterBreak="0">
    <w:nsid w:val="53DC6CD7"/>
    <w:multiLevelType w:val="multilevel"/>
    <w:tmpl w:val="7B1EB9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5677686B"/>
    <w:multiLevelType w:val="hybridMultilevel"/>
    <w:tmpl w:val="EA041BD0"/>
    <w:lvl w:ilvl="0" w:tplc="87787034">
      <w:start w:val="4"/>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572B4E97"/>
    <w:multiLevelType w:val="multilevel"/>
    <w:tmpl w:val="92E289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57D55A7A"/>
    <w:multiLevelType w:val="hybridMultilevel"/>
    <w:tmpl w:val="749AA8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59DB6278"/>
    <w:multiLevelType w:val="multilevel"/>
    <w:tmpl w:val="9C781D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5C880DDD"/>
    <w:multiLevelType w:val="multilevel"/>
    <w:tmpl w:val="F984F0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5F97739A"/>
    <w:multiLevelType w:val="multilevel"/>
    <w:tmpl w:val="04242CB8"/>
    <w:lvl w:ilvl="0">
      <w:start w:val="1"/>
      <w:numFmt w:val="decimal"/>
      <w:lvlText w:val="%1"/>
      <w:lvlJc w:val="left"/>
      <w:pPr>
        <w:ind w:left="480" w:hanging="480"/>
      </w:pPr>
      <w:rPr>
        <w:rFonts w:hint="default"/>
      </w:rPr>
    </w:lvl>
    <w:lvl w:ilvl="1">
      <w:start w:val="1"/>
      <w:numFmt w:val="decimal"/>
      <w:lvlText w:val="%1.%2"/>
      <w:lvlJc w:val="left"/>
      <w:pPr>
        <w:ind w:left="720" w:hanging="720"/>
      </w:pPr>
      <w:rPr>
        <w:rFonts w:hint="default"/>
        <w:b/>
        <w:bCs/>
        <w:color w:val="B6A04C"/>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53" w15:restartNumberingAfterBreak="0">
    <w:nsid w:val="63C24990"/>
    <w:multiLevelType w:val="hybridMultilevel"/>
    <w:tmpl w:val="BE6E19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6BE908D9"/>
    <w:multiLevelType w:val="multilevel"/>
    <w:tmpl w:val="6002A3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6CB77E34"/>
    <w:multiLevelType w:val="multilevel"/>
    <w:tmpl w:val="EC7AC6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6CCD3DDD"/>
    <w:multiLevelType w:val="multilevel"/>
    <w:tmpl w:val="2C6A35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D1623CE"/>
    <w:multiLevelType w:val="hybridMultilevel"/>
    <w:tmpl w:val="84EE2E04"/>
    <w:lvl w:ilvl="0" w:tplc="AD38D906">
      <w:start w:val="1"/>
      <w:numFmt w:val="lowerRoman"/>
      <w:lvlText w:val="%1."/>
      <w:lvlJc w:val="right"/>
      <w:pPr>
        <w:ind w:left="720" w:hanging="360"/>
      </w:pPr>
      <w:rPr>
        <w:color w:val="4472C4" w:themeColor="accent1"/>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8" w15:restartNumberingAfterBreak="0">
    <w:nsid w:val="70844EEA"/>
    <w:multiLevelType w:val="multilevel"/>
    <w:tmpl w:val="688427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70BE6998"/>
    <w:multiLevelType w:val="hybridMultilevel"/>
    <w:tmpl w:val="778004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71203734"/>
    <w:multiLevelType w:val="hybridMultilevel"/>
    <w:tmpl w:val="192879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71592156"/>
    <w:multiLevelType w:val="hybridMultilevel"/>
    <w:tmpl w:val="BED2F396"/>
    <w:lvl w:ilvl="0" w:tplc="53344B36">
      <w:start w:val="51"/>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71E40AF8"/>
    <w:multiLevelType w:val="multilevel"/>
    <w:tmpl w:val="BF3E2AAE"/>
    <w:lvl w:ilvl="0">
      <w:start w:val="3"/>
      <w:numFmt w:val="decimal"/>
      <w:lvlText w:val="%1."/>
      <w:lvlJc w:val="left"/>
      <w:pPr>
        <w:ind w:left="795" w:hanging="360"/>
      </w:pPr>
      <w:rPr>
        <w:rFonts w:hint="default"/>
      </w:rPr>
    </w:lvl>
    <w:lvl w:ilvl="1">
      <w:start w:val="3"/>
      <w:numFmt w:val="decimal"/>
      <w:isLgl/>
      <w:lvlText w:val="%1.%2"/>
      <w:lvlJc w:val="left"/>
      <w:pPr>
        <w:ind w:left="819" w:hanging="384"/>
      </w:pPr>
      <w:rPr>
        <w:rFonts w:hint="default"/>
      </w:rPr>
    </w:lvl>
    <w:lvl w:ilvl="2">
      <w:start w:val="1"/>
      <w:numFmt w:val="decimal"/>
      <w:isLgl/>
      <w:lvlText w:val="%1.%2.%3"/>
      <w:lvlJc w:val="left"/>
      <w:pPr>
        <w:ind w:left="1155" w:hanging="720"/>
      </w:pPr>
      <w:rPr>
        <w:rFonts w:hint="default"/>
      </w:rPr>
    </w:lvl>
    <w:lvl w:ilvl="3">
      <w:start w:val="1"/>
      <w:numFmt w:val="decimal"/>
      <w:isLgl/>
      <w:lvlText w:val="%1.%2.%3.%4"/>
      <w:lvlJc w:val="left"/>
      <w:pPr>
        <w:ind w:left="1155" w:hanging="720"/>
      </w:pPr>
      <w:rPr>
        <w:rFonts w:hint="default"/>
      </w:rPr>
    </w:lvl>
    <w:lvl w:ilvl="4">
      <w:start w:val="1"/>
      <w:numFmt w:val="decimal"/>
      <w:isLgl/>
      <w:lvlText w:val="%1.%2.%3.%4.%5"/>
      <w:lvlJc w:val="left"/>
      <w:pPr>
        <w:ind w:left="1515" w:hanging="1080"/>
      </w:pPr>
      <w:rPr>
        <w:rFonts w:hint="default"/>
      </w:rPr>
    </w:lvl>
    <w:lvl w:ilvl="5">
      <w:start w:val="1"/>
      <w:numFmt w:val="decimal"/>
      <w:isLgl/>
      <w:lvlText w:val="%1.%2.%3.%4.%5.%6"/>
      <w:lvlJc w:val="left"/>
      <w:pPr>
        <w:ind w:left="1515" w:hanging="1080"/>
      </w:pPr>
      <w:rPr>
        <w:rFonts w:hint="default"/>
      </w:rPr>
    </w:lvl>
    <w:lvl w:ilvl="6">
      <w:start w:val="1"/>
      <w:numFmt w:val="decimal"/>
      <w:isLgl/>
      <w:lvlText w:val="%1.%2.%3.%4.%5.%6.%7"/>
      <w:lvlJc w:val="left"/>
      <w:pPr>
        <w:ind w:left="1875" w:hanging="1440"/>
      </w:pPr>
      <w:rPr>
        <w:rFonts w:hint="default"/>
      </w:rPr>
    </w:lvl>
    <w:lvl w:ilvl="7">
      <w:start w:val="1"/>
      <w:numFmt w:val="decimal"/>
      <w:isLgl/>
      <w:lvlText w:val="%1.%2.%3.%4.%5.%6.%7.%8"/>
      <w:lvlJc w:val="left"/>
      <w:pPr>
        <w:ind w:left="1875" w:hanging="1440"/>
      </w:pPr>
      <w:rPr>
        <w:rFonts w:hint="default"/>
      </w:rPr>
    </w:lvl>
    <w:lvl w:ilvl="8">
      <w:start w:val="1"/>
      <w:numFmt w:val="decimal"/>
      <w:isLgl/>
      <w:lvlText w:val="%1.%2.%3.%4.%5.%6.%7.%8.%9"/>
      <w:lvlJc w:val="left"/>
      <w:pPr>
        <w:ind w:left="2235" w:hanging="1800"/>
      </w:pPr>
      <w:rPr>
        <w:rFonts w:hint="default"/>
      </w:rPr>
    </w:lvl>
  </w:abstractNum>
  <w:abstractNum w:abstractNumId="63" w15:restartNumberingAfterBreak="0">
    <w:nsid w:val="72C77E1B"/>
    <w:multiLevelType w:val="hybridMultilevel"/>
    <w:tmpl w:val="2B6C32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736C50A8"/>
    <w:multiLevelType w:val="multilevel"/>
    <w:tmpl w:val="E318941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78A93FC6"/>
    <w:multiLevelType w:val="multilevel"/>
    <w:tmpl w:val="7CBCBA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7C004DB1"/>
    <w:multiLevelType w:val="hybridMultilevel"/>
    <w:tmpl w:val="CCDA5456"/>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7D877A78"/>
    <w:multiLevelType w:val="multilevel"/>
    <w:tmpl w:val="47366BB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7F7C1AB1"/>
    <w:multiLevelType w:val="multilevel"/>
    <w:tmpl w:val="E7F09074"/>
    <w:lvl w:ilvl="0">
      <w:start w:val="1"/>
      <w:numFmt w:val="decimal"/>
      <w:lvlText w:val="%1"/>
      <w:lvlJc w:val="left"/>
      <w:pPr>
        <w:ind w:left="410" w:hanging="410"/>
      </w:pPr>
      <w:rPr>
        <w:rFonts w:hint="default"/>
      </w:rPr>
    </w:lvl>
    <w:lvl w:ilvl="1">
      <w:start w:val="1"/>
      <w:numFmt w:val="decimal"/>
      <w:lvlText w:val="%1.%2"/>
      <w:lvlJc w:val="left"/>
      <w:pPr>
        <w:ind w:left="1080" w:hanging="720"/>
      </w:pPr>
      <w:rPr>
        <w:rFonts w:hint="default"/>
        <w:color w:val="B6A04C"/>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040" w:hanging="2160"/>
      </w:pPr>
      <w:rPr>
        <w:rFonts w:hint="default"/>
      </w:rPr>
    </w:lvl>
  </w:abstractNum>
  <w:abstractNum w:abstractNumId="69" w15:restartNumberingAfterBreak="0">
    <w:nsid w:val="7FF93DD4"/>
    <w:multiLevelType w:val="multilevel"/>
    <w:tmpl w:val="5A5266DA"/>
    <w:lvl w:ilvl="0">
      <w:start w:val="5"/>
      <w:numFmt w:val="decimal"/>
      <w:lvlText w:val="%1."/>
      <w:lvlJc w:val="left"/>
      <w:pPr>
        <w:tabs>
          <w:tab w:val="num" w:pos="720"/>
        </w:tabs>
        <w:ind w:left="720" w:hanging="360"/>
      </w:pPr>
      <w:rPr>
        <w:rFonts w:hint="default"/>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num w:numId="1" w16cid:durableId="1237398709">
    <w:abstractNumId w:val="21"/>
  </w:num>
  <w:num w:numId="2" w16cid:durableId="648899259">
    <w:abstractNumId w:val="53"/>
  </w:num>
  <w:num w:numId="3" w16cid:durableId="930622280">
    <w:abstractNumId w:val="22"/>
  </w:num>
  <w:num w:numId="4" w16cid:durableId="84428230">
    <w:abstractNumId w:val="0"/>
  </w:num>
  <w:num w:numId="5" w16cid:durableId="1449811319">
    <w:abstractNumId w:val="59"/>
  </w:num>
  <w:num w:numId="6" w16cid:durableId="952902921">
    <w:abstractNumId w:val="63"/>
  </w:num>
  <w:num w:numId="7" w16cid:durableId="1408069706">
    <w:abstractNumId w:val="14"/>
  </w:num>
  <w:num w:numId="8" w16cid:durableId="811407219">
    <w:abstractNumId w:val="49"/>
  </w:num>
  <w:num w:numId="9" w16cid:durableId="912474494">
    <w:abstractNumId w:val="30"/>
  </w:num>
  <w:num w:numId="10" w16cid:durableId="831526849">
    <w:abstractNumId w:val="60"/>
  </w:num>
  <w:num w:numId="11" w16cid:durableId="2111512518">
    <w:abstractNumId w:val="19"/>
  </w:num>
  <w:num w:numId="12" w16cid:durableId="1458455277">
    <w:abstractNumId w:val="35"/>
  </w:num>
  <w:num w:numId="13" w16cid:durableId="2001303233">
    <w:abstractNumId w:val="7"/>
  </w:num>
  <w:num w:numId="14" w16cid:durableId="1285843232">
    <w:abstractNumId w:val="41"/>
  </w:num>
  <w:num w:numId="15" w16cid:durableId="1276903815">
    <w:abstractNumId w:val="31"/>
  </w:num>
  <w:num w:numId="16" w16cid:durableId="227156952">
    <w:abstractNumId w:val="42"/>
  </w:num>
  <w:num w:numId="17" w16cid:durableId="2093041232">
    <w:abstractNumId w:val="61"/>
  </w:num>
  <w:num w:numId="18" w16cid:durableId="865405230">
    <w:abstractNumId w:val="57"/>
  </w:num>
  <w:num w:numId="19" w16cid:durableId="1606814233">
    <w:abstractNumId w:val="11"/>
  </w:num>
  <w:num w:numId="20" w16cid:durableId="360714273">
    <w:abstractNumId w:val="1"/>
  </w:num>
  <w:num w:numId="21" w16cid:durableId="1668168765">
    <w:abstractNumId w:val="28"/>
  </w:num>
  <w:num w:numId="22" w16cid:durableId="1708330329">
    <w:abstractNumId w:val="37"/>
  </w:num>
  <w:num w:numId="23" w16cid:durableId="972557727">
    <w:abstractNumId w:val="44"/>
  </w:num>
  <w:num w:numId="24" w16cid:durableId="1448232614">
    <w:abstractNumId w:val="50"/>
  </w:num>
  <w:num w:numId="25" w16cid:durableId="1184902228">
    <w:abstractNumId w:val="36"/>
  </w:num>
  <w:num w:numId="26" w16cid:durableId="510804011">
    <w:abstractNumId w:val="66"/>
  </w:num>
  <w:num w:numId="27" w16cid:durableId="1823157559">
    <w:abstractNumId w:val="47"/>
  </w:num>
  <w:num w:numId="28" w16cid:durableId="1711488279">
    <w:abstractNumId w:val="26"/>
  </w:num>
  <w:num w:numId="29" w16cid:durableId="1305814116">
    <w:abstractNumId w:val="45"/>
  </w:num>
  <w:num w:numId="30" w16cid:durableId="1762293494">
    <w:abstractNumId w:val="5"/>
  </w:num>
  <w:num w:numId="31" w16cid:durableId="1827234943">
    <w:abstractNumId w:val="20"/>
  </w:num>
  <w:num w:numId="32" w16cid:durableId="795441471">
    <w:abstractNumId w:val="52"/>
  </w:num>
  <w:num w:numId="33" w16cid:durableId="283313917">
    <w:abstractNumId w:val="48"/>
  </w:num>
  <w:num w:numId="34" w16cid:durableId="2052610565">
    <w:abstractNumId w:val="18"/>
  </w:num>
  <w:num w:numId="35" w16cid:durableId="522134302">
    <w:abstractNumId w:val="16"/>
  </w:num>
  <w:num w:numId="36" w16cid:durableId="437531514">
    <w:abstractNumId w:val="65"/>
  </w:num>
  <w:num w:numId="37" w16cid:durableId="80028952">
    <w:abstractNumId w:val="12"/>
  </w:num>
  <w:num w:numId="38" w16cid:durableId="285738238">
    <w:abstractNumId w:val="38"/>
  </w:num>
  <w:num w:numId="39" w16cid:durableId="1102919775">
    <w:abstractNumId w:val="34"/>
  </w:num>
  <w:num w:numId="40" w16cid:durableId="531305074">
    <w:abstractNumId w:val="51"/>
  </w:num>
  <w:num w:numId="41" w16cid:durableId="740103006">
    <w:abstractNumId w:val="40"/>
  </w:num>
  <w:num w:numId="42" w16cid:durableId="923487879">
    <w:abstractNumId w:val="39"/>
  </w:num>
  <w:num w:numId="43" w16cid:durableId="706024048">
    <w:abstractNumId w:val="43"/>
  </w:num>
  <w:num w:numId="44" w16cid:durableId="1152479243">
    <w:abstractNumId w:val="9"/>
  </w:num>
  <w:num w:numId="45" w16cid:durableId="952904330">
    <w:abstractNumId w:val="6"/>
  </w:num>
  <w:num w:numId="46" w16cid:durableId="1185942054">
    <w:abstractNumId w:val="25"/>
  </w:num>
  <w:num w:numId="47" w16cid:durableId="370345668">
    <w:abstractNumId w:val="2"/>
  </w:num>
  <w:num w:numId="48" w16cid:durableId="1797987732">
    <w:abstractNumId w:val="23"/>
  </w:num>
  <w:num w:numId="49" w16cid:durableId="1573348656">
    <w:abstractNumId w:val="56"/>
  </w:num>
  <w:num w:numId="50" w16cid:durableId="146631145">
    <w:abstractNumId w:val="15"/>
  </w:num>
  <w:num w:numId="51" w16cid:durableId="1457677821">
    <w:abstractNumId w:val="27"/>
  </w:num>
  <w:num w:numId="52" w16cid:durableId="2064790163">
    <w:abstractNumId w:val="29"/>
  </w:num>
  <w:num w:numId="53" w16cid:durableId="1145590754">
    <w:abstractNumId w:val="54"/>
  </w:num>
  <w:num w:numId="54" w16cid:durableId="1358238103">
    <w:abstractNumId w:val="33"/>
  </w:num>
  <w:num w:numId="55" w16cid:durableId="1833374137">
    <w:abstractNumId w:val="67"/>
  </w:num>
  <w:num w:numId="56" w16cid:durableId="2145850318">
    <w:abstractNumId w:val="4"/>
  </w:num>
  <w:num w:numId="57" w16cid:durableId="323358684">
    <w:abstractNumId w:val="64"/>
  </w:num>
  <w:num w:numId="58" w16cid:durableId="1197933944">
    <w:abstractNumId w:val="13"/>
  </w:num>
  <w:num w:numId="59" w16cid:durableId="334498483">
    <w:abstractNumId w:val="8"/>
  </w:num>
  <w:num w:numId="60" w16cid:durableId="168451083">
    <w:abstractNumId w:val="10"/>
  </w:num>
  <w:num w:numId="61" w16cid:durableId="1323119913">
    <w:abstractNumId w:val="46"/>
  </w:num>
  <w:num w:numId="62" w16cid:durableId="244346549">
    <w:abstractNumId w:val="17"/>
  </w:num>
  <w:num w:numId="63" w16cid:durableId="1452896786">
    <w:abstractNumId w:val="58"/>
  </w:num>
  <w:num w:numId="64" w16cid:durableId="427623141">
    <w:abstractNumId w:val="55"/>
  </w:num>
  <w:num w:numId="65" w16cid:durableId="1275673660">
    <w:abstractNumId w:val="24"/>
  </w:num>
  <w:num w:numId="66" w16cid:durableId="1527715940">
    <w:abstractNumId w:val="62"/>
  </w:num>
  <w:num w:numId="67" w16cid:durableId="998389468">
    <w:abstractNumId w:val="3"/>
  </w:num>
  <w:num w:numId="68" w16cid:durableId="1663848455">
    <w:abstractNumId w:val="68"/>
  </w:num>
  <w:num w:numId="69" w16cid:durableId="160508526">
    <w:abstractNumId w:val="69"/>
  </w:num>
  <w:num w:numId="70" w16cid:durableId="767896159">
    <w:abstractNumId w:val="32"/>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3FBD"/>
    <w:rsid w:val="0000109D"/>
    <w:rsid w:val="00001951"/>
    <w:rsid w:val="0000203F"/>
    <w:rsid w:val="00003A42"/>
    <w:rsid w:val="0000454B"/>
    <w:rsid w:val="00007D42"/>
    <w:rsid w:val="00012644"/>
    <w:rsid w:val="0001680A"/>
    <w:rsid w:val="00021892"/>
    <w:rsid w:val="00021DF2"/>
    <w:rsid w:val="00022693"/>
    <w:rsid w:val="00025AF3"/>
    <w:rsid w:val="000272BD"/>
    <w:rsid w:val="0003122C"/>
    <w:rsid w:val="00033779"/>
    <w:rsid w:val="00035B10"/>
    <w:rsid w:val="00036943"/>
    <w:rsid w:val="00040A23"/>
    <w:rsid w:val="00041A62"/>
    <w:rsid w:val="00044167"/>
    <w:rsid w:val="00044A89"/>
    <w:rsid w:val="00045EAA"/>
    <w:rsid w:val="00050939"/>
    <w:rsid w:val="00052810"/>
    <w:rsid w:val="000541A5"/>
    <w:rsid w:val="000614F1"/>
    <w:rsid w:val="000639E2"/>
    <w:rsid w:val="00063A4C"/>
    <w:rsid w:val="00065465"/>
    <w:rsid w:val="00067BC0"/>
    <w:rsid w:val="00071D61"/>
    <w:rsid w:val="000748A3"/>
    <w:rsid w:val="0008545D"/>
    <w:rsid w:val="00090BB8"/>
    <w:rsid w:val="00091EF5"/>
    <w:rsid w:val="00097ACC"/>
    <w:rsid w:val="000A3B66"/>
    <w:rsid w:val="000A402F"/>
    <w:rsid w:val="000B46E3"/>
    <w:rsid w:val="000C16CB"/>
    <w:rsid w:val="000C5AFA"/>
    <w:rsid w:val="000C645B"/>
    <w:rsid w:val="000C6804"/>
    <w:rsid w:val="000C68F8"/>
    <w:rsid w:val="000D1ED9"/>
    <w:rsid w:val="000D23AC"/>
    <w:rsid w:val="000D260F"/>
    <w:rsid w:val="000D7E1A"/>
    <w:rsid w:val="000E1801"/>
    <w:rsid w:val="000E441E"/>
    <w:rsid w:val="000E5AAC"/>
    <w:rsid w:val="000E6FF3"/>
    <w:rsid w:val="000F049F"/>
    <w:rsid w:val="000F6728"/>
    <w:rsid w:val="00100C78"/>
    <w:rsid w:val="00101708"/>
    <w:rsid w:val="00101A66"/>
    <w:rsid w:val="00105AEB"/>
    <w:rsid w:val="00111E17"/>
    <w:rsid w:val="00111E59"/>
    <w:rsid w:val="001302AE"/>
    <w:rsid w:val="00131AF1"/>
    <w:rsid w:val="00133660"/>
    <w:rsid w:val="001404B9"/>
    <w:rsid w:val="001422B3"/>
    <w:rsid w:val="00145404"/>
    <w:rsid w:val="0014643C"/>
    <w:rsid w:val="0015080D"/>
    <w:rsid w:val="0015140B"/>
    <w:rsid w:val="00152D6A"/>
    <w:rsid w:val="00157B66"/>
    <w:rsid w:val="00171117"/>
    <w:rsid w:val="0017170A"/>
    <w:rsid w:val="00172EA5"/>
    <w:rsid w:val="00177CF2"/>
    <w:rsid w:val="00181480"/>
    <w:rsid w:val="00190AD5"/>
    <w:rsid w:val="001957ED"/>
    <w:rsid w:val="001A3FF1"/>
    <w:rsid w:val="001B1A82"/>
    <w:rsid w:val="001B2314"/>
    <w:rsid w:val="001B30D4"/>
    <w:rsid w:val="001B3D74"/>
    <w:rsid w:val="001B4D42"/>
    <w:rsid w:val="001B5403"/>
    <w:rsid w:val="001B6F7B"/>
    <w:rsid w:val="001C0851"/>
    <w:rsid w:val="001C0D89"/>
    <w:rsid w:val="001C2E69"/>
    <w:rsid w:val="001C7F81"/>
    <w:rsid w:val="001D18DC"/>
    <w:rsid w:val="001D2657"/>
    <w:rsid w:val="001E12A2"/>
    <w:rsid w:val="001E6D6E"/>
    <w:rsid w:val="001F574C"/>
    <w:rsid w:val="0020004F"/>
    <w:rsid w:val="002006AE"/>
    <w:rsid w:val="00200E08"/>
    <w:rsid w:val="00200E6E"/>
    <w:rsid w:val="00201CD1"/>
    <w:rsid w:val="00202EBE"/>
    <w:rsid w:val="00207CC1"/>
    <w:rsid w:val="00212840"/>
    <w:rsid w:val="00212D87"/>
    <w:rsid w:val="00214D59"/>
    <w:rsid w:val="00216E25"/>
    <w:rsid w:val="00222A0F"/>
    <w:rsid w:val="002233B1"/>
    <w:rsid w:val="00223D2A"/>
    <w:rsid w:val="00234A22"/>
    <w:rsid w:val="00234C95"/>
    <w:rsid w:val="002361D7"/>
    <w:rsid w:val="00240D8E"/>
    <w:rsid w:val="00242572"/>
    <w:rsid w:val="00243A80"/>
    <w:rsid w:val="00244642"/>
    <w:rsid w:val="00245B7D"/>
    <w:rsid w:val="0024602C"/>
    <w:rsid w:val="002473AB"/>
    <w:rsid w:val="002514C7"/>
    <w:rsid w:val="00253E61"/>
    <w:rsid w:val="0025785F"/>
    <w:rsid w:val="00262A0B"/>
    <w:rsid w:val="00263A2C"/>
    <w:rsid w:val="002666CC"/>
    <w:rsid w:val="002667C3"/>
    <w:rsid w:val="00267FE0"/>
    <w:rsid w:val="0027595F"/>
    <w:rsid w:val="00277713"/>
    <w:rsid w:val="002830C0"/>
    <w:rsid w:val="00283692"/>
    <w:rsid w:val="00291C74"/>
    <w:rsid w:val="0029203F"/>
    <w:rsid w:val="002946A0"/>
    <w:rsid w:val="00296175"/>
    <w:rsid w:val="00297FE3"/>
    <w:rsid w:val="002A0BDA"/>
    <w:rsid w:val="002A0F44"/>
    <w:rsid w:val="002A22A3"/>
    <w:rsid w:val="002A3051"/>
    <w:rsid w:val="002B030A"/>
    <w:rsid w:val="002B4610"/>
    <w:rsid w:val="002B603D"/>
    <w:rsid w:val="002B60D0"/>
    <w:rsid w:val="002B6536"/>
    <w:rsid w:val="002C16BE"/>
    <w:rsid w:val="002C211F"/>
    <w:rsid w:val="002C5281"/>
    <w:rsid w:val="002D622D"/>
    <w:rsid w:val="002D7CA4"/>
    <w:rsid w:val="002E0223"/>
    <w:rsid w:val="002E3100"/>
    <w:rsid w:val="002F07B8"/>
    <w:rsid w:val="002F1AC8"/>
    <w:rsid w:val="002F2C73"/>
    <w:rsid w:val="002F6031"/>
    <w:rsid w:val="002F6362"/>
    <w:rsid w:val="00301E54"/>
    <w:rsid w:val="0030456A"/>
    <w:rsid w:val="00311A57"/>
    <w:rsid w:val="00314086"/>
    <w:rsid w:val="003147AD"/>
    <w:rsid w:val="00321E09"/>
    <w:rsid w:val="003249CF"/>
    <w:rsid w:val="00327D5A"/>
    <w:rsid w:val="00333C1B"/>
    <w:rsid w:val="00335AEC"/>
    <w:rsid w:val="00336BEA"/>
    <w:rsid w:val="00336C6F"/>
    <w:rsid w:val="00340CD5"/>
    <w:rsid w:val="00341B15"/>
    <w:rsid w:val="00343151"/>
    <w:rsid w:val="003432C7"/>
    <w:rsid w:val="00344BDB"/>
    <w:rsid w:val="00346968"/>
    <w:rsid w:val="0035011B"/>
    <w:rsid w:val="00362CC1"/>
    <w:rsid w:val="003644F5"/>
    <w:rsid w:val="00364A97"/>
    <w:rsid w:val="003666AC"/>
    <w:rsid w:val="003730B8"/>
    <w:rsid w:val="00383F1C"/>
    <w:rsid w:val="00384494"/>
    <w:rsid w:val="0038554D"/>
    <w:rsid w:val="00385BE7"/>
    <w:rsid w:val="003902D9"/>
    <w:rsid w:val="00390B3D"/>
    <w:rsid w:val="00390CC1"/>
    <w:rsid w:val="0039290B"/>
    <w:rsid w:val="00392CFC"/>
    <w:rsid w:val="00393251"/>
    <w:rsid w:val="00397EFF"/>
    <w:rsid w:val="003A0021"/>
    <w:rsid w:val="003A017C"/>
    <w:rsid w:val="003A3F5E"/>
    <w:rsid w:val="003A537F"/>
    <w:rsid w:val="003C4516"/>
    <w:rsid w:val="003C6E94"/>
    <w:rsid w:val="003C7BC9"/>
    <w:rsid w:val="003D5E70"/>
    <w:rsid w:val="003E0613"/>
    <w:rsid w:val="003E1256"/>
    <w:rsid w:val="003E2A20"/>
    <w:rsid w:val="003E4902"/>
    <w:rsid w:val="003E61CE"/>
    <w:rsid w:val="003E7115"/>
    <w:rsid w:val="003F3035"/>
    <w:rsid w:val="003F304D"/>
    <w:rsid w:val="003F7781"/>
    <w:rsid w:val="0040044A"/>
    <w:rsid w:val="00400591"/>
    <w:rsid w:val="004040F5"/>
    <w:rsid w:val="004046A5"/>
    <w:rsid w:val="00410864"/>
    <w:rsid w:val="00410A93"/>
    <w:rsid w:val="00415401"/>
    <w:rsid w:val="004157AE"/>
    <w:rsid w:val="00420825"/>
    <w:rsid w:val="004250DD"/>
    <w:rsid w:val="00425746"/>
    <w:rsid w:val="004257F0"/>
    <w:rsid w:val="0042645B"/>
    <w:rsid w:val="004316B2"/>
    <w:rsid w:val="004333EC"/>
    <w:rsid w:val="00434064"/>
    <w:rsid w:val="00440195"/>
    <w:rsid w:val="00443FBD"/>
    <w:rsid w:val="004446EA"/>
    <w:rsid w:val="00447E92"/>
    <w:rsid w:val="00452F88"/>
    <w:rsid w:val="00456D48"/>
    <w:rsid w:val="00456D93"/>
    <w:rsid w:val="00467E58"/>
    <w:rsid w:val="0047150D"/>
    <w:rsid w:val="00472167"/>
    <w:rsid w:val="004735AE"/>
    <w:rsid w:val="00485D0A"/>
    <w:rsid w:val="0049009B"/>
    <w:rsid w:val="00491D84"/>
    <w:rsid w:val="00492EB0"/>
    <w:rsid w:val="004933F0"/>
    <w:rsid w:val="004946C5"/>
    <w:rsid w:val="004A2D92"/>
    <w:rsid w:val="004A3B2F"/>
    <w:rsid w:val="004B1AF1"/>
    <w:rsid w:val="004B2B84"/>
    <w:rsid w:val="004C02F7"/>
    <w:rsid w:val="004C3884"/>
    <w:rsid w:val="004C725C"/>
    <w:rsid w:val="004D3700"/>
    <w:rsid w:val="004D4F5F"/>
    <w:rsid w:val="004F03F3"/>
    <w:rsid w:val="004F0C2B"/>
    <w:rsid w:val="004F2C4C"/>
    <w:rsid w:val="004F6D98"/>
    <w:rsid w:val="00504D6D"/>
    <w:rsid w:val="005052A1"/>
    <w:rsid w:val="00505929"/>
    <w:rsid w:val="005067A3"/>
    <w:rsid w:val="0051115D"/>
    <w:rsid w:val="00511DE5"/>
    <w:rsid w:val="00513BB9"/>
    <w:rsid w:val="0051427D"/>
    <w:rsid w:val="00516035"/>
    <w:rsid w:val="00516259"/>
    <w:rsid w:val="00516387"/>
    <w:rsid w:val="00516C61"/>
    <w:rsid w:val="00517F8F"/>
    <w:rsid w:val="00522C7B"/>
    <w:rsid w:val="00532606"/>
    <w:rsid w:val="005361C5"/>
    <w:rsid w:val="00537D03"/>
    <w:rsid w:val="005425BA"/>
    <w:rsid w:val="005474C1"/>
    <w:rsid w:val="00547AC7"/>
    <w:rsid w:val="00547C5D"/>
    <w:rsid w:val="005514AD"/>
    <w:rsid w:val="0055322C"/>
    <w:rsid w:val="00553AC6"/>
    <w:rsid w:val="0055689E"/>
    <w:rsid w:val="00560CDB"/>
    <w:rsid w:val="0056116F"/>
    <w:rsid w:val="005612A3"/>
    <w:rsid w:val="0056183B"/>
    <w:rsid w:val="00561E53"/>
    <w:rsid w:val="00562BF2"/>
    <w:rsid w:val="005647B4"/>
    <w:rsid w:val="00566271"/>
    <w:rsid w:val="00571143"/>
    <w:rsid w:val="00574337"/>
    <w:rsid w:val="005924C0"/>
    <w:rsid w:val="0059377D"/>
    <w:rsid w:val="005A0808"/>
    <w:rsid w:val="005A1FFA"/>
    <w:rsid w:val="005A20BD"/>
    <w:rsid w:val="005A6959"/>
    <w:rsid w:val="005B219A"/>
    <w:rsid w:val="005C1771"/>
    <w:rsid w:val="005C3034"/>
    <w:rsid w:val="005C5D2F"/>
    <w:rsid w:val="005D44D7"/>
    <w:rsid w:val="005D6B72"/>
    <w:rsid w:val="005D7294"/>
    <w:rsid w:val="005D75E0"/>
    <w:rsid w:val="005E4297"/>
    <w:rsid w:val="005E4F62"/>
    <w:rsid w:val="005E5F6C"/>
    <w:rsid w:val="005E6E3A"/>
    <w:rsid w:val="005F08E1"/>
    <w:rsid w:val="005F4BDB"/>
    <w:rsid w:val="00600AB8"/>
    <w:rsid w:val="006017E5"/>
    <w:rsid w:val="00601876"/>
    <w:rsid w:val="0060216F"/>
    <w:rsid w:val="0060556B"/>
    <w:rsid w:val="00611B71"/>
    <w:rsid w:val="0061208F"/>
    <w:rsid w:val="006127A8"/>
    <w:rsid w:val="00613606"/>
    <w:rsid w:val="00613A66"/>
    <w:rsid w:val="00616814"/>
    <w:rsid w:val="006232DA"/>
    <w:rsid w:val="006235FE"/>
    <w:rsid w:val="00625D8E"/>
    <w:rsid w:val="00626035"/>
    <w:rsid w:val="00630A38"/>
    <w:rsid w:val="00632AAB"/>
    <w:rsid w:val="00633C2C"/>
    <w:rsid w:val="00642159"/>
    <w:rsid w:val="006474B2"/>
    <w:rsid w:val="00652ECC"/>
    <w:rsid w:val="00662304"/>
    <w:rsid w:val="006670A9"/>
    <w:rsid w:val="00667DC6"/>
    <w:rsid w:val="00667F28"/>
    <w:rsid w:val="00667F79"/>
    <w:rsid w:val="0067059B"/>
    <w:rsid w:val="006751E4"/>
    <w:rsid w:val="006872B8"/>
    <w:rsid w:val="00687930"/>
    <w:rsid w:val="0069257E"/>
    <w:rsid w:val="00695D8A"/>
    <w:rsid w:val="006A04DB"/>
    <w:rsid w:val="006A7E56"/>
    <w:rsid w:val="006B0F2C"/>
    <w:rsid w:val="006B119B"/>
    <w:rsid w:val="006B4875"/>
    <w:rsid w:val="006B6F0D"/>
    <w:rsid w:val="006C12BA"/>
    <w:rsid w:val="006C2C39"/>
    <w:rsid w:val="006C35F1"/>
    <w:rsid w:val="006C3DBB"/>
    <w:rsid w:val="006D1215"/>
    <w:rsid w:val="006D4428"/>
    <w:rsid w:val="006E4139"/>
    <w:rsid w:val="006E7CAB"/>
    <w:rsid w:val="006F0A43"/>
    <w:rsid w:val="006F5078"/>
    <w:rsid w:val="007067E5"/>
    <w:rsid w:val="00710AB6"/>
    <w:rsid w:val="007111BE"/>
    <w:rsid w:val="00711728"/>
    <w:rsid w:val="0071339D"/>
    <w:rsid w:val="00714895"/>
    <w:rsid w:val="007308A0"/>
    <w:rsid w:val="00730CE2"/>
    <w:rsid w:val="007329D3"/>
    <w:rsid w:val="00734A07"/>
    <w:rsid w:val="00740BB9"/>
    <w:rsid w:val="00740D71"/>
    <w:rsid w:val="007458BA"/>
    <w:rsid w:val="00745FCF"/>
    <w:rsid w:val="007476B5"/>
    <w:rsid w:val="00747C7E"/>
    <w:rsid w:val="00753CFC"/>
    <w:rsid w:val="00754C6C"/>
    <w:rsid w:val="007604CE"/>
    <w:rsid w:val="00761C6F"/>
    <w:rsid w:val="00761FF8"/>
    <w:rsid w:val="00762902"/>
    <w:rsid w:val="00764C0A"/>
    <w:rsid w:val="007711F6"/>
    <w:rsid w:val="00771B5D"/>
    <w:rsid w:val="00771C0C"/>
    <w:rsid w:val="00772BF1"/>
    <w:rsid w:val="0077322B"/>
    <w:rsid w:val="00781335"/>
    <w:rsid w:val="00783E74"/>
    <w:rsid w:val="00784097"/>
    <w:rsid w:val="00784C75"/>
    <w:rsid w:val="0078587B"/>
    <w:rsid w:val="0078699D"/>
    <w:rsid w:val="00786FAF"/>
    <w:rsid w:val="00790E80"/>
    <w:rsid w:val="00793500"/>
    <w:rsid w:val="00793675"/>
    <w:rsid w:val="00793E7E"/>
    <w:rsid w:val="00796F72"/>
    <w:rsid w:val="007A46C8"/>
    <w:rsid w:val="007A5A6C"/>
    <w:rsid w:val="007A5FFF"/>
    <w:rsid w:val="007A6459"/>
    <w:rsid w:val="007B2218"/>
    <w:rsid w:val="007B63DB"/>
    <w:rsid w:val="007C10F0"/>
    <w:rsid w:val="007C3FEA"/>
    <w:rsid w:val="007C48B2"/>
    <w:rsid w:val="007C6A2D"/>
    <w:rsid w:val="007D1296"/>
    <w:rsid w:val="007D677E"/>
    <w:rsid w:val="007E150B"/>
    <w:rsid w:val="007E74D6"/>
    <w:rsid w:val="007F1555"/>
    <w:rsid w:val="007F272B"/>
    <w:rsid w:val="007F4A7D"/>
    <w:rsid w:val="007F72A5"/>
    <w:rsid w:val="00801B2B"/>
    <w:rsid w:val="00815FCB"/>
    <w:rsid w:val="00816E41"/>
    <w:rsid w:val="008220F8"/>
    <w:rsid w:val="00832580"/>
    <w:rsid w:val="00832A7C"/>
    <w:rsid w:val="00834166"/>
    <w:rsid w:val="0083428A"/>
    <w:rsid w:val="008410C4"/>
    <w:rsid w:val="00850341"/>
    <w:rsid w:val="00856458"/>
    <w:rsid w:val="00856642"/>
    <w:rsid w:val="008712B2"/>
    <w:rsid w:val="00871A2F"/>
    <w:rsid w:val="00871E9D"/>
    <w:rsid w:val="0088078E"/>
    <w:rsid w:val="008817AD"/>
    <w:rsid w:val="008822C8"/>
    <w:rsid w:val="00884BC9"/>
    <w:rsid w:val="008912B2"/>
    <w:rsid w:val="00893F55"/>
    <w:rsid w:val="008941E8"/>
    <w:rsid w:val="008A3768"/>
    <w:rsid w:val="008A43B2"/>
    <w:rsid w:val="008A7603"/>
    <w:rsid w:val="008B3561"/>
    <w:rsid w:val="008B3805"/>
    <w:rsid w:val="008B4B98"/>
    <w:rsid w:val="008B5458"/>
    <w:rsid w:val="008B77A1"/>
    <w:rsid w:val="008C120E"/>
    <w:rsid w:val="008C46C0"/>
    <w:rsid w:val="008C6BC1"/>
    <w:rsid w:val="008D09BD"/>
    <w:rsid w:val="008D2679"/>
    <w:rsid w:val="008D7DA6"/>
    <w:rsid w:val="008E19A4"/>
    <w:rsid w:val="008E22D3"/>
    <w:rsid w:val="008E733D"/>
    <w:rsid w:val="008F0EF8"/>
    <w:rsid w:val="008F1F7C"/>
    <w:rsid w:val="009041F7"/>
    <w:rsid w:val="0090573B"/>
    <w:rsid w:val="009074A9"/>
    <w:rsid w:val="00914638"/>
    <w:rsid w:val="009202A1"/>
    <w:rsid w:val="00924666"/>
    <w:rsid w:val="009249B2"/>
    <w:rsid w:val="0092558F"/>
    <w:rsid w:val="00930329"/>
    <w:rsid w:val="009304A3"/>
    <w:rsid w:val="0093419E"/>
    <w:rsid w:val="0093649B"/>
    <w:rsid w:val="00941491"/>
    <w:rsid w:val="00942982"/>
    <w:rsid w:val="0094362F"/>
    <w:rsid w:val="00946CD8"/>
    <w:rsid w:val="00953201"/>
    <w:rsid w:val="00957174"/>
    <w:rsid w:val="00964A3A"/>
    <w:rsid w:val="00964F65"/>
    <w:rsid w:val="00966553"/>
    <w:rsid w:val="00966D10"/>
    <w:rsid w:val="009702CD"/>
    <w:rsid w:val="00974680"/>
    <w:rsid w:val="00975BA7"/>
    <w:rsid w:val="00976991"/>
    <w:rsid w:val="00984606"/>
    <w:rsid w:val="00991E1E"/>
    <w:rsid w:val="0099263F"/>
    <w:rsid w:val="00992E9D"/>
    <w:rsid w:val="00995DD4"/>
    <w:rsid w:val="009A184E"/>
    <w:rsid w:val="009B4956"/>
    <w:rsid w:val="009C209D"/>
    <w:rsid w:val="009C3E8E"/>
    <w:rsid w:val="009C6536"/>
    <w:rsid w:val="009C75F1"/>
    <w:rsid w:val="009D0854"/>
    <w:rsid w:val="009D370E"/>
    <w:rsid w:val="009D52AD"/>
    <w:rsid w:val="009D66E8"/>
    <w:rsid w:val="009E2FCD"/>
    <w:rsid w:val="009E757E"/>
    <w:rsid w:val="009F1BE9"/>
    <w:rsid w:val="009F3F7C"/>
    <w:rsid w:val="009F7D3D"/>
    <w:rsid w:val="00A0055A"/>
    <w:rsid w:val="00A01885"/>
    <w:rsid w:val="00A02C7A"/>
    <w:rsid w:val="00A03993"/>
    <w:rsid w:val="00A0418B"/>
    <w:rsid w:val="00A044EB"/>
    <w:rsid w:val="00A049F5"/>
    <w:rsid w:val="00A04C19"/>
    <w:rsid w:val="00A05098"/>
    <w:rsid w:val="00A16C77"/>
    <w:rsid w:val="00A17A18"/>
    <w:rsid w:val="00A312E4"/>
    <w:rsid w:val="00A33A89"/>
    <w:rsid w:val="00A3435D"/>
    <w:rsid w:val="00A40139"/>
    <w:rsid w:val="00A4287E"/>
    <w:rsid w:val="00A44CAC"/>
    <w:rsid w:val="00A47BEA"/>
    <w:rsid w:val="00A47BFB"/>
    <w:rsid w:val="00A50347"/>
    <w:rsid w:val="00A5046C"/>
    <w:rsid w:val="00A52661"/>
    <w:rsid w:val="00A531BD"/>
    <w:rsid w:val="00A601E0"/>
    <w:rsid w:val="00A60AF0"/>
    <w:rsid w:val="00A70009"/>
    <w:rsid w:val="00A70E0D"/>
    <w:rsid w:val="00A71CA0"/>
    <w:rsid w:val="00A72B0B"/>
    <w:rsid w:val="00A73B02"/>
    <w:rsid w:val="00A77DDC"/>
    <w:rsid w:val="00A80EFB"/>
    <w:rsid w:val="00A91BC0"/>
    <w:rsid w:val="00A94CD6"/>
    <w:rsid w:val="00A95153"/>
    <w:rsid w:val="00A95195"/>
    <w:rsid w:val="00AA300E"/>
    <w:rsid w:val="00AA4972"/>
    <w:rsid w:val="00AB03DF"/>
    <w:rsid w:val="00AB1D0C"/>
    <w:rsid w:val="00AC1D1B"/>
    <w:rsid w:val="00AC3B36"/>
    <w:rsid w:val="00AC4EAF"/>
    <w:rsid w:val="00AC6D6C"/>
    <w:rsid w:val="00AD0FBC"/>
    <w:rsid w:val="00AD273A"/>
    <w:rsid w:val="00AD2D52"/>
    <w:rsid w:val="00AD49B0"/>
    <w:rsid w:val="00AD5567"/>
    <w:rsid w:val="00AD6D05"/>
    <w:rsid w:val="00AF0A89"/>
    <w:rsid w:val="00AF2334"/>
    <w:rsid w:val="00AF3469"/>
    <w:rsid w:val="00AF3B3C"/>
    <w:rsid w:val="00AF709F"/>
    <w:rsid w:val="00B00F38"/>
    <w:rsid w:val="00B017E6"/>
    <w:rsid w:val="00B038AF"/>
    <w:rsid w:val="00B039DE"/>
    <w:rsid w:val="00B05272"/>
    <w:rsid w:val="00B07E7E"/>
    <w:rsid w:val="00B126D1"/>
    <w:rsid w:val="00B1680F"/>
    <w:rsid w:val="00B20C69"/>
    <w:rsid w:val="00B23834"/>
    <w:rsid w:val="00B24B22"/>
    <w:rsid w:val="00B259C1"/>
    <w:rsid w:val="00B26B00"/>
    <w:rsid w:val="00B30305"/>
    <w:rsid w:val="00B43C79"/>
    <w:rsid w:val="00B4518C"/>
    <w:rsid w:val="00B456EC"/>
    <w:rsid w:val="00B532D4"/>
    <w:rsid w:val="00B53A2F"/>
    <w:rsid w:val="00B53E64"/>
    <w:rsid w:val="00B62183"/>
    <w:rsid w:val="00B6326F"/>
    <w:rsid w:val="00B644FB"/>
    <w:rsid w:val="00B65396"/>
    <w:rsid w:val="00B768AF"/>
    <w:rsid w:val="00B8030B"/>
    <w:rsid w:val="00B82A6B"/>
    <w:rsid w:val="00B8597C"/>
    <w:rsid w:val="00B85AD6"/>
    <w:rsid w:val="00B8755D"/>
    <w:rsid w:val="00B90012"/>
    <w:rsid w:val="00B93205"/>
    <w:rsid w:val="00B93A55"/>
    <w:rsid w:val="00BA2629"/>
    <w:rsid w:val="00BA6F46"/>
    <w:rsid w:val="00BB2EBA"/>
    <w:rsid w:val="00BB7CA1"/>
    <w:rsid w:val="00BC1C68"/>
    <w:rsid w:val="00BC20DE"/>
    <w:rsid w:val="00BC3CE7"/>
    <w:rsid w:val="00BC57F5"/>
    <w:rsid w:val="00BC7D61"/>
    <w:rsid w:val="00BD1349"/>
    <w:rsid w:val="00BD2B1D"/>
    <w:rsid w:val="00BD39D4"/>
    <w:rsid w:val="00BD4C0E"/>
    <w:rsid w:val="00BD4F7B"/>
    <w:rsid w:val="00BD51DA"/>
    <w:rsid w:val="00BD6A12"/>
    <w:rsid w:val="00BE2184"/>
    <w:rsid w:val="00BF1F45"/>
    <w:rsid w:val="00BF6CCE"/>
    <w:rsid w:val="00C008BC"/>
    <w:rsid w:val="00C1053A"/>
    <w:rsid w:val="00C14DA2"/>
    <w:rsid w:val="00C15A10"/>
    <w:rsid w:val="00C15B1F"/>
    <w:rsid w:val="00C216B6"/>
    <w:rsid w:val="00C23F91"/>
    <w:rsid w:val="00C25CFD"/>
    <w:rsid w:val="00C268BE"/>
    <w:rsid w:val="00C302DB"/>
    <w:rsid w:val="00C305B6"/>
    <w:rsid w:val="00C30B32"/>
    <w:rsid w:val="00C32062"/>
    <w:rsid w:val="00C32DB1"/>
    <w:rsid w:val="00C32E62"/>
    <w:rsid w:val="00C35ABC"/>
    <w:rsid w:val="00C35E95"/>
    <w:rsid w:val="00C40E70"/>
    <w:rsid w:val="00C410BC"/>
    <w:rsid w:val="00C434C9"/>
    <w:rsid w:val="00C53280"/>
    <w:rsid w:val="00C56EE3"/>
    <w:rsid w:val="00C65937"/>
    <w:rsid w:val="00C67602"/>
    <w:rsid w:val="00C71191"/>
    <w:rsid w:val="00C71FDE"/>
    <w:rsid w:val="00C7453D"/>
    <w:rsid w:val="00C77847"/>
    <w:rsid w:val="00C811AA"/>
    <w:rsid w:val="00C81930"/>
    <w:rsid w:val="00C845C8"/>
    <w:rsid w:val="00C85D0E"/>
    <w:rsid w:val="00C86385"/>
    <w:rsid w:val="00C86D65"/>
    <w:rsid w:val="00C902D6"/>
    <w:rsid w:val="00C9095E"/>
    <w:rsid w:val="00C9184D"/>
    <w:rsid w:val="00C91A04"/>
    <w:rsid w:val="00C91C97"/>
    <w:rsid w:val="00C9236D"/>
    <w:rsid w:val="00C96319"/>
    <w:rsid w:val="00CA23A4"/>
    <w:rsid w:val="00CB0240"/>
    <w:rsid w:val="00CB0F71"/>
    <w:rsid w:val="00CB3071"/>
    <w:rsid w:val="00CB6313"/>
    <w:rsid w:val="00CC17F8"/>
    <w:rsid w:val="00CC1A04"/>
    <w:rsid w:val="00CC27F3"/>
    <w:rsid w:val="00CC2FFA"/>
    <w:rsid w:val="00CC5F07"/>
    <w:rsid w:val="00CC7B1F"/>
    <w:rsid w:val="00CD0E8E"/>
    <w:rsid w:val="00CD33A6"/>
    <w:rsid w:val="00CD3CA4"/>
    <w:rsid w:val="00CD406C"/>
    <w:rsid w:val="00CD6210"/>
    <w:rsid w:val="00CD6C01"/>
    <w:rsid w:val="00CD7BD8"/>
    <w:rsid w:val="00CE2F6D"/>
    <w:rsid w:val="00CE3A0F"/>
    <w:rsid w:val="00CE4EC5"/>
    <w:rsid w:val="00CE7D8A"/>
    <w:rsid w:val="00CF0EF4"/>
    <w:rsid w:val="00CF2F3F"/>
    <w:rsid w:val="00CF4090"/>
    <w:rsid w:val="00D01352"/>
    <w:rsid w:val="00D02487"/>
    <w:rsid w:val="00D02BC6"/>
    <w:rsid w:val="00D042FC"/>
    <w:rsid w:val="00D0451A"/>
    <w:rsid w:val="00D0677D"/>
    <w:rsid w:val="00D1320E"/>
    <w:rsid w:val="00D168AA"/>
    <w:rsid w:val="00D20932"/>
    <w:rsid w:val="00D26223"/>
    <w:rsid w:val="00D27F21"/>
    <w:rsid w:val="00D3288E"/>
    <w:rsid w:val="00D3423A"/>
    <w:rsid w:val="00D36836"/>
    <w:rsid w:val="00D41484"/>
    <w:rsid w:val="00D442DA"/>
    <w:rsid w:val="00D45864"/>
    <w:rsid w:val="00D460A6"/>
    <w:rsid w:val="00D50B8C"/>
    <w:rsid w:val="00D52302"/>
    <w:rsid w:val="00D53B3E"/>
    <w:rsid w:val="00D55BC9"/>
    <w:rsid w:val="00D57A72"/>
    <w:rsid w:val="00D621AF"/>
    <w:rsid w:val="00D64BBF"/>
    <w:rsid w:val="00D6700C"/>
    <w:rsid w:val="00D72A12"/>
    <w:rsid w:val="00D74631"/>
    <w:rsid w:val="00D767E4"/>
    <w:rsid w:val="00D81BE8"/>
    <w:rsid w:val="00D851B5"/>
    <w:rsid w:val="00D86668"/>
    <w:rsid w:val="00D874AC"/>
    <w:rsid w:val="00D91DBE"/>
    <w:rsid w:val="00D95A5F"/>
    <w:rsid w:val="00D97D5D"/>
    <w:rsid w:val="00DA0751"/>
    <w:rsid w:val="00DA0D8C"/>
    <w:rsid w:val="00DB00C7"/>
    <w:rsid w:val="00DB4562"/>
    <w:rsid w:val="00DB6738"/>
    <w:rsid w:val="00DB7DF7"/>
    <w:rsid w:val="00DC0941"/>
    <w:rsid w:val="00DC54A5"/>
    <w:rsid w:val="00DC593F"/>
    <w:rsid w:val="00DC6DCF"/>
    <w:rsid w:val="00DD6D62"/>
    <w:rsid w:val="00DE4323"/>
    <w:rsid w:val="00DE4B24"/>
    <w:rsid w:val="00DE4F43"/>
    <w:rsid w:val="00DE634D"/>
    <w:rsid w:val="00DF1774"/>
    <w:rsid w:val="00DF479C"/>
    <w:rsid w:val="00DF5FDC"/>
    <w:rsid w:val="00DF66F8"/>
    <w:rsid w:val="00E00845"/>
    <w:rsid w:val="00E010A2"/>
    <w:rsid w:val="00E032ED"/>
    <w:rsid w:val="00E053EB"/>
    <w:rsid w:val="00E05B4E"/>
    <w:rsid w:val="00E05F6E"/>
    <w:rsid w:val="00E13C8E"/>
    <w:rsid w:val="00E146AC"/>
    <w:rsid w:val="00E14B09"/>
    <w:rsid w:val="00E15CD2"/>
    <w:rsid w:val="00E16DBB"/>
    <w:rsid w:val="00E23232"/>
    <w:rsid w:val="00E2392C"/>
    <w:rsid w:val="00E25CB4"/>
    <w:rsid w:val="00E300C3"/>
    <w:rsid w:val="00E349D7"/>
    <w:rsid w:val="00E35D6B"/>
    <w:rsid w:val="00E35DE0"/>
    <w:rsid w:val="00E36B51"/>
    <w:rsid w:val="00E401DB"/>
    <w:rsid w:val="00E442D0"/>
    <w:rsid w:val="00E45305"/>
    <w:rsid w:val="00E45B2D"/>
    <w:rsid w:val="00E5069D"/>
    <w:rsid w:val="00E50C14"/>
    <w:rsid w:val="00E51684"/>
    <w:rsid w:val="00E52AD5"/>
    <w:rsid w:val="00E52B12"/>
    <w:rsid w:val="00E533C8"/>
    <w:rsid w:val="00E53B29"/>
    <w:rsid w:val="00E53C77"/>
    <w:rsid w:val="00E5517F"/>
    <w:rsid w:val="00E56B36"/>
    <w:rsid w:val="00E57788"/>
    <w:rsid w:val="00E57DB6"/>
    <w:rsid w:val="00E63BCF"/>
    <w:rsid w:val="00E64650"/>
    <w:rsid w:val="00E6554A"/>
    <w:rsid w:val="00E668D1"/>
    <w:rsid w:val="00E744C3"/>
    <w:rsid w:val="00E74A1C"/>
    <w:rsid w:val="00E76C1B"/>
    <w:rsid w:val="00E808D2"/>
    <w:rsid w:val="00E82DBA"/>
    <w:rsid w:val="00E84AD3"/>
    <w:rsid w:val="00E868B5"/>
    <w:rsid w:val="00E870E9"/>
    <w:rsid w:val="00E90BDB"/>
    <w:rsid w:val="00E939A7"/>
    <w:rsid w:val="00E96BA2"/>
    <w:rsid w:val="00E96C7C"/>
    <w:rsid w:val="00EA04E2"/>
    <w:rsid w:val="00EA18D4"/>
    <w:rsid w:val="00EA3740"/>
    <w:rsid w:val="00EA44CF"/>
    <w:rsid w:val="00EB0C47"/>
    <w:rsid w:val="00EB21D6"/>
    <w:rsid w:val="00EB3AF8"/>
    <w:rsid w:val="00EB5733"/>
    <w:rsid w:val="00EB6665"/>
    <w:rsid w:val="00EB6F50"/>
    <w:rsid w:val="00EC0FCC"/>
    <w:rsid w:val="00EC1B7F"/>
    <w:rsid w:val="00EC1D3B"/>
    <w:rsid w:val="00EC2273"/>
    <w:rsid w:val="00ED05AB"/>
    <w:rsid w:val="00ED6B1D"/>
    <w:rsid w:val="00EE03C0"/>
    <w:rsid w:val="00EE1250"/>
    <w:rsid w:val="00EE19E9"/>
    <w:rsid w:val="00EE3A32"/>
    <w:rsid w:val="00EF3796"/>
    <w:rsid w:val="00F01D39"/>
    <w:rsid w:val="00F0435D"/>
    <w:rsid w:val="00F0473E"/>
    <w:rsid w:val="00F05A5B"/>
    <w:rsid w:val="00F147A5"/>
    <w:rsid w:val="00F14A8C"/>
    <w:rsid w:val="00F16B74"/>
    <w:rsid w:val="00F17BDC"/>
    <w:rsid w:val="00F2072F"/>
    <w:rsid w:val="00F21E81"/>
    <w:rsid w:val="00F22F6B"/>
    <w:rsid w:val="00F24AEE"/>
    <w:rsid w:val="00F272D8"/>
    <w:rsid w:val="00F36E90"/>
    <w:rsid w:val="00F37B27"/>
    <w:rsid w:val="00F43098"/>
    <w:rsid w:val="00F46E23"/>
    <w:rsid w:val="00F55CC3"/>
    <w:rsid w:val="00F64A74"/>
    <w:rsid w:val="00F65FF1"/>
    <w:rsid w:val="00F66A56"/>
    <w:rsid w:val="00F678F5"/>
    <w:rsid w:val="00F70A78"/>
    <w:rsid w:val="00F71C7B"/>
    <w:rsid w:val="00F74EFF"/>
    <w:rsid w:val="00F7531F"/>
    <w:rsid w:val="00F760F7"/>
    <w:rsid w:val="00F76226"/>
    <w:rsid w:val="00F82879"/>
    <w:rsid w:val="00F84124"/>
    <w:rsid w:val="00F84FEA"/>
    <w:rsid w:val="00F85DA2"/>
    <w:rsid w:val="00F87908"/>
    <w:rsid w:val="00F943A2"/>
    <w:rsid w:val="00FA03D0"/>
    <w:rsid w:val="00FA3DFD"/>
    <w:rsid w:val="00FA658A"/>
    <w:rsid w:val="00FB3AF0"/>
    <w:rsid w:val="00FB5266"/>
    <w:rsid w:val="00FB67A1"/>
    <w:rsid w:val="00FC0C5F"/>
    <w:rsid w:val="00FC709F"/>
    <w:rsid w:val="00FD025A"/>
    <w:rsid w:val="00FD352D"/>
    <w:rsid w:val="00FD3743"/>
    <w:rsid w:val="00FE537D"/>
    <w:rsid w:val="00FE5EC6"/>
    <w:rsid w:val="00FF67A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92171C"/>
  <w15:docId w15:val="{69B50081-231F-4A33-9D31-71DB2C4C7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E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516C61"/>
    <w:rPr>
      <w:rFonts w:ascii="Times New Roman" w:eastAsia="Times New Roman" w:hAnsi="Times New Roman" w:cs="Times New Roman"/>
      <w:kern w:val="0"/>
      <w:lang w:val="en-GB" w:eastAsia="es-ES_tradnl"/>
      <w14:ligatures w14:val="none"/>
    </w:rPr>
  </w:style>
  <w:style w:type="paragraph" w:styleId="Nadpis1">
    <w:name w:val="heading 1"/>
    <w:basedOn w:val="Normln"/>
    <w:next w:val="Normln"/>
    <w:link w:val="Nadpis1Char"/>
    <w:uiPriority w:val="9"/>
    <w:qFormat/>
    <w:rsid w:val="00D27F2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Nadpis2">
    <w:name w:val="heading 2"/>
    <w:basedOn w:val="Normln"/>
    <w:next w:val="Normln"/>
    <w:link w:val="Nadpis2Char"/>
    <w:uiPriority w:val="9"/>
    <w:unhideWhenUsed/>
    <w:qFormat/>
    <w:rsid w:val="00D27F21"/>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Nadpis4">
    <w:name w:val="heading 4"/>
    <w:basedOn w:val="Normln"/>
    <w:next w:val="Normln"/>
    <w:link w:val="Nadpis4Char"/>
    <w:uiPriority w:val="9"/>
    <w:unhideWhenUsed/>
    <w:qFormat/>
    <w:rsid w:val="00CD33A6"/>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basedOn w:val="Normln"/>
    <w:uiPriority w:val="34"/>
    <w:qFormat/>
    <w:rsid w:val="00443FBD"/>
    <w:pPr>
      <w:ind w:left="720"/>
      <w:contextualSpacing/>
    </w:pPr>
  </w:style>
  <w:style w:type="table" w:styleId="Mkatabulky">
    <w:name w:val="Table Grid"/>
    <w:basedOn w:val="Normlntabulka"/>
    <w:uiPriority w:val="39"/>
    <w:rsid w:val="00443FBD"/>
    <w:rPr>
      <w:rFonts w:eastAsiaTheme="minorEastAsia"/>
      <w:sz w:val="22"/>
      <w:szCs w:val="22"/>
      <w:lang w:val="ca-ES" w:eastAsia="ca-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lnweb">
    <w:name w:val="Normal (Web)"/>
    <w:basedOn w:val="Normln"/>
    <w:uiPriority w:val="99"/>
    <w:unhideWhenUsed/>
    <w:rsid w:val="00505929"/>
    <w:pPr>
      <w:spacing w:before="100" w:beforeAutospacing="1" w:after="100" w:afterAutospacing="1"/>
    </w:pPr>
  </w:style>
  <w:style w:type="character" w:styleId="Hypertextovodkaz">
    <w:name w:val="Hyperlink"/>
    <w:basedOn w:val="Standardnpsmoodstavce"/>
    <w:uiPriority w:val="99"/>
    <w:unhideWhenUsed/>
    <w:rsid w:val="00E15CD2"/>
    <w:rPr>
      <w:color w:val="0563C1" w:themeColor="hyperlink"/>
      <w:u w:val="single"/>
    </w:rPr>
  </w:style>
  <w:style w:type="character" w:customStyle="1" w:styleId="Mentionnonrsolue1">
    <w:name w:val="Mention non résolue1"/>
    <w:basedOn w:val="Standardnpsmoodstavce"/>
    <w:uiPriority w:val="99"/>
    <w:semiHidden/>
    <w:unhideWhenUsed/>
    <w:rsid w:val="00E15CD2"/>
    <w:rPr>
      <w:color w:val="605E5C"/>
      <w:shd w:val="clear" w:color="auto" w:fill="E1DFDD"/>
    </w:rPr>
  </w:style>
  <w:style w:type="paragraph" w:styleId="Textpoznpodarou">
    <w:name w:val="footnote text"/>
    <w:basedOn w:val="Normln"/>
    <w:link w:val="TextpoznpodarouChar"/>
    <w:uiPriority w:val="99"/>
    <w:semiHidden/>
    <w:unhideWhenUsed/>
    <w:rsid w:val="00EC2273"/>
    <w:rPr>
      <w:sz w:val="20"/>
      <w:szCs w:val="20"/>
    </w:rPr>
  </w:style>
  <w:style w:type="character" w:customStyle="1" w:styleId="TextpoznpodarouChar">
    <w:name w:val="Text pozn. pod čarou Char"/>
    <w:basedOn w:val="Standardnpsmoodstavce"/>
    <w:link w:val="Textpoznpodarou"/>
    <w:uiPriority w:val="99"/>
    <w:semiHidden/>
    <w:rsid w:val="00EC2273"/>
    <w:rPr>
      <w:rFonts w:eastAsiaTheme="minorEastAsia"/>
      <w:sz w:val="20"/>
      <w:szCs w:val="20"/>
      <w:lang w:val="ca-ES" w:eastAsia="ca-ES"/>
    </w:rPr>
  </w:style>
  <w:style w:type="character" w:styleId="Znakapoznpodarou">
    <w:name w:val="footnote reference"/>
    <w:basedOn w:val="Standardnpsmoodstavce"/>
    <w:uiPriority w:val="99"/>
    <w:semiHidden/>
    <w:unhideWhenUsed/>
    <w:rsid w:val="00EC2273"/>
    <w:rPr>
      <w:vertAlign w:val="superscript"/>
    </w:rPr>
  </w:style>
  <w:style w:type="character" w:customStyle="1" w:styleId="apple-tab-span">
    <w:name w:val="apple-tab-span"/>
    <w:basedOn w:val="Standardnpsmoodstavce"/>
    <w:rsid w:val="007F272B"/>
  </w:style>
  <w:style w:type="paragraph" w:styleId="Zpat">
    <w:name w:val="footer"/>
    <w:basedOn w:val="Normln"/>
    <w:link w:val="ZpatChar"/>
    <w:uiPriority w:val="99"/>
    <w:unhideWhenUsed/>
    <w:rsid w:val="00101A66"/>
    <w:pPr>
      <w:tabs>
        <w:tab w:val="center" w:pos="4252"/>
        <w:tab w:val="right" w:pos="8504"/>
      </w:tabs>
    </w:pPr>
  </w:style>
  <w:style w:type="character" w:customStyle="1" w:styleId="ZpatChar">
    <w:name w:val="Zápatí Char"/>
    <w:basedOn w:val="Standardnpsmoodstavce"/>
    <w:link w:val="Zpat"/>
    <w:uiPriority w:val="99"/>
    <w:rsid w:val="00101A66"/>
    <w:rPr>
      <w:rFonts w:eastAsiaTheme="minorEastAsia"/>
      <w:sz w:val="22"/>
      <w:szCs w:val="22"/>
      <w:lang w:val="ca-ES" w:eastAsia="ca-ES"/>
    </w:rPr>
  </w:style>
  <w:style w:type="character" w:styleId="slostrnky">
    <w:name w:val="page number"/>
    <w:basedOn w:val="Standardnpsmoodstavce"/>
    <w:uiPriority w:val="99"/>
    <w:semiHidden/>
    <w:unhideWhenUsed/>
    <w:rsid w:val="00101A66"/>
  </w:style>
  <w:style w:type="paragraph" w:styleId="FormtovanvHTML">
    <w:name w:val="HTML Preformatted"/>
    <w:basedOn w:val="Normln"/>
    <w:link w:val="FormtovanvHTMLChar"/>
    <w:uiPriority w:val="99"/>
    <w:unhideWhenUsed/>
    <w:rsid w:val="00E808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FormtovanvHTMLChar">
    <w:name w:val="Formátovaný v HTML Char"/>
    <w:basedOn w:val="Standardnpsmoodstavce"/>
    <w:link w:val="FormtovanvHTML"/>
    <w:uiPriority w:val="99"/>
    <w:rsid w:val="00E808D2"/>
    <w:rPr>
      <w:rFonts w:ascii="Courier New" w:eastAsia="Times New Roman" w:hAnsi="Courier New" w:cs="Courier New"/>
      <w:kern w:val="0"/>
      <w:sz w:val="20"/>
      <w:szCs w:val="20"/>
      <w:lang w:eastAsia="es-ES_tradnl"/>
      <w14:ligatures w14:val="none"/>
    </w:rPr>
  </w:style>
  <w:style w:type="character" w:customStyle="1" w:styleId="y2iqfc">
    <w:name w:val="y2iqfc"/>
    <w:basedOn w:val="Standardnpsmoodstavce"/>
    <w:rsid w:val="00E808D2"/>
  </w:style>
  <w:style w:type="character" w:customStyle="1" w:styleId="apple-converted-space">
    <w:name w:val="apple-converted-space"/>
    <w:basedOn w:val="Standardnpsmoodstavce"/>
    <w:rsid w:val="0000203F"/>
  </w:style>
  <w:style w:type="paragraph" w:customStyle="1" w:styleId="Normal1">
    <w:name w:val="Normal1"/>
    <w:basedOn w:val="Normln"/>
    <w:rsid w:val="000541A5"/>
    <w:pPr>
      <w:spacing w:before="100" w:beforeAutospacing="1" w:after="100" w:afterAutospacing="1"/>
    </w:pPr>
    <w:rPr>
      <w:lang w:val="ca-ES" w:eastAsia="ca-ES"/>
    </w:rPr>
  </w:style>
  <w:style w:type="character" w:customStyle="1" w:styleId="outputecliaff">
    <w:name w:val="outputecliaff"/>
    <w:basedOn w:val="Standardnpsmoodstavce"/>
    <w:rsid w:val="00C65937"/>
  </w:style>
  <w:style w:type="character" w:customStyle="1" w:styleId="hgkelc">
    <w:name w:val="hgkelc"/>
    <w:basedOn w:val="Standardnpsmoodstavce"/>
    <w:rsid w:val="00974680"/>
  </w:style>
  <w:style w:type="character" w:styleId="Zdraznn">
    <w:name w:val="Emphasis"/>
    <w:basedOn w:val="Standardnpsmoodstavce"/>
    <w:uiPriority w:val="20"/>
    <w:qFormat/>
    <w:rsid w:val="00B6326F"/>
    <w:rPr>
      <w:i/>
      <w:iCs/>
    </w:rPr>
  </w:style>
  <w:style w:type="table" w:customStyle="1" w:styleId="Taulaambquadrcula1">
    <w:name w:val="Taula amb quadrícula1"/>
    <w:basedOn w:val="Normlntabulka"/>
    <w:uiPriority w:val="39"/>
    <w:rsid w:val="00B05272"/>
    <w:rPr>
      <w:rFonts w:eastAsia="Times New Roman"/>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01pointnumerotealtn">
    <w:name w:val="c01pointnumerotealtn"/>
    <w:basedOn w:val="Normln"/>
    <w:rsid w:val="0030456A"/>
    <w:pPr>
      <w:spacing w:before="100" w:beforeAutospacing="1" w:after="100" w:afterAutospacing="1"/>
    </w:pPr>
    <w:rPr>
      <w:lang w:val="ca-ES" w:eastAsia="ca-ES"/>
    </w:rPr>
  </w:style>
  <w:style w:type="paragraph" w:styleId="Revize">
    <w:name w:val="Revision"/>
    <w:hidden/>
    <w:uiPriority w:val="99"/>
    <w:semiHidden/>
    <w:rsid w:val="00111E17"/>
    <w:rPr>
      <w:rFonts w:ascii="Times New Roman" w:eastAsia="Times New Roman" w:hAnsi="Times New Roman" w:cs="Times New Roman"/>
      <w:kern w:val="0"/>
      <w:lang w:eastAsia="es-ES_tradnl"/>
      <w14:ligatures w14:val="none"/>
    </w:rPr>
  </w:style>
  <w:style w:type="character" w:styleId="Siln">
    <w:name w:val="Strong"/>
    <w:basedOn w:val="Standardnpsmoodstavce"/>
    <w:uiPriority w:val="22"/>
    <w:qFormat/>
    <w:rsid w:val="000A402F"/>
    <w:rPr>
      <w:b/>
      <w:bCs/>
    </w:rPr>
  </w:style>
  <w:style w:type="character" w:styleId="Odkaznakoment">
    <w:name w:val="annotation reference"/>
    <w:basedOn w:val="Standardnpsmoodstavce"/>
    <w:uiPriority w:val="99"/>
    <w:semiHidden/>
    <w:unhideWhenUsed/>
    <w:rsid w:val="00C15B1F"/>
    <w:rPr>
      <w:sz w:val="16"/>
      <w:szCs w:val="16"/>
    </w:rPr>
  </w:style>
  <w:style w:type="paragraph" w:styleId="Textkomente">
    <w:name w:val="annotation text"/>
    <w:basedOn w:val="Normln"/>
    <w:link w:val="TextkomenteChar"/>
    <w:uiPriority w:val="99"/>
    <w:unhideWhenUsed/>
    <w:rsid w:val="00C15B1F"/>
    <w:rPr>
      <w:sz w:val="20"/>
      <w:szCs w:val="20"/>
    </w:rPr>
  </w:style>
  <w:style w:type="character" w:customStyle="1" w:styleId="TextkomenteChar">
    <w:name w:val="Text komentáře Char"/>
    <w:basedOn w:val="Standardnpsmoodstavce"/>
    <w:link w:val="Textkomente"/>
    <w:uiPriority w:val="99"/>
    <w:rsid w:val="00C15B1F"/>
    <w:rPr>
      <w:rFonts w:ascii="Times New Roman" w:eastAsia="Times New Roman" w:hAnsi="Times New Roman" w:cs="Times New Roman"/>
      <w:kern w:val="0"/>
      <w:sz w:val="20"/>
      <w:szCs w:val="20"/>
      <w:lang w:eastAsia="es-ES_tradnl"/>
      <w14:ligatures w14:val="none"/>
    </w:rPr>
  </w:style>
  <w:style w:type="paragraph" w:styleId="Pedmtkomente">
    <w:name w:val="annotation subject"/>
    <w:basedOn w:val="Textkomente"/>
    <w:next w:val="Textkomente"/>
    <w:link w:val="PedmtkomenteChar"/>
    <w:uiPriority w:val="99"/>
    <w:semiHidden/>
    <w:unhideWhenUsed/>
    <w:rsid w:val="00C15B1F"/>
    <w:rPr>
      <w:b/>
      <w:bCs/>
    </w:rPr>
  </w:style>
  <w:style w:type="character" w:customStyle="1" w:styleId="PedmtkomenteChar">
    <w:name w:val="Předmět komentáře Char"/>
    <w:basedOn w:val="TextkomenteChar"/>
    <w:link w:val="Pedmtkomente"/>
    <w:uiPriority w:val="99"/>
    <w:semiHidden/>
    <w:rsid w:val="00C15B1F"/>
    <w:rPr>
      <w:rFonts w:ascii="Times New Roman" w:eastAsia="Times New Roman" w:hAnsi="Times New Roman" w:cs="Times New Roman"/>
      <w:b/>
      <w:bCs/>
      <w:kern w:val="0"/>
      <w:sz w:val="20"/>
      <w:szCs w:val="20"/>
      <w:lang w:eastAsia="es-ES_tradnl"/>
      <w14:ligatures w14:val="none"/>
    </w:rPr>
  </w:style>
  <w:style w:type="character" w:customStyle="1" w:styleId="Nadpis1Char">
    <w:name w:val="Nadpis 1 Char"/>
    <w:basedOn w:val="Standardnpsmoodstavce"/>
    <w:link w:val="Nadpis1"/>
    <w:uiPriority w:val="9"/>
    <w:rsid w:val="00D27F21"/>
    <w:rPr>
      <w:rFonts w:asciiTheme="majorHAnsi" w:eastAsiaTheme="majorEastAsia" w:hAnsiTheme="majorHAnsi" w:cstheme="majorBidi"/>
      <w:color w:val="2F5496" w:themeColor="accent1" w:themeShade="BF"/>
      <w:kern w:val="0"/>
      <w:sz w:val="32"/>
      <w:szCs w:val="32"/>
      <w:lang w:val="en-GB" w:eastAsia="es-ES_tradnl"/>
      <w14:ligatures w14:val="none"/>
    </w:rPr>
  </w:style>
  <w:style w:type="character" w:customStyle="1" w:styleId="Nadpis2Char">
    <w:name w:val="Nadpis 2 Char"/>
    <w:basedOn w:val="Standardnpsmoodstavce"/>
    <w:link w:val="Nadpis2"/>
    <w:uiPriority w:val="9"/>
    <w:rsid w:val="00D27F21"/>
    <w:rPr>
      <w:rFonts w:asciiTheme="majorHAnsi" w:eastAsiaTheme="majorEastAsia" w:hAnsiTheme="majorHAnsi" w:cstheme="majorBidi"/>
      <w:color w:val="2F5496" w:themeColor="accent1" w:themeShade="BF"/>
      <w:kern w:val="0"/>
      <w:sz w:val="26"/>
      <w:szCs w:val="26"/>
      <w:lang w:val="en-GB" w:eastAsia="es-ES_tradnl"/>
      <w14:ligatures w14:val="none"/>
    </w:rPr>
  </w:style>
  <w:style w:type="paragraph" w:styleId="Nzev">
    <w:name w:val="Title"/>
    <w:basedOn w:val="Normln"/>
    <w:next w:val="Normln"/>
    <w:link w:val="NzevChar"/>
    <w:uiPriority w:val="10"/>
    <w:qFormat/>
    <w:rsid w:val="00D27F21"/>
    <w:pPr>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D27F21"/>
    <w:rPr>
      <w:rFonts w:asciiTheme="majorHAnsi" w:eastAsiaTheme="majorEastAsia" w:hAnsiTheme="majorHAnsi" w:cstheme="majorBidi"/>
      <w:spacing w:val="-10"/>
      <w:kern w:val="28"/>
      <w:sz w:val="56"/>
      <w:szCs w:val="56"/>
      <w:lang w:val="en-GB" w:eastAsia="es-ES_tradnl"/>
      <w14:ligatures w14:val="none"/>
    </w:rPr>
  </w:style>
  <w:style w:type="paragraph" w:styleId="Nadpisobsahu">
    <w:name w:val="TOC Heading"/>
    <w:basedOn w:val="Nadpis1"/>
    <w:next w:val="Normln"/>
    <w:uiPriority w:val="39"/>
    <w:unhideWhenUsed/>
    <w:qFormat/>
    <w:rsid w:val="003730B8"/>
    <w:pPr>
      <w:spacing w:line="259" w:lineRule="auto"/>
      <w:outlineLvl w:val="9"/>
    </w:pPr>
    <w:rPr>
      <w:lang w:val="fr-FR" w:eastAsia="fr-FR"/>
    </w:rPr>
  </w:style>
  <w:style w:type="paragraph" w:styleId="Obsah1">
    <w:name w:val="toc 1"/>
    <w:basedOn w:val="Normln"/>
    <w:next w:val="Normln"/>
    <w:autoRedefine/>
    <w:uiPriority w:val="39"/>
    <w:unhideWhenUsed/>
    <w:rsid w:val="008A7603"/>
    <w:pPr>
      <w:tabs>
        <w:tab w:val="left" w:pos="480"/>
        <w:tab w:val="right" w:leader="dot" w:pos="8494"/>
      </w:tabs>
      <w:spacing w:after="100"/>
    </w:pPr>
    <w:rPr>
      <w:rFonts w:asciiTheme="majorHAnsi" w:hAnsiTheme="majorHAnsi" w:cstheme="majorHAnsi"/>
      <w:b/>
      <w:bCs/>
      <w:noProof/>
      <w:color w:val="201A3F"/>
    </w:rPr>
  </w:style>
  <w:style w:type="paragraph" w:styleId="Obsah2">
    <w:name w:val="toc 2"/>
    <w:basedOn w:val="Normln"/>
    <w:next w:val="Normln"/>
    <w:autoRedefine/>
    <w:uiPriority w:val="39"/>
    <w:unhideWhenUsed/>
    <w:rsid w:val="00E744C3"/>
    <w:pPr>
      <w:tabs>
        <w:tab w:val="right" w:leader="dot" w:pos="8494"/>
      </w:tabs>
      <w:spacing w:after="100"/>
      <w:ind w:left="240"/>
    </w:pPr>
    <w:rPr>
      <w:rFonts w:asciiTheme="minorHAnsi" w:hAnsiTheme="minorHAnsi" w:cstheme="minorHAnsi"/>
      <w:noProof/>
    </w:rPr>
  </w:style>
  <w:style w:type="character" w:styleId="Nevyeenzmnka">
    <w:name w:val="Unresolved Mention"/>
    <w:basedOn w:val="Standardnpsmoodstavce"/>
    <w:uiPriority w:val="99"/>
    <w:semiHidden/>
    <w:unhideWhenUsed/>
    <w:rsid w:val="00021892"/>
    <w:rPr>
      <w:color w:val="605E5C"/>
      <w:shd w:val="clear" w:color="auto" w:fill="E1DFDD"/>
    </w:rPr>
  </w:style>
  <w:style w:type="character" w:customStyle="1" w:styleId="cf01">
    <w:name w:val="cf01"/>
    <w:basedOn w:val="Standardnpsmoodstavce"/>
    <w:rsid w:val="004A3B2F"/>
    <w:rPr>
      <w:rFonts w:ascii="Segoe UI" w:hAnsi="Segoe UI" w:cs="Segoe UI" w:hint="default"/>
      <w:sz w:val="18"/>
      <w:szCs w:val="18"/>
    </w:rPr>
  </w:style>
  <w:style w:type="paragraph" w:styleId="Zhlav">
    <w:name w:val="header"/>
    <w:basedOn w:val="Normln"/>
    <w:link w:val="ZhlavChar"/>
    <w:uiPriority w:val="99"/>
    <w:unhideWhenUsed/>
    <w:rsid w:val="00A01885"/>
    <w:pPr>
      <w:tabs>
        <w:tab w:val="center" w:pos="4536"/>
        <w:tab w:val="right" w:pos="9072"/>
      </w:tabs>
    </w:pPr>
  </w:style>
  <w:style w:type="character" w:customStyle="1" w:styleId="ZhlavChar">
    <w:name w:val="Záhlaví Char"/>
    <w:basedOn w:val="Standardnpsmoodstavce"/>
    <w:link w:val="Zhlav"/>
    <w:uiPriority w:val="99"/>
    <w:rsid w:val="00A01885"/>
    <w:rPr>
      <w:rFonts w:ascii="Times New Roman" w:eastAsia="Times New Roman" w:hAnsi="Times New Roman" w:cs="Times New Roman"/>
      <w:kern w:val="0"/>
      <w:lang w:val="en-GB" w:eastAsia="es-ES_tradnl"/>
      <w14:ligatures w14:val="none"/>
    </w:rPr>
  </w:style>
  <w:style w:type="character" w:customStyle="1" w:styleId="Nadpis4Char">
    <w:name w:val="Nadpis 4 Char"/>
    <w:basedOn w:val="Standardnpsmoodstavce"/>
    <w:link w:val="Nadpis4"/>
    <w:uiPriority w:val="9"/>
    <w:rsid w:val="00CD33A6"/>
    <w:rPr>
      <w:rFonts w:asciiTheme="majorHAnsi" w:eastAsiaTheme="majorEastAsia" w:hAnsiTheme="majorHAnsi" w:cstheme="majorBidi"/>
      <w:i/>
      <w:iCs/>
      <w:color w:val="2F5496" w:themeColor="accent1" w:themeShade="BF"/>
      <w:kern w:val="0"/>
      <w:lang w:val="en-GB" w:eastAsia="es-ES_tradnl"/>
      <w14:ligatures w14:val="none"/>
    </w:rPr>
  </w:style>
  <w:style w:type="paragraph" w:styleId="Obsah3">
    <w:name w:val="toc 3"/>
    <w:basedOn w:val="Normln"/>
    <w:next w:val="Normln"/>
    <w:autoRedefine/>
    <w:uiPriority w:val="39"/>
    <w:unhideWhenUsed/>
    <w:rsid w:val="00BE2184"/>
    <w:pPr>
      <w:spacing w:after="100"/>
      <w:ind w:left="480"/>
    </w:pPr>
  </w:style>
  <w:style w:type="table" w:styleId="Prosttabulka4">
    <w:name w:val="Plain Table 4"/>
    <w:basedOn w:val="Normlntabulka"/>
    <w:uiPriority w:val="44"/>
    <w:rsid w:val="00516C61"/>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Sledovanodkaz">
    <w:name w:val="FollowedHyperlink"/>
    <w:basedOn w:val="Standardnpsmoodstavce"/>
    <w:uiPriority w:val="99"/>
    <w:semiHidden/>
    <w:unhideWhenUsed/>
    <w:rsid w:val="007604C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20068">
      <w:bodyDiv w:val="1"/>
      <w:marLeft w:val="0"/>
      <w:marRight w:val="0"/>
      <w:marTop w:val="0"/>
      <w:marBottom w:val="0"/>
      <w:divBdr>
        <w:top w:val="none" w:sz="0" w:space="0" w:color="auto"/>
        <w:left w:val="none" w:sz="0" w:space="0" w:color="auto"/>
        <w:bottom w:val="none" w:sz="0" w:space="0" w:color="auto"/>
        <w:right w:val="none" w:sz="0" w:space="0" w:color="auto"/>
      </w:divBdr>
    </w:div>
    <w:div w:id="16392903">
      <w:bodyDiv w:val="1"/>
      <w:marLeft w:val="0"/>
      <w:marRight w:val="0"/>
      <w:marTop w:val="0"/>
      <w:marBottom w:val="0"/>
      <w:divBdr>
        <w:top w:val="none" w:sz="0" w:space="0" w:color="auto"/>
        <w:left w:val="none" w:sz="0" w:space="0" w:color="auto"/>
        <w:bottom w:val="none" w:sz="0" w:space="0" w:color="auto"/>
        <w:right w:val="none" w:sz="0" w:space="0" w:color="auto"/>
      </w:divBdr>
    </w:div>
    <w:div w:id="23096051">
      <w:bodyDiv w:val="1"/>
      <w:marLeft w:val="0"/>
      <w:marRight w:val="0"/>
      <w:marTop w:val="0"/>
      <w:marBottom w:val="0"/>
      <w:divBdr>
        <w:top w:val="none" w:sz="0" w:space="0" w:color="auto"/>
        <w:left w:val="none" w:sz="0" w:space="0" w:color="auto"/>
        <w:bottom w:val="none" w:sz="0" w:space="0" w:color="auto"/>
        <w:right w:val="none" w:sz="0" w:space="0" w:color="auto"/>
      </w:divBdr>
    </w:div>
    <w:div w:id="32772751">
      <w:bodyDiv w:val="1"/>
      <w:marLeft w:val="0"/>
      <w:marRight w:val="0"/>
      <w:marTop w:val="0"/>
      <w:marBottom w:val="0"/>
      <w:divBdr>
        <w:top w:val="none" w:sz="0" w:space="0" w:color="auto"/>
        <w:left w:val="none" w:sz="0" w:space="0" w:color="auto"/>
        <w:bottom w:val="none" w:sz="0" w:space="0" w:color="auto"/>
        <w:right w:val="none" w:sz="0" w:space="0" w:color="auto"/>
      </w:divBdr>
    </w:div>
    <w:div w:id="34089164">
      <w:bodyDiv w:val="1"/>
      <w:marLeft w:val="0"/>
      <w:marRight w:val="0"/>
      <w:marTop w:val="0"/>
      <w:marBottom w:val="0"/>
      <w:divBdr>
        <w:top w:val="none" w:sz="0" w:space="0" w:color="auto"/>
        <w:left w:val="none" w:sz="0" w:space="0" w:color="auto"/>
        <w:bottom w:val="none" w:sz="0" w:space="0" w:color="auto"/>
        <w:right w:val="none" w:sz="0" w:space="0" w:color="auto"/>
      </w:divBdr>
      <w:divsChild>
        <w:div w:id="1082875587">
          <w:marLeft w:val="0"/>
          <w:marRight w:val="0"/>
          <w:marTop w:val="0"/>
          <w:marBottom w:val="0"/>
          <w:divBdr>
            <w:top w:val="none" w:sz="0" w:space="0" w:color="auto"/>
            <w:left w:val="none" w:sz="0" w:space="0" w:color="auto"/>
            <w:bottom w:val="none" w:sz="0" w:space="0" w:color="auto"/>
            <w:right w:val="none" w:sz="0" w:space="0" w:color="auto"/>
          </w:divBdr>
          <w:divsChild>
            <w:div w:id="315425407">
              <w:marLeft w:val="0"/>
              <w:marRight w:val="0"/>
              <w:marTop w:val="0"/>
              <w:marBottom w:val="0"/>
              <w:divBdr>
                <w:top w:val="none" w:sz="0" w:space="0" w:color="auto"/>
                <w:left w:val="none" w:sz="0" w:space="0" w:color="auto"/>
                <w:bottom w:val="none" w:sz="0" w:space="0" w:color="auto"/>
                <w:right w:val="none" w:sz="0" w:space="0" w:color="auto"/>
              </w:divBdr>
              <w:divsChild>
                <w:div w:id="202204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827049">
      <w:bodyDiv w:val="1"/>
      <w:marLeft w:val="0"/>
      <w:marRight w:val="0"/>
      <w:marTop w:val="0"/>
      <w:marBottom w:val="0"/>
      <w:divBdr>
        <w:top w:val="none" w:sz="0" w:space="0" w:color="auto"/>
        <w:left w:val="none" w:sz="0" w:space="0" w:color="auto"/>
        <w:bottom w:val="none" w:sz="0" w:space="0" w:color="auto"/>
        <w:right w:val="none" w:sz="0" w:space="0" w:color="auto"/>
      </w:divBdr>
      <w:divsChild>
        <w:div w:id="469785817">
          <w:marLeft w:val="0"/>
          <w:marRight w:val="0"/>
          <w:marTop w:val="0"/>
          <w:marBottom w:val="0"/>
          <w:divBdr>
            <w:top w:val="none" w:sz="0" w:space="0" w:color="auto"/>
            <w:left w:val="none" w:sz="0" w:space="0" w:color="auto"/>
            <w:bottom w:val="none" w:sz="0" w:space="0" w:color="auto"/>
            <w:right w:val="none" w:sz="0" w:space="0" w:color="auto"/>
          </w:divBdr>
          <w:divsChild>
            <w:div w:id="547186159">
              <w:marLeft w:val="0"/>
              <w:marRight w:val="0"/>
              <w:marTop w:val="0"/>
              <w:marBottom w:val="0"/>
              <w:divBdr>
                <w:top w:val="none" w:sz="0" w:space="0" w:color="auto"/>
                <w:left w:val="none" w:sz="0" w:space="0" w:color="auto"/>
                <w:bottom w:val="none" w:sz="0" w:space="0" w:color="auto"/>
                <w:right w:val="none" w:sz="0" w:space="0" w:color="auto"/>
              </w:divBdr>
              <w:divsChild>
                <w:div w:id="1772822047">
                  <w:marLeft w:val="0"/>
                  <w:marRight w:val="0"/>
                  <w:marTop w:val="0"/>
                  <w:marBottom w:val="0"/>
                  <w:divBdr>
                    <w:top w:val="none" w:sz="0" w:space="0" w:color="auto"/>
                    <w:left w:val="none" w:sz="0" w:space="0" w:color="auto"/>
                    <w:bottom w:val="none" w:sz="0" w:space="0" w:color="auto"/>
                    <w:right w:val="none" w:sz="0" w:space="0" w:color="auto"/>
                  </w:divBdr>
                  <w:divsChild>
                    <w:div w:id="187842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947702">
      <w:bodyDiv w:val="1"/>
      <w:marLeft w:val="0"/>
      <w:marRight w:val="0"/>
      <w:marTop w:val="0"/>
      <w:marBottom w:val="0"/>
      <w:divBdr>
        <w:top w:val="none" w:sz="0" w:space="0" w:color="auto"/>
        <w:left w:val="none" w:sz="0" w:space="0" w:color="auto"/>
        <w:bottom w:val="none" w:sz="0" w:space="0" w:color="auto"/>
        <w:right w:val="none" w:sz="0" w:space="0" w:color="auto"/>
      </w:divBdr>
    </w:div>
    <w:div w:id="117996466">
      <w:bodyDiv w:val="1"/>
      <w:marLeft w:val="0"/>
      <w:marRight w:val="0"/>
      <w:marTop w:val="0"/>
      <w:marBottom w:val="0"/>
      <w:divBdr>
        <w:top w:val="none" w:sz="0" w:space="0" w:color="auto"/>
        <w:left w:val="none" w:sz="0" w:space="0" w:color="auto"/>
        <w:bottom w:val="none" w:sz="0" w:space="0" w:color="auto"/>
        <w:right w:val="none" w:sz="0" w:space="0" w:color="auto"/>
      </w:divBdr>
    </w:div>
    <w:div w:id="121464815">
      <w:bodyDiv w:val="1"/>
      <w:marLeft w:val="0"/>
      <w:marRight w:val="0"/>
      <w:marTop w:val="0"/>
      <w:marBottom w:val="0"/>
      <w:divBdr>
        <w:top w:val="none" w:sz="0" w:space="0" w:color="auto"/>
        <w:left w:val="none" w:sz="0" w:space="0" w:color="auto"/>
        <w:bottom w:val="none" w:sz="0" w:space="0" w:color="auto"/>
        <w:right w:val="none" w:sz="0" w:space="0" w:color="auto"/>
      </w:divBdr>
    </w:div>
    <w:div w:id="163252956">
      <w:bodyDiv w:val="1"/>
      <w:marLeft w:val="0"/>
      <w:marRight w:val="0"/>
      <w:marTop w:val="0"/>
      <w:marBottom w:val="0"/>
      <w:divBdr>
        <w:top w:val="none" w:sz="0" w:space="0" w:color="auto"/>
        <w:left w:val="none" w:sz="0" w:space="0" w:color="auto"/>
        <w:bottom w:val="none" w:sz="0" w:space="0" w:color="auto"/>
        <w:right w:val="none" w:sz="0" w:space="0" w:color="auto"/>
      </w:divBdr>
    </w:div>
    <w:div w:id="181015081">
      <w:bodyDiv w:val="1"/>
      <w:marLeft w:val="0"/>
      <w:marRight w:val="0"/>
      <w:marTop w:val="0"/>
      <w:marBottom w:val="0"/>
      <w:divBdr>
        <w:top w:val="none" w:sz="0" w:space="0" w:color="auto"/>
        <w:left w:val="none" w:sz="0" w:space="0" w:color="auto"/>
        <w:bottom w:val="none" w:sz="0" w:space="0" w:color="auto"/>
        <w:right w:val="none" w:sz="0" w:space="0" w:color="auto"/>
      </w:divBdr>
    </w:div>
    <w:div w:id="203950687">
      <w:bodyDiv w:val="1"/>
      <w:marLeft w:val="0"/>
      <w:marRight w:val="0"/>
      <w:marTop w:val="0"/>
      <w:marBottom w:val="0"/>
      <w:divBdr>
        <w:top w:val="none" w:sz="0" w:space="0" w:color="auto"/>
        <w:left w:val="none" w:sz="0" w:space="0" w:color="auto"/>
        <w:bottom w:val="none" w:sz="0" w:space="0" w:color="auto"/>
        <w:right w:val="none" w:sz="0" w:space="0" w:color="auto"/>
      </w:divBdr>
    </w:div>
    <w:div w:id="213590933">
      <w:bodyDiv w:val="1"/>
      <w:marLeft w:val="0"/>
      <w:marRight w:val="0"/>
      <w:marTop w:val="0"/>
      <w:marBottom w:val="0"/>
      <w:divBdr>
        <w:top w:val="none" w:sz="0" w:space="0" w:color="auto"/>
        <w:left w:val="none" w:sz="0" w:space="0" w:color="auto"/>
        <w:bottom w:val="none" w:sz="0" w:space="0" w:color="auto"/>
        <w:right w:val="none" w:sz="0" w:space="0" w:color="auto"/>
      </w:divBdr>
    </w:div>
    <w:div w:id="217518380">
      <w:bodyDiv w:val="1"/>
      <w:marLeft w:val="0"/>
      <w:marRight w:val="0"/>
      <w:marTop w:val="0"/>
      <w:marBottom w:val="0"/>
      <w:divBdr>
        <w:top w:val="none" w:sz="0" w:space="0" w:color="auto"/>
        <w:left w:val="none" w:sz="0" w:space="0" w:color="auto"/>
        <w:bottom w:val="none" w:sz="0" w:space="0" w:color="auto"/>
        <w:right w:val="none" w:sz="0" w:space="0" w:color="auto"/>
      </w:divBdr>
    </w:div>
    <w:div w:id="247034191">
      <w:bodyDiv w:val="1"/>
      <w:marLeft w:val="0"/>
      <w:marRight w:val="0"/>
      <w:marTop w:val="0"/>
      <w:marBottom w:val="0"/>
      <w:divBdr>
        <w:top w:val="none" w:sz="0" w:space="0" w:color="auto"/>
        <w:left w:val="none" w:sz="0" w:space="0" w:color="auto"/>
        <w:bottom w:val="none" w:sz="0" w:space="0" w:color="auto"/>
        <w:right w:val="none" w:sz="0" w:space="0" w:color="auto"/>
      </w:divBdr>
    </w:div>
    <w:div w:id="259874520">
      <w:bodyDiv w:val="1"/>
      <w:marLeft w:val="0"/>
      <w:marRight w:val="0"/>
      <w:marTop w:val="0"/>
      <w:marBottom w:val="0"/>
      <w:divBdr>
        <w:top w:val="none" w:sz="0" w:space="0" w:color="auto"/>
        <w:left w:val="none" w:sz="0" w:space="0" w:color="auto"/>
        <w:bottom w:val="none" w:sz="0" w:space="0" w:color="auto"/>
        <w:right w:val="none" w:sz="0" w:space="0" w:color="auto"/>
      </w:divBdr>
    </w:div>
    <w:div w:id="262963031">
      <w:bodyDiv w:val="1"/>
      <w:marLeft w:val="0"/>
      <w:marRight w:val="0"/>
      <w:marTop w:val="0"/>
      <w:marBottom w:val="0"/>
      <w:divBdr>
        <w:top w:val="none" w:sz="0" w:space="0" w:color="auto"/>
        <w:left w:val="none" w:sz="0" w:space="0" w:color="auto"/>
        <w:bottom w:val="none" w:sz="0" w:space="0" w:color="auto"/>
        <w:right w:val="none" w:sz="0" w:space="0" w:color="auto"/>
      </w:divBdr>
    </w:div>
    <w:div w:id="277105788">
      <w:bodyDiv w:val="1"/>
      <w:marLeft w:val="0"/>
      <w:marRight w:val="0"/>
      <w:marTop w:val="0"/>
      <w:marBottom w:val="0"/>
      <w:divBdr>
        <w:top w:val="none" w:sz="0" w:space="0" w:color="auto"/>
        <w:left w:val="none" w:sz="0" w:space="0" w:color="auto"/>
        <w:bottom w:val="none" w:sz="0" w:space="0" w:color="auto"/>
        <w:right w:val="none" w:sz="0" w:space="0" w:color="auto"/>
      </w:divBdr>
    </w:div>
    <w:div w:id="340740083">
      <w:bodyDiv w:val="1"/>
      <w:marLeft w:val="0"/>
      <w:marRight w:val="0"/>
      <w:marTop w:val="0"/>
      <w:marBottom w:val="0"/>
      <w:divBdr>
        <w:top w:val="none" w:sz="0" w:space="0" w:color="auto"/>
        <w:left w:val="none" w:sz="0" w:space="0" w:color="auto"/>
        <w:bottom w:val="none" w:sz="0" w:space="0" w:color="auto"/>
        <w:right w:val="none" w:sz="0" w:space="0" w:color="auto"/>
      </w:divBdr>
    </w:div>
    <w:div w:id="363940557">
      <w:bodyDiv w:val="1"/>
      <w:marLeft w:val="0"/>
      <w:marRight w:val="0"/>
      <w:marTop w:val="0"/>
      <w:marBottom w:val="0"/>
      <w:divBdr>
        <w:top w:val="none" w:sz="0" w:space="0" w:color="auto"/>
        <w:left w:val="none" w:sz="0" w:space="0" w:color="auto"/>
        <w:bottom w:val="none" w:sz="0" w:space="0" w:color="auto"/>
        <w:right w:val="none" w:sz="0" w:space="0" w:color="auto"/>
      </w:divBdr>
    </w:div>
    <w:div w:id="373653344">
      <w:bodyDiv w:val="1"/>
      <w:marLeft w:val="0"/>
      <w:marRight w:val="0"/>
      <w:marTop w:val="0"/>
      <w:marBottom w:val="0"/>
      <w:divBdr>
        <w:top w:val="none" w:sz="0" w:space="0" w:color="auto"/>
        <w:left w:val="none" w:sz="0" w:space="0" w:color="auto"/>
        <w:bottom w:val="none" w:sz="0" w:space="0" w:color="auto"/>
        <w:right w:val="none" w:sz="0" w:space="0" w:color="auto"/>
      </w:divBdr>
    </w:div>
    <w:div w:id="384566317">
      <w:bodyDiv w:val="1"/>
      <w:marLeft w:val="0"/>
      <w:marRight w:val="0"/>
      <w:marTop w:val="0"/>
      <w:marBottom w:val="0"/>
      <w:divBdr>
        <w:top w:val="none" w:sz="0" w:space="0" w:color="auto"/>
        <w:left w:val="none" w:sz="0" w:space="0" w:color="auto"/>
        <w:bottom w:val="none" w:sz="0" w:space="0" w:color="auto"/>
        <w:right w:val="none" w:sz="0" w:space="0" w:color="auto"/>
      </w:divBdr>
    </w:div>
    <w:div w:id="398019749">
      <w:bodyDiv w:val="1"/>
      <w:marLeft w:val="0"/>
      <w:marRight w:val="0"/>
      <w:marTop w:val="0"/>
      <w:marBottom w:val="0"/>
      <w:divBdr>
        <w:top w:val="none" w:sz="0" w:space="0" w:color="auto"/>
        <w:left w:val="none" w:sz="0" w:space="0" w:color="auto"/>
        <w:bottom w:val="none" w:sz="0" w:space="0" w:color="auto"/>
        <w:right w:val="none" w:sz="0" w:space="0" w:color="auto"/>
      </w:divBdr>
    </w:div>
    <w:div w:id="398141349">
      <w:bodyDiv w:val="1"/>
      <w:marLeft w:val="0"/>
      <w:marRight w:val="0"/>
      <w:marTop w:val="0"/>
      <w:marBottom w:val="0"/>
      <w:divBdr>
        <w:top w:val="none" w:sz="0" w:space="0" w:color="auto"/>
        <w:left w:val="none" w:sz="0" w:space="0" w:color="auto"/>
        <w:bottom w:val="none" w:sz="0" w:space="0" w:color="auto"/>
        <w:right w:val="none" w:sz="0" w:space="0" w:color="auto"/>
      </w:divBdr>
    </w:div>
    <w:div w:id="425268466">
      <w:bodyDiv w:val="1"/>
      <w:marLeft w:val="0"/>
      <w:marRight w:val="0"/>
      <w:marTop w:val="0"/>
      <w:marBottom w:val="0"/>
      <w:divBdr>
        <w:top w:val="none" w:sz="0" w:space="0" w:color="auto"/>
        <w:left w:val="none" w:sz="0" w:space="0" w:color="auto"/>
        <w:bottom w:val="none" w:sz="0" w:space="0" w:color="auto"/>
        <w:right w:val="none" w:sz="0" w:space="0" w:color="auto"/>
      </w:divBdr>
    </w:div>
    <w:div w:id="435946580">
      <w:bodyDiv w:val="1"/>
      <w:marLeft w:val="0"/>
      <w:marRight w:val="0"/>
      <w:marTop w:val="0"/>
      <w:marBottom w:val="0"/>
      <w:divBdr>
        <w:top w:val="none" w:sz="0" w:space="0" w:color="auto"/>
        <w:left w:val="none" w:sz="0" w:space="0" w:color="auto"/>
        <w:bottom w:val="none" w:sz="0" w:space="0" w:color="auto"/>
        <w:right w:val="none" w:sz="0" w:space="0" w:color="auto"/>
      </w:divBdr>
      <w:divsChild>
        <w:div w:id="2031907698">
          <w:marLeft w:val="0"/>
          <w:marRight w:val="0"/>
          <w:marTop w:val="0"/>
          <w:marBottom w:val="0"/>
          <w:divBdr>
            <w:top w:val="none" w:sz="0" w:space="0" w:color="auto"/>
            <w:left w:val="none" w:sz="0" w:space="0" w:color="auto"/>
            <w:bottom w:val="none" w:sz="0" w:space="0" w:color="auto"/>
            <w:right w:val="none" w:sz="0" w:space="0" w:color="auto"/>
          </w:divBdr>
        </w:div>
      </w:divsChild>
    </w:div>
    <w:div w:id="452675487">
      <w:bodyDiv w:val="1"/>
      <w:marLeft w:val="0"/>
      <w:marRight w:val="0"/>
      <w:marTop w:val="0"/>
      <w:marBottom w:val="0"/>
      <w:divBdr>
        <w:top w:val="none" w:sz="0" w:space="0" w:color="auto"/>
        <w:left w:val="none" w:sz="0" w:space="0" w:color="auto"/>
        <w:bottom w:val="none" w:sz="0" w:space="0" w:color="auto"/>
        <w:right w:val="none" w:sz="0" w:space="0" w:color="auto"/>
      </w:divBdr>
    </w:div>
    <w:div w:id="464466345">
      <w:bodyDiv w:val="1"/>
      <w:marLeft w:val="0"/>
      <w:marRight w:val="0"/>
      <w:marTop w:val="0"/>
      <w:marBottom w:val="0"/>
      <w:divBdr>
        <w:top w:val="none" w:sz="0" w:space="0" w:color="auto"/>
        <w:left w:val="none" w:sz="0" w:space="0" w:color="auto"/>
        <w:bottom w:val="none" w:sz="0" w:space="0" w:color="auto"/>
        <w:right w:val="none" w:sz="0" w:space="0" w:color="auto"/>
      </w:divBdr>
      <w:divsChild>
        <w:div w:id="1362513286">
          <w:marLeft w:val="0"/>
          <w:marRight w:val="0"/>
          <w:marTop w:val="0"/>
          <w:marBottom w:val="0"/>
          <w:divBdr>
            <w:top w:val="none" w:sz="0" w:space="0" w:color="auto"/>
            <w:left w:val="none" w:sz="0" w:space="0" w:color="auto"/>
            <w:bottom w:val="none" w:sz="0" w:space="0" w:color="auto"/>
            <w:right w:val="none" w:sz="0" w:space="0" w:color="auto"/>
          </w:divBdr>
          <w:divsChild>
            <w:div w:id="2021656268">
              <w:marLeft w:val="0"/>
              <w:marRight w:val="0"/>
              <w:marTop w:val="0"/>
              <w:marBottom w:val="0"/>
              <w:divBdr>
                <w:top w:val="none" w:sz="0" w:space="0" w:color="auto"/>
                <w:left w:val="none" w:sz="0" w:space="0" w:color="auto"/>
                <w:bottom w:val="none" w:sz="0" w:space="0" w:color="auto"/>
                <w:right w:val="none" w:sz="0" w:space="0" w:color="auto"/>
              </w:divBdr>
              <w:divsChild>
                <w:div w:id="1783107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0486702">
      <w:bodyDiv w:val="1"/>
      <w:marLeft w:val="0"/>
      <w:marRight w:val="0"/>
      <w:marTop w:val="0"/>
      <w:marBottom w:val="0"/>
      <w:divBdr>
        <w:top w:val="none" w:sz="0" w:space="0" w:color="auto"/>
        <w:left w:val="none" w:sz="0" w:space="0" w:color="auto"/>
        <w:bottom w:val="none" w:sz="0" w:space="0" w:color="auto"/>
        <w:right w:val="none" w:sz="0" w:space="0" w:color="auto"/>
      </w:divBdr>
    </w:div>
    <w:div w:id="474569037">
      <w:bodyDiv w:val="1"/>
      <w:marLeft w:val="0"/>
      <w:marRight w:val="0"/>
      <w:marTop w:val="0"/>
      <w:marBottom w:val="0"/>
      <w:divBdr>
        <w:top w:val="none" w:sz="0" w:space="0" w:color="auto"/>
        <w:left w:val="none" w:sz="0" w:space="0" w:color="auto"/>
        <w:bottom w:val="none" w:sz="0" w:space="0" w:color="auto"/>
        <w:right w:val="none" w:sz="0" w:space="0" w:color="auto"/>
      </w:divBdr>
    </w:div>
    <w:div w:id="497380888">
      <w:bodyDiv w:val="1"/>
      <w:marLeft w:val="0"/>
      <w:marRight w:val="0"/>
      <w:marTop w:val="0"/>
      <w:marBottom w:val="0"/>
      <w:divBdr>
        <w:top w:val="none" w:sz="0" w:space="0" w:color="auto"/>
        <w:left w:val="none" w:sz="0" w:space="0" w:color="auto"/>
        <w:bottom w:val="none" w:sz="0" w:space="0" w:color="auto"/>
        <w:right w:val="none" w:sz="0" w:space="0" w:color="auto"/>
      </w:divBdr>
    </w:div>
    <w:div w:id="526606153">
      <w:bodyDiv w:val="1"/>
      <w:marLeft w:val="0"/>
      <w:marRight w:val="0"/>
      <w:marTop w:val="0"/>
      <w:marBottom w:val="0"/>
      <w:divBdr>
        <w:top w:val="none" w:sz="0" w:space="0" w:color="auto"/>
        <w:left w:val="none" w:sz="0" w:space="0" w:color="auto"/>
        <w:bottom w:val="none" w:sz="0" w:space="0" w:color="auto"/>
        <w:right w:val="none" w:sz="0" w:space="0" w:color="auto"/>
      </w:divBdr>
    </w:div>
    <w:div w:id="547692164">
      <w:bodyDiv w:val="1"/>
      <w:marLeft w:val="0"/>
      <w:marRight w:val="0"/>
      <w:marTop w:val="0"/>
      <w:marBottom w:val="0"/>
      <w:divBdr>
        <w:top w:val="none" w:sz="0" w:space="0" w:color="auto"/>
        <w:left w:val="none" w:sz="0" w:space="0" w:color="auto"/>
        <w:bottom w:val="none" w:sz="0" w:space="0" w:color="auto"/>
        <w:right w:val="none" w:sz="0" w:space="0" w:color="auto"/>
      </w:divBdr>
      <w:divsChild>
        <w:div w:id="1878010103">
          <w:marLeft w:val="0"/>
          <w:marRight w:val="0"/>
          <w:marTop w:val="0"/>
          <w:marBottom w:val="0"/>
          <w:divBdr>
            <w:top w:val="none" w:sz="0" w:space="0" w:color="auto"/>
            <w:left w:val="none" w:sz="0" w:space="0" w:color="auto"/>
            <w:bottom w:val="none" w:sz="0" w:space="0" w:color="auto"/>
            <w:right w:val="none" w:sz="0" w:space="0" w:color="auto"/>
          </w:divBdr>
          <w:divsChild>
            <w:div w:id="1722708963">
              <w:marLeft w:val="0"/>
              <w:marRight w:val="0"/>
              <w:marTop w:val="0"/>
              <w:marBottom w:val="0"/>
              <w:divBdr>
                <w:top w:val="none" w:sz="0" w:space="0" w:color="auto"/>
                <w:left w:val="none" w:sz="0" w:space="0" w:color="auto"/>
                <w:bottom w:val="none" w:sz="0" w:space="0" w:color="auto"/>
                <w:right w:val="none" w:sz="0" w:space="0" w:color="auto"/>
              </w:divBdr>
              <w:divsChild>
                <w:div w:id="1074661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1237088">
      <w:bodyDiv w:val="1"/>
      <w:marLeft w:val="0"/>
      <w:marRight w:val="0"/>
      <w:marTop w:val="0"/>
      <w:marBottom w:val="0"/>
      <w:divBdr>
        <w:top w:val="none" w:sz="0" w:space="0" w:color="auto"/>
        <w:left w:val="none" w:sz="0" w:space="0" w:color="auto"/>
        <w:bottom w:val="none" w:sz="0" w:space="0" w:color="auto"/>
        <w:right w:val="none" w:sz="0" w:space="0" w:color="auto"/>
      </w:divBdr>
    </w:div>
    <w:div w:id="604845827">
      <w:bodyDiv w:val="1"/>
      <w:marLeft w:val="0"/>
      <w:marRight w:val="0"/>
      <w:marTop w:val="0"/>
      <w:marBottom w:val="0"/>
      <w:divBdr>
        <w:top w:val="none" w:sz="0" w:space="0" w:color="auto"/>
        <w:left w:val="none" w:sz="0" w:space="0" w:color="auto"/>
        <w:bottom w:val="none" w:sz="0" w:space="0" w:color="auto"/>
        <w:right w:val="none" w:sz="0" w:space="0" w:color="auto"/>
      </w:divBdr>
    </w:div>
    <w:div w:id="632372051">
      <w:bodyDiv w:val="1"/>
      <w:marLeft w:val="0"/>
      <w:marRight w:val="0"/>
      <w:marTop w:val="0"/>
      <w:marBottom w:val="0"/>
      <w:divBdr>
        <w:top w:val="none" w:sz="0" w:space="0" w:color="auto"/>
        <w:left w:val="none" w:sz="0" w:space="0" w:color="auto"/>
        <w:bottom w:val="none" w:sz="0" w:space="0" w:color="auto"/>
        <w:right w:val="none" w:sz="0" w:space="0" w:color="auto"/>
      </w:divBdr>
      <w:divsChild>
        <w:div w:id="2128888417">
          <w:marLeft w:val="0"/>
          <w:marRight w:val="0"/>
          <w:marTop w:val="0"/>
          <w:marBottom w:val="0"/>
          <w:divBdr>
            <w:top w:val="none" w:sz="0" w:space="0" w:color="auto"/>
            <w:left w:val="none" w:sz="0" w:space="0" w:color="auto"/>
            <w:bottom w:val="none" w:sz="0" w:space="0" w:color="auto"/>
            <w:right w:val="none" w:sz="0" w:space="0" w:color="auto"/>
          </w:divBdr>
        </w:div>
      </w:divsChild>
    </w:div>
    <w:div w:id="674765467">
      <w:bodyDiv w:val="1"/>
      <w:marLeft w:val="0"/>
      <w:marRight w:val="0"/>
      <w:marTop w:val="0"/>
      <w:marBottom w:val="0"/>
      <w:divBdr>
        <w:top w:val="none" w:sz="0" w:space="0" w:color="auto"/>
        <w:left w:val="none" w:sz="0" w:space="0" w:color="auto"/>
        <w:bottom w:val="none" w:sz="0" w:space="0" w:color="auto"/>
        <w:right w:val="none" w:sz="0" w:space="0" w:color="auto"/>
      </w:divBdr>
      <w:divsChild>
        <w:div w:id="1676306210">
          <w:marLeft w:val="547"/>
          <w:marRight w:val="0"/>
          <w:marTop w:val="0"/>
          <w:marBottom w:val="0"/>
          <w:divBdr>
            <w:top w:val="none" w:sz="0" w:space="0" w:color="auto"/>
            <w:left w:val="none" w:sz="0" w:space="0" w:color="auto"/>
            <w:bottom w:val="none" w:sz="0" w:space="0" w:color="auto"/>
            <w:right w:val="none" w:sz="0" w:space="0" w:color="auto"/>
          </w:divBdr>
        </w:div>
      </w:divsChild>
    </w:div>
    <w:div w:id="682896390">
      <w:bodyDiv w:val="1"/>
      <w:marLeft w:val="0"/>
      <w:marRight w:val="0"/>
      <w:marTop w:val="0"/>
      <w:marBottom w:val="0"/>
      <w:divBdr>
        <w:top w:val="none" w:sz="0" w:space="0" w:color="auto"/>
        <w:left w:val="none" w:sz="0" w:space="0" w:color="auto"/>
        <w:bottom w:val="none" w:sz="0" w:space="0" w:color="auto"/>
        <w:right w:val="none" w:sz="0" w:space="0" w:color="auto"/>
      </w:divBdr>
    </w:div>
    <w:div w:id="688336990">
      <w:bodyDiv w:val="1"/>
      <w:marLeft w:val="0"/>
      <w:marRight w:val="0"/>
      <w:marTop w:val="0"/>
      <w:marBottom w:val="0"/>
      <w:divBdr>
        <w:top w:val="none" w:sz="0" w:space="0" w:color="auto"/>
        <w:left w:val="none" w:sz="0" w:space="0" w:color="auto"/>
        <w:bottom w:val="none" w:sz="0" w:space="0" w:color="auto"/>
        <w:right w:val="none" w:sz="0" w:space="0" w:color="auto"/>
      </w:divBdr>
    </w:div>
    <w:div w:id="704138026">
      <w:bodyDiv w:val="1"/>
      <w:marLeft w:val="0"/>
      <w:marRight w:val="0"/>
      <w:marTop w:val="0"/>
      <w:marBottom w:val="0"/>
      <w:divBdr>
        <w:top w:val="none" w:sz="0" w:space="0" w:color="auto"/>
        <w:left w:val="none" w:sz="0" w:space="0" w:color="auto"/>
        <w:bottom w:val="none" w:sz="0" w:space="0" w:color="auto"/>
        <w:right w:val="none" w:sz="0" w:space="0" w:color="auto"/>
      </w:divBdr>
    </w:div>
    <w:div w:id="721367470">
      <w:bodyDiv w:val="1"/>
      <w:marLeft w:val="0"/>
      <w:marRight w:val="0"/>
      <w:marTop w:val="0"/>
      <w:marBottom w:val="0"/>
      <w:divBdr>
        <w:top w:val="none" w:sz="0" w:space="0" w:color="auto"/>
        <w:left w:val="none" w:sz="0" w:space="0" w:color="auto"/>
        <w:bottom w:val="none" w:sz="0" w:space="0" w:color="auto"/>
        <w:right w:val="none" w:sz="0" w:space="0" w:color="auto"/>
      </w:divBdr>
      <w:divsChild>
        <w:div w:id="2082756135">
          <w:marLeft w:val="0"/>
          <w:marRight w:val="0"/>
          <w:marTop w:val="0"/>
          <w:marBottom w:val="0"/>
          <w:divBdr>
            <w:top w:val="none" w:sz="0" w:space="0" w:color="auto"/>
            <w:left w:val="none" w:sz="0" w:space="0" w:color="auto"/>
            <w:bottom w:val="none" w:sz="0" w:space="0" w:color="auto"/>
            <w:right w:val="none" w:sz="0" w:space="0" w:color="auto"/>
          </w:divBdr>
          <w:divsChild>
            <w:div w:id="1562595901">
              <w:marLeft w:val="0"/>
              <w:marRight w:val="0"/>
              <w:marTop w:val="0"/>
              <w:marBottom w:val="0"/>
              <w:divBdr>
                <w:top w:val="none" w:sz="0" w:space="0" w:color="auto"/>
                <w:left w:val="none" w:sz="0" w:space="0" w:color="auto"/>
                <w:bottom w:val="none" w:sz="0" w:space="0" w:color="auto"/>
                <w:right w:val="none" w:sz="0" w:space="0" w:color="auto"/>
              </w:divBdr>
              <w:divsChild>
                <w:div w:id="173307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7480248">
      <w:bodyDiv w:val="1"/>
      <w:marLeft w:val="0"/>
      <w:marRight w:val="0"/>
      <w:marTop w:val="0"/>
      <w:marBottom w:val="0"/>
      <w:divBdr>
        <w:top w:val="none" w:sz="0" w:space="0" w:color="auto"/>
        <w:left w:val="none" w:sz="0" w:space="0" w:color="auto"/>
        <w:bottom w:val="none" w:sz="0" w:space="0" w:color="auto"/>
        <w:right w:val="none" w:sz="0" w:space="0" w:color="auto"/>
      </w:divBdr>
    </w:div>
    <w:div w:id="815223615">
      <w:bodyDiv w:val="1"/>
      <w:marLeft w:val="0"/>
      <w:marRight w:val="0"/>
      <w:marTop w:val="0"/>
      <w:marBottom w:val="0"/>
      <w:divBdr>
        <w:top w:val="none" w:sz="0" w:space="0" w:color="auto"/>
        <w:left w:val="none" w:sz="0" w:space="0" w:color="auto"/>
        <w:bottom w:val="none" w:sz="0" w:space="0" w:color="auto"/>
        <w:right w:val="none" w:sz="0" w:space="0" w:color="auto"/>
      </w:divBdr>
    </w:div>
    <w:div w:id="825706981">
      <w:bodyDiv w:val="1"/>
      <w:marLeft w:val="0"/>
      <w:marRight w:val="0"/>
      <w:marTop w:val="0"/>
      <w:marBottom w:val="0"/>
      <w:divBdr>
        <w:top w:val="none" w:sz="0" w:space="0" w:color="auto"/>
        <w:left w:val="none" w:sz="0" w:space="0" w:color="auto"/>
        <w:bottom w:val="none" w:sz="0" w:space="0" w:color="auto"/>
        <w:right w:val="none" w:sz="0" w:space="0" w:color="auto"/>
      </w:divBdr>
    </w:div>
    <w:div w:id="842863709">
      <w:bodyDiv w:val="1"/>
      <w:marLeft w:val="0"/>
      <w:marRight w:val="0"/>
      <w:marTop w:val="0"/>
      <w:marBottom w:val="0"/>
      <w:divBdr>
        <w:top w:val="none" w:sz="0" w:space="0" w:color="auto"/>
        <w:left w:val="none" w:sz="0" w:space="0" w:color="auto"/>
        <w:bottom w:val="none" w:sz="0" w:space="0" w:color="auto"/>
        <w:right w:val="none" w:sz="0" w:space="0" w:color="auto"/>
      </w:divBdr>
    </w:div>
    <w:div w:id="843128760">
      <w:bodyDiv w:val="1"/>
      <w:marLeft w:val="0"/>
      <w:marRight w:val="0"/>
      <w:marTop w:val="0"/>
      <w:marBottom w:val="0"/>
      <w:divBdr>
        <w:top w:val="none" w:sz="0" w:space="0" w:color="auto"/>
        <w:left w:val="none" w:sz="0" w:space="0" w:color="auto"/>
        <w:bottom w:val="none" w:sz="0" w:space="0" w:color="auto"/>
        <w:right w:val="none" w:sz="0" w:space="0" w:color="auto"/>
      </w:divBdr>
    </w:div>
    <w:div w:id="843203243">
      <w:bodyDiv w:val="1"/>
      <w:marLeft w:val="0"/>
      <w:marRight w:val="0"/>
      <w:marTop w:val="0"/>
      <w:marBottom w:val="0"/>
      <w:divBdr>
        <w:top w:val="none" w:sz="0" w:space="0" w:color="auto"/>
        <w:left w:val="none" w:sz="0" w:space="0" w:color="auto"/>
        <w:bottom w:val="none" w:sz="0" w:space="0" w:color="auto"/>
        <w:right w:val="none" w:sz="0" w:space="0" w:color="auto"/>
      </w:divBdr>
      <w:divsChild>
        <w:div w:id="900486495">
          <w:marLeft w:val="0"/>
          <w:marRight w:val="0"/>
          <w:marTop w:val="0"/>
          <w:marBottom w:val="0"/>
          <w:divBdr>
            <w:top w:val="none" w:sz="0" w:space="0" w:color="auto"/>
            <w:left w:val="none" w:sz="0" w:space="0" w:color="auto"/>
            <w:bottom w:val="none" w:sz="0" w:space="0" w:color="auto"/>
            <w:right w:val="none" w:sz="0" w:space="0" w:color="auto"/>
          </w:divBdr>
        </w:div>
      </w:divsChild>
    </w:div>
    <w:div w:id="893126414">
      <w:bodyDiv w:val="1"/>
      <w:marLeft w:val="0"/>
      <w:marRight w:val="0"/>
      <w:marTop w:val="0"/>
      <w:marBottom w:val="0"/>
      <w:divBdr>
        <w:top w:val="none" w:sz="0" w:space="0" w:color="auto"/>
        <w:left w:val="none" w:sz="0" w:space="0" w:color="auto"/>
        <w:bottom w:val="none" w:sz="0" w:space="0" w:color="auto"/>
        <w:right w:val="none" w:sz="0" w:space="0" w:color="auto"/>
      </w:divBdr>
    </w:div>
    <w:div w:id="908462854">
      <w:bodyDiv w:val="1"/>
      <w:marLeft w:val="0"/>
      <w:marRight w:val="0"/>
      <w:marTop w:val="0"/>
      <w:marBottom w:val="0"/>
      <w:divBdr>
        <w:top w:val="none" w:sz="0" w:space="0" w:color="auto"/>
        <w:left w:val="none" w:sz="0" w:space="0" w:color="auto"/>
        <w:bottom w:val="none" w:sz="0" w:space="0" w:color="auto"/>
        <w:right w:val="none" w:sz="0" w:space="0" w:color="auto"/>
      </w:divBdr>
    </w:div>
    <w:div w:id="908812358">
      <w:bodyDiv w:val="1"/>
      <w:marLeft w:val="0"/>
      <w:marRight w:val="0"/>
      <w:marTop w:val="0"/>
      <w:marBottom w:val="0"/>
      <w:divBdr>
        <w:top w:val="none" w:sz="0" w:space="0" w:color="auto"/>
        <w:left w:val="none" w:sz="0" w:space="0" w:color="auto"/>
        <w:bottom w:val="none" w:sz="0" w:space="0" w:color="auto"/>
        <w:right w:val="none" w:sz="0" w:space="0" w:color="auto"/>
      </w:divBdr>
    </w:div>
    <w:div w:id="936327225">
      <w:bodyDiv w:val="1"/>
      <w:marLeft w:val="0"/>
      <w:marRight w:val="0"/>
      <w:marTop w:val="0"/>
      <w:marBottom w:val="0"/>
      <w:divBdr>
        <w:top w:val="none" w:sz="0" w:space="0" w:color="auto"/>
        <w:left w:val="none" w:sz="0" w:space="0" w:color="auto"/>
        <w:bottom w:val="none" w:sz="0" w:space="0" w:color="auto"/>
        <w:right w:val="none" w:sz="0" w:space="0" w:color="auto"/>
      </w:divBdr>
    </w:div>
    <w:div w:id="977414331">
      <w:bodyDiv w:val="1"/>
      <w:marLeft w:val="0"/>
      <w:marRight w:val="0"/>
      <w:marTop w:val="0"/>
      <w:marBottom w:val="0"/>
      <w:divBdr>
        <w:top w:val="none" w:sz="0" w:space="0" w:color="auto"/>
        <w:left w:val="none" w:sz="0" w:space="0" w:color="auto"/>
        <w:bottom w:val="none" w:sz="0" w:space="0" w:color="auto"/>
        <w:right w:val="none" w:sz="0" w:space="0" w:color="auto"/>
      </w:divBdr>
    </w:div>
    <w:div w:id="1049768761">
      <w:bodyDiv w:val="1"/>
      <w:marLeft w:val="0"/>
      <w:marRight w:val="0"/>
      <w:marTop w:val="0"/>
      <w:marBottom w:val="0"/>
      <w:divBdr>
        <w:top w:val="none" w:sz="0" w:space="0" w:color="auto"/>
        <w:left w:val="none" w:sz="0" w:space="0" w:color="auto"/>
        <w:bottom w:val="none" w:sz="0" w:space="0" w:color="auto"/>
        <w:right w:val="none" w:sz="0" w:space="0" w:color="auto"/>
      </w:divBdr>
      <w:divsChild>
        <w:div w:id="179660996">
          <w:marLeft w:val="0"/>
          <w:marRight w:val="0"/>
          <w:marTop w:val="0"/>
          <w:marBottom w:val="0"/>
          <w:divBdr>
            <w:top w:val="none" w:sz="0" w:space="0" w:color="auto"/>
            <w:left w:val="none" w:sz="0" w:space="0" w:color="auto"/>
            <w:bottom w:val="none" w:sz="0" w:space="0" w:color="auto"/>
            <w:right w:val="none" w:sz="0" w:space="0" w:color="auto"/>
          </w:divBdr>
          <w:divsChild>
            <w:div w:id="651063464">
              <w:marLeft w:val="0"/>
              <w:marRight w:val="0"/>
              <w:marTop w:val="0"/>
              <w:marBottom w:val="0"/>
              <w:divBdr>
                <w:top w:val="none" w:sz="0" w:space="0" w:color="auto"/>
                <w:left w:val="none" w:sz="0" w:space="0" w:color="auto"/>
                <w:bottom w:val="none" w:sz="0" w:space="0" w:color="auto"/>
                <w:right w:val="none" w:sz="0" w:space="0" w:color="auto"/>
              </w:divBdr>
              <w:divsChild>
                <w:div w:id="1113403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5274033">
      <w:bodyDiv w:val="1"/>
      <w:marLeft w:val="0"/>
      <w:marRight w:val="0"/>
      <w:marTop w:val="0"/>
      <w:marBottom w:val="0"/>
      <w:divBdr>
        <w:top w:val="none" w:sz="0" w:space="0" w:color="auto"/>
        <w:left w:val="none" w:sz="0" w:space="0" w:color="auto"/>
        <w:bottom w:val="none" w:sz="0" w:space="0" w:color="auto"/>
        <w:right w:val="none" w:sz="0" w:space="0" w:color="auto"/>
      </w:divBdr>
    </w:div>
    <w:div w:id="1059087869">
      <w:bodyDiv w:val="1"/>
      <w:marLeft w:val="0"/>
      <w:marRight w:val="0"/>
      <w:marTop w:val="0"/>
      <w:marBottom w:val="0"/>
      <w:divBdr>
        <w:top w:val="none" w:sz="0" w:space="0" w:color="auto"/>
        <w:left w:val="none" w:sz="0" w:space="0" w:color="auto"/>
        <w:bottom w:val="none" w:sz="0" w:space="0" w:color="auto"/>
        <w:right w:val="none" w:sz="0" w:space="0" w:color="auto"/>
      </w:divBdr>
    </w:div>
    <w:div w:id="1116213782">
      <w:bodyDiv w:val="1"/>
      <w:marLeft w:val="0"/>
      <w:marRight w:val="0"/>
      <w:marTop w:val="0"/>
      <w:marBottom w:val="0"/>
      <w:divBdr>
        <w:top w:val="none" w:sz="0" w:space="0" w:color="auto"/>
        <w:left w:val="none" w:sz="0" w:space="0" w:color="auto"/>
        <w:bottom w:val="none" w:sz="0" w:space="0" w:color="auto"/>
        <w:right w:val="none" w:sz="0" w:space="0" w:color="auto"/>
      </w:divBdr>
    </w:div>
    <w:div w:id="1142817636">
      <w:bodyDiv w:val="1"/>
      <w:marLeft w:val="0"/>
      <w:marRight w:val="0"/>
      <w:marTop w:val="0"/>
      <w:marBottom w:val="0"/>
      <w:divBdr>
        <w:top w:val="none" w:sz="0" w:space="0" w:color="auto"/>
        <w:left w:val="none" w:sz="0" w:space="0" w:color="auto"/>
        <w:bottom w:val="none" w:sz="0" w:space="0" w:color="auto"/>
        <w:right w:val="none" w:sz="0" w:space="0" w:color="auto"/>
      </w:divBdr>
      <w:divsChild>
        <w:div w:id="1573541529">
          <w:marLeft w:val="0"/>
          <w:marRight w:val="0"/>
          <w:marTop w:val="0"/>
          <w:marBottom w:val="0"/>
          <w:divBdr>
            <w:top w:val="none" w:sz="0" w:space="0" w:color="auto"/>
            <w:left w:val="none" w:sz="0" w:space="0" w:color="auto"/>
            <w:bottom w:val="none" w:sz="0" w:space="0" w:color="auto"/>
            <w:right w:val="none" w:sz="0" w:space="0" w:color="auto"/>
          </w:divBdr>
          <w:divsChild>
            <w:div w:id="159588944">
              <w:marLeft w:val="0"/>
              <w:marRight w:val="0"/>
              <w:marTop w:val="0"/>
              <w:marBottom w:val="0"/>
              <w:divBdr>
                <w:top w:val="none" w:sz="0" w:space="0" w:color="auto"/>
                <w:left w:val="none" w:sz="0" w:space="0" w:color="auto"/>
                <w:bottom w:val="none" w:sz="0" w:space="0" w:color="auto"/>
                <w:right w:val="none" w:sz="0" w:space="0" w:color="auto"/>
              </w:divBdr>
              <w:divsChild>
                <w:div w:id="23431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755243">
      <w:bodyDiv w:val="1"/>
      <w:marLeft w:val="0"/>
      <w:marRight w:val="0"/>
      <w:marTop w:val="0"/>
      <w:marBottom w:val="0"/>
      <w:divBdr>
        <w:top w:val="none" w:sz="0" w:space="0" w:color="auto"/>
        <w:left w:val="none" w:sz="0" w:space="0" w:color="auto"/>
        <w:bottom w:val="none" w:sz="0" w:space="0" w:color="auto"/>
        <w:right w:val="none" w:sz="0" w:space="0" w:color="auto"/>
      </w:divBdr>
      <w:divsChild>
        <w:div w:id="430786764">
          <w:marLeft w:val="0"/>
          <w:marRight w:val="0"/>
          <w:marTop w:val="0"/>
          <w:marBottom w:val="0"/>
          <w:divBdr>
            <w:top w:val="none" w:sz="0" w:space="0" w:color="auto"/>
            <w:left w:val="none" w:sz="0" w:space="0" w:color="auto"/>
            <w:bottom w:val="none" w:sz="0" w:space="0" w:color="auto"/>
            <w:right w:val="none" w:sz="0" w:space="0" w:color="auto"/>
          </w:divBdr>
          <w:divsChild>
            <w:div w:id="273025836">
              <w:marLeft w:val="0"/>
              <w:marRight w:val="0"/>
              <w:marTop w:val="0"/>
              <w:marBottom w:val="0"/>
              <w:divBdr>
                <w:top w:val="none" w:sz="0" w:space="0" w:color="auto"/>
                <w:left w:val="none" w:sz="0" w:space="0" w:color="auto"/>
                <w:bottom w:val="none" w:sz="0" w:space="0" w:color="auto"/>
                <w:right w:val="none" w:sz="0" w:space="0" w:color="auto"/>
              </w:divBdr>
              <w:divsChild>
                <w:div w:id="1516067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5553751">
      <w:bodyDiv w:val="1"/>
      <w:marLeft w:val="0"/>
      <w:marRight w:val="0"/>
      <w:marTop w:val="0"/>
      <w:marBottom w:val="0"/>
      <w:divBdr>
        <w:top w:val="none" w:sz="0" w:space="0" w:color="auto"/>
        <w:left w:val="none" w:sz="0" w:space="0" w:color="auto"/>
        <w:bottom w:val="none" w:sz="0" w:space="0" w:color="auto"/>
        <w:right w:val="none" w:sz="0" w:space="0" w:color="auto"/>
      </w:divBdr>
    </w:div>
    <w:div w:id="1206215515">
      <w:bodyDiv w:val="1"/>
      <w:marLeft w:val="0"/>
      <w:marRight w:val="0"/>
      <w:marTop w:val="0"/>
      <w:marBottom w:val="0"/>
      <w:divBdr>
        <w:top w:val="none" w:sz="0" w:space="0" w:color="auto"/>
        <w:left w:val="none" w:sz="0" w:space="0" w:color="auto"/>
        <w:bottom w:val="none" w:sz="0" w:space="0" w:color="auto"/>
        <w:right w:val="none" w:sz="0" w:space="0" w:color="auto"/>
      </w:divBdr>
    </w:div>
    <w:div w:id="1222205829">
      <w:bodyDiv w:val="1"/>
      <w:marLeft w:val="0"/>
      <w:marRight w:val="0"/>
      <w:marTop w:val="0"/>
      <w:marBottom w:val="0"/>
      <w:divBdr>
        <w:top w:val="none" w:sz="0" w:space="0" w:color="auto"/>
        <w:left w:val="none" w:sz="0" w:space="0" w:color="auto"/>
        <w:bottom w:val="none" w:sz="0" w:space="0" w:color="auto"/>
        <w:right w:val="none" w:sz="0" w:space="0" w:color="auto"/>
      </w:divBdr>
    </w:div>
    <w:div w:id="1253322748">
      <w:bodyDiv w:val="1"/>
      <w:marLeft w:val="0"/>
      <w:marRight w:val="0"/>
      <w:marTop w:val="0"/>
      <w:marBottom w:val="0"/>
      <w:divBdr>
        <w:top w:val="none" w:sz="0" w:space="0" w:color="auto"/>
        <w:left w:val="none" w:sz="0" w:space="0" w:color="auto"/>
        <w:bottom w:val="none" w:sz="0" w:space="0" w:color="auto"/>
        <w:right w:val="none" w:sz="0" w:space="0" w:color="auto"/>
      </w:divBdr>
    </w:div>
    <w:div w:id="1285113181">
      <w:bodyDiv w:val="1"/>
      <w:marLeft w:val="0"/>
      <w:marRight w:val="0"/>
      <w:marTop w:val="0"/>
      <w:marBottom w:val="0"/>
      <w:divBdr>
        <w:top w:val="none" w:sz="0" w:space="0" w:color="auto"/>
        <w:left w:val="none" w:sz="0" w:space="0" w:color="auto"/>
        <w:bottom w:val="none" w:sz="0" w:space="0" w:color="auto"/>
        <w:right w:val="none" w:sz="0" w:space="0" w:color="auto"/>
      </w:divBdr>
    </w:div>
    <w:div w:id="1325931910">
      <w:bodyDiv w:val="1"/>
      <w:marLeft w:val="0"/>
      <w:marRight w:val="0"/>
      <w:marTop w:val="0"/>
      <w:marBottom w:val="0"/>
      <w:divBdr>
        <w:top w:val="none" w:sz="0" w:space="0" w:color="auto"/>
        <w:left w:val="none" w:sz="0" w:space="0" w:color="auto"/>
        <w:bottom w:val="none" w:sz="0" w:space="0" w:color="auto"/>
        <w:right w:val="none" w:sz="0" w:space="0" w:color="auto"/>
      </w:divBdr>
      <w:divsChild>
        <w:div w:id="532501909">
          <w:marLeft w:val="0"/>
          <w:marRight w:val="0"/>
          <w:marTop w:val="0"/>
          <w:marBottom w:val="0"/>
          <w:divBdr>
            <w:top w:val="none" w:sz="0" w:space="0" w:color="auto"/>
            <w:left w:val="none" w:sz="0" w:space="0" w:color="auto"/>
            <w:bottom w:val="none" w:sz="0" w:space="0" w:color="auto"/>
            <w:right w:val="none" w:sz="0" w:space="0" w:color="auto"/>
          </w:divBdr>
        </w:div>
      </w:divsChild>
    </w:div>
    <w:div w:id="1361738100">
      <w:bodyDiv w:val="1"/>
      <w:marLeft w:val="0"/>
      <w:marRight w:val="0"/>
      <w:marTop w:val="0"/>
      <w:marBottom w:val="0"/>
      <w:divBdr>
        <w:top w:val="none" w:sz="0" w:space="0" w:color="auto"/>
        <w:left w:val="none" w:sz="0" w:space="0" w:color="auto"/>
        <w:bottom w:val="none" w:sz="0" w:space="0" w:color="auto"/>
        <w:right w:val="none" w:sz="0" w:space="0" w:color="auto"/>
      </w:divBdr>
    </w:div>
    <w:div w:id="1394619482">
      <w:bodyDiv w:val="1"/>
      <w:marLeft w:val="0"/>
      <w:marRight w:val="0"/>
      <w:marTop w:val="0"/>
      <w:marBottom w:val="0"/>
      <w:divBdr>
        <w:top w:val="none" w:sz="0" w:space="0" w:color="auto"/>
        <w:left w:val="none" w:sz="0" w:space="0" w:color="auto"/>
        <w:bottom w:val="none" w:sz="0" w:space="0" w:color="auto"/>
        <w:right w:val="none" w:sz="0" w:space="0" w:color="auto"/>
      </w:divBdr>
    </w:div>
    <w:div w:id="1395080923">
      <w:bodyDiv w:val="1"/>
      <w:marLeft w:val="0"/>
      <w:marRight w:val="0"/>
      <w:marTop w:val="0"/>
      <w:marBottom w:val="0"/>
      <w:divBdr>
        <w:top w:val="none" w:sz="0" w:space="0" w:color="auto"/>
        <w:left w:val="none" w:sz="0" w:space="0" w:color="auto"/>
        <w:bottom w:val="none" w:sz="0" w:space="0" w:color="auto"/>
        <w:right w:val="none" w:sz="0" w:space="0" w:color="auto"/>
      </w:divBdr>
    </w:div>
    <w:div w:id="1420564191">
      <w:bodyDiv w:val="1"/>
      <w:marLeft w:val="0"/>
      <w:marRight w:val="0"/>
      <w:marTop w:val="0"/>
      <w:marBottom w:val="0"/>
      <w:divBdr>
        <w:top w:val="none" w:sz="0" w:space="0" w:color="auto"/>
        <w:left w:val="none" w:sz="0" w:space="0" w:color="auto"/>
        <w:bottom w:val="none" w:sz="0" w:space="0" w:color="auto"/>
        <w:right w:val="none" w:sz="0" w:space="0" w:color="auto"/>
      </w:divBdr>
    </w:div>
    <w:div w:id="1421826402">
      <w:bodyDiv w:val="1"/>
      <w:marLeft w:val="0"/>
      <w:marRight w:val="0"/>
      <w:marTop w:val="0"/>
      <w:marBottom w:val="0"/>
      <w:divBdr>
        <w:top w:val="none" w:sz="0" w:space="0" w:color="auto"/>
        <w:left w:val="none" w:sz="0" w:space="0" w:color="auto"/>
        <w:bottom w:val="none" w:sz="0" w:space="0" w:color="auto"/>
        <w:right w:val="none" w:sz="0" w:space="0" w:color="auto"/>
      </w:divBdr>
    </w:div>
    <w:div w:id="1449203440">
      <w:bodyDiv w:val="1"/>
      <w:marLeft w:val="0"/>
      <w:marRight w:val="0"/>
      <w:marTop w:val="0"/>
      <w:marBottom w:val="0"/>
      <w:divBdr>
        <w:top w:val="none" w:sz="0" w:space="0" w:color="auto"/>
        <w:left w:val="none" w:sz="0" w:space="0" w:color="auto"/>
        <w:bottom w:val="none" w:sz="0" w:space="0" w:color="auto"/>
        <w:right w:val="none" w:sz="0" w:space="0" w:color="auto"/>
      </w:divBdr>
    </w:div>
    <w:div w:id="1454061642">
      <w:bodyDiv w:val="1"/>
      <w:marLeft w:val="0"/>
      <w:marRight w:val="0"/>
      <w:marTop w:val="0"/>
      <w:marBottom w:val="0"/>
      <w:divBdr>
        <w:top w:val="none" w:sz="0" w:space="0" w:color="auto"/>
        <w:left w:val="none" w:sz="0" w:space="0" w:color="auto"/>
        <w:bottom w:val="none" w:sz="0" w:space="0" w:color="auto"/>
        <w:right w:val="none" w:sz="0" w:space="0" w:color="auto"/>
      </w:divBdr>
      <w:divsChild>
        <w:div w:id="1480343949">
          <w:marLeft w:val="0"/>
          <w:marRight w:val="0"/>
          <w:marTop w:val="0"/>
          <w:marBottom w:val="0"/>
          <w:divBdr>
            <w:top w:val="none" w:sz="0" w:space="0" w:color="auto"/>
            <w:left w:val="none" w:sz="0" w:space="0" w:color="auto"/>
            <w:bottom w:val="none" w:sz="0" w:space="0" w:color="auto"/>
            <w:right w:val="none" w:sz="0" w:space="0" w:color="auto"/>
          </w:divBdr>
          <w:divsChild>
            <w:div w:id="1620529176">
              <w:marLeft w:val="0"/>
              <w:marRight w:val="0"/>
              <w:marTop w:val="0"/>
              <w:marBottom w:val="0"/>
              <w:divBdr>
                <w:top w:val="none" w:sz="0" w:space="0" w:color="auto"/>
                <w:left w:val="none" w:sz="0" w:space="0" w:color="auto"/>
                <w:bottom w:val="none" w:sz="0" w:space="0" w:color="auto"/>
                <w:right w:val="none" w:sz="0" w:space="0" w:color="auto"/>
              </w:divBdr>
              <w:divsChild>
                <w:div w:id="534972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2532257">
      <w:bodyDiv w:val="1"/>
      <w:marLeft w:val="0"/>
      <w:marRight w:val="0"/>
      <w:marTop w:val="0"/>
      <w:marBottom w:val="0"/>
      <w:divBdr>
        <w:top w:val="none" w:sz="0" w:space="0" w:color="auto"/>
        <w:left w:val="none" w:sz="0" w:space="0" w:color="auto"/>
        <w:bottom w:val="none" w:sz="0" w:space="0" w:color="auto"/>
        <w:right w:val="none" w:sz="0" w:space="0" w:color="auto"/>
      </w:divBdr>
      <w:divsChild>
        <w:div w:id="889222698">
          <w:marLeft w:val="0"/>
          <w:marRight w:val="0"/>
          <w:marTop w:val="0"/>
          <w:marBottom w:val="0"/>
          <w:divBdr>
            <w:top w:val="none" w:sz="0" w:space="0" w:color="auto"/>
            <w:left w:val="none" w:sz="0" w:space="0" w:color="auto"/>
            <w:bottom w:val="none" w:sz="0" w:space="0" w:color="auto"/>
            <w:right w:val="none" w:sz="0" w:space="0" w:color="auto"/>
          </w:divBdr>
          <w:divsChild>
            <w:div w:id="1919244179">
              <w:marLeft w:val="0"/>
              <w:marRight w:val="0"/>
              <w:marTop w:val="0"/>
              <w:marBottom w:val="0"/>
              <w:divBdr>
                <w:top w:val="none" w:sz="0" w:space="0" w:color="auto"/>
                <w:left w:val="none" w:sz="0" w:space="0" w:color="auto"/>
                <w:bottom w:val="none" w:sz="0" w:space="0" w:color="auto"/>
                <w:right w:val="none" w:sz="0" w:space="0" w:color="auto"/>
              </w:divBdr>
              <w:divsChild>
                <w:div w:id="956058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044746">
      <w:bodyDiv w:val="1"/>
      <w:marLeft w:val="0"/>
      <w:marRight w:val="0"/>
      <w:marTop w:val="0"/>
      <w:marBottom w:val="0"/>
      <w:divBdr>
        <w:top w:val="none" w:sz="0" w:space="0" w:color="auto"/>
        <w:left w:val="none" w:sz="0" w:space="0" w:color="auto"/>
        <w:bottom w:val="none" w:sz="0" w:space="0" w:color="auto"/>
        <w:right w:val="none" w:sz="0" w:space="0" w:color="auto"/>
      </w:divBdr>
    </w:div>
    <w:div w:id="1480414676">
      <w:bodyDiv w:val="1"/>
      <w:marLeft w:val="0"/>
      <w:marRight w:val="0"/>
      <w:marTop w:val="0"/>
      <w:marBottom w:val="0"/>
      <w:divBdr>
        <w:top w:val="none" w:sz="0" w:space="0" w:color="auto"/>
        <w:left w:val="none" w:sz="0" w:space="0" w:color="auto"/>
        <w:bottom w:val="none" w:sz="0" w:space="0" w:color="auto"/>
        <w:right w:val="none" w:sz="0" w:space="0" w:color="auto"/>
      </w:divBdr>
      <w:divsChild>
        <w:div w:id="1143035405">
          <w:marLeft w:val="0"/>
          <w:marRight w:val="0"/>
          <w:marTop w:val="0"/>
          <w:marBottom w:val="0"/>
          <w:divBdr>
            <w:top w:val="none" w:sz="0" w:space="0" w:color="auto"/>
            <w:left w:val="none" w:sz="0" w:space="0" w:color="auto"/>
            <w:bottom w:val="none" w:sz="0" w:space="0" w:color="auto"/>
            <w:right w:val="none" w:sz="0" w:space="0" w:color="auto"/>
          </w:divBdr>
          <w:divsChild>
            <w:div w:id="955214230">
              <w:marLeft w:val="0"/>
              <w:marRight w:val="0"/>
              <w:marTop w:val="0"/>
              <w:marBottom w:val="0"/>
              <w:divBdr>
                <w:top w:val="none" w:sz="0" w:space="0" w:color="auto"/>
                <w:left w:val="none" w:sz="0" w:space="0" w:color="auto"/>
                <w:bottom w:val="none" w:sz="0" w:space="0" w:color="auto"/>
                <w:right w:val="none" w:sz="0" w:space="0" w:color="auto"/>
              </w:divBdr>
              <w:divsChild>
                <w:div w:id="2066558524">
                  <w:marLeft w:val="0"/>
                  <w:marRight w:val="0"/>
                  <w:marTop w:val="0"/>
                  <w:marBottom w:val="0"/>
                  <w:divBdr>
                    <w:top w:val="none" w:sz="0" w:space="0" w:color="auto"/>
                    <w:left w:val="none" w:sz="0" w:space="0" w:color="auto"/>
                    <w:bottom w:val="none" w:sz="0" w:space="0" w:color="auto"/>
                    <w:right w:val="none" w:sz="0" w:space="0" w:color="auto"/>
                  </w:divBdr>
                  <w:divsChild>
                    <w:div w:id="8870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1657833">
      <w:bodyDiv w:val="1"/>
      <w:marLeft w:val="0"/>
      <w:marRight w:val="0"/>
      <w:marTop w:val="0"/>
      <w:marBottom w:val="0"/>
      <w:divBdr>
        <w:top w:val="none" w:sz="0" w:space="0" w:color="auto"/>
        <w:left w:val="none" w:sz="0" w:space="0" w:color="auto"/>
        <w:bottom w:val="none" w:sz="0" w:space="0" w:color="auto"/>
        <w:right w:val="none" w:sz="0" w:space="0" w:color="auto"/>
      </w:divBdr>
    </w:div>
    <w:div w:id="1514804597">
      <w:bodyDiv w:val="1"/>
      <w:marLeft w:val="0"/>
      <w:marRight w:val="0"/>
      <w:marTop w:val="0"/>
      <w:marBottom w:val="0"/>
      <w:divBdr>
        <w:top w:val="none" w:sz="0" w:space="0" w:color="auto"/>
        <w:left w:val="none" w:sz="0" w:space="0" w:color="auto"/>
        <w:bottom w:val="none" w:sz="0" w:space="0" w:color="auto"/>
        <w:right w:val="none" w:sz="0" w:space="0" w:color="auto"/>
      </w:divBdr>
    </w:div>
    <w:div w:id="1692879139">
      <w:bodyDiv w:val="1"/>
      <w:marLeft w:val="0"/>
      <w:marRight w:val="0"/>
      <w:marTop w:val="0"/>
      <w:marBottom w:val="0"/>
      <w:divBdr>
        <w:top w:val="none" w:sz="0" w:space="0" w:color="auto"/>
        <w:left w:val="none" w:sz="0" w:space="0" w:color="auto"/>
        <w:bottom w:val="none" w:sz="0" w:space="0" w:color="auto"/>
        <w:right w:val="none" w:sz="0" w:space="0" w:color="auto"/>
      </w:divBdr>
    </w:div>
    <w:div w:id="1703163744">
      <w:bodyDiv w:val="1"/>
      <w:marLeft w:val="0"/>
      <w:marRight w:val="0"/>
      <w:marTop w:val="0"/>
      <w:marBottom w:val="0"/>
      <w:divBdr>
        <w:top w:val="none" w:sz="0" w:space="0" w:color="auto"/>
        <w:left w:val="none" w:sz="0" w:space="0" w:color="auto"/>
        <w:bottom w:val="none" w:sz="0" w:space="0" w:color="auto"/>
        <w:right w:val="none" w:sz="0" w:space="0" w:color="auto"/>
      </w:divBdr>
    </w:div>
    <w:div w:id="1715227713">
      <w:bodyDiv w:val="1"/>
      <w:marLeft w:val="0"/>
      <w:marRight w:val="0"/>
      <w:marTop w:val="0"/>
      <w:marBottom w:val="0"/>
      <w:divBdr>
        <w:top w:val="none" w:sz="0" w:space="0" w:color="auto"/>
        <w:left w:val="none" w:sz="0" w:space="0" w:color="auto"/>
        <w:bottom w:val="none" w:sz="0" w:space="0" w:color="auto"/>
        <w:right w:val="none" w:sz="0" w:space="0" w:color="auto"/>
      </w:divBdr>
    </w:div>
    <w:div w:id="1763645527">
      <w:bodyDiv w:val="1"/>
      <w:marLeft w:val="0"/>
      <w:marRight w:val="0"/>
      <w:marTop w:val="0"/>
      <w:marBottom w:val="0"/>
      <w:divBdr>
        <w:top w:val="none" w:sz="0" w:space="0" w:color="auto"/>
        <w:left w:val="none" w:sz="0" w:space="0" w:color="auto"/>
        <w:bottom w:val="none" w:sz="0" w:space="0" w:color="auto"/>
        <w:right w:val="none" w:sz="0" w:space="0" w:color="auto"/>
      </w:divBdr>
    </w:div>
    <w:div w:id="1783527121">
      <w:bodyDiv w:val="1"/>
      <w:marLeft w:val="0"/>
      <w:marRight w:val="0"/>
      <w:marTop w:val="0"/>
      <w:marBottom w:val="0"/>
      <w:divBdr>
        <w:top w:val="none" w:sz="0" w:space="0" w:color="auto"/>
        <w:left w:val="none" w:sz="0" w:space="0" w:color="auto"/>
        <w:bottom w:val="none" w:sz="0" w:space="0" w:color="auto"/>
        <w:right w:val="none" w:sz="0" w:space="0" w:color="auto"/>
      </w:divBdr>
    </w:div>
    <w:div w:id="1797412020">
      <w:bodyDiv w:val="1"/>
      <w:marLeft w:val="0"/>
      <w:marRight w:val="0"/>
      <w:marTop w:val="0"/>
      <w:marBottom w:val="0"/>
      <w:divBdr>
        <w:top w:val="none" w:sz="0" w:space="0" w:color="auto"/>
        <w:left w:val="none" w:sz="0" w:space="0" w:color="auto"/>
        <w:bottom w:val="none" w:sz="0" w:space="0" w:color="auto"/>
        <w:right w:val="none" w:sz="0" w:space="0" w:color="auto"/>
      </w:divBdr>
    </w:div>
    <w:div w:id="1815220068">
      <w:bodyDiv w:val="1"/>
      <w:marLeft w:val="0"/>
      <w:marRight w:val="0"/>
      <w:marTop w:val="0"/>
      <w:marBottom w:val="0"/>
      <w:divBdr>
        <w:top w:val="none" w:sz="0" w:space="0" w:color="auto"/>
        <w:left w:val="none" w:sz="0" w:space="0" w:color="auto"/>
        <w:bottom w:val="none" w:sz="0" w:space="0" w:color="auto"/>
        <w:right w:val="none" w:sz="0" w:space="0" w:color="auto"/>
      </w:divBdr>
      <w:divsChild>
        <w:div w:id="179781122">
          <w:marLeft w:val="0"/>
          <w:marRight w:val="0"/>
          <w:marTop w:val="0"/>
          <w:marBottom w:val="0"/>
          <w:divBdr>
            <w:top w:val="none" w:sz="0" w:space="0" w:color="auto"/>
            <w:left w:val="none" w:sz="0" w:space="0" w:color="auto"/>
            <w:bottom w:val="none" w:sz="0" w:space="0" w:color="auto"/>
            <w:right w:val="none" w:sz="0" w:space="0" w:color="auto"/>
          </w:divBdr>
          <w:divsChild>
            <w:div w:id="939529064">
              <w:marLeft w:val="0"/>
              <w:marRight w:val="0"/>
              <w:marTop w:val="0"/>
              <w:marBottom w:val="0"/>
              <w:divBdr>
                <w:top w:val="none" w:sz="0" w:space="0" w:color="auto"/>
                <w:left w:val="none" w:sz="0" w:space="0" w:color="auto"/>
                <w:bottom w:val="none" w:sz="0" w:space="0" w:color="auto"/>
                <w:right w:val="none" w:sz="0" w:space="0" w:color="auto"/>
              </w:divBdr>
              <w:divsChild>
                <w:div w:id="1968078618">
                  <w:marLeft w:val="0"/>
                  <w:marRight w:val="0"/>
                  <w:marTop w:val="0"/>
                  <w:marBottom w:val="0"/>
                  <w:divBdr>
                    <w:top w:val="none" w:sz="0" w:space="0" w:color="auto"/>
                    <w:left w:val="none" w:sz="0" w:space="0" w:color="auto"/>
                    <w:bottom w:val="none" w:sz="0" w:space="0" w:color="auto"/>
                    <w:right w:val="none" w:sz="0" w:space="0" w:color="auto"/>
                  </w:divBdr>
                  <w:divsChild>
                    <w:div w:id="1460421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5775966">
      <w:bodyDiv w:val="1"/>
      <w:marLeft w:val="0"/>
      <w:marRight w:val="0"/>
      <w:marTop w:val="0"/>
      <w:marBottom w:val="0"/>
      <w:divBdr>
        <w:top w:val="none" w:sz="0" w:space="0" w:color="auto"/>
        <w:left w:val="none" w:sz="0" w:space="0" w:color="auto"/>
        <w:bottom w:val="none" w:sz="0" w:space="0" w:color="auto"/>
        <w:right w:val="none" w:sz="0" w:space="0" w:color="auto"/>
      </w:divBdr>
    </w:div>
    <w:div w:id="1846509514">
      <w:bodyDiv w:val="1"/>
      <w:marLeft w:val="0"/>
      <w:marRight w:val="0"/>
      <w:marTop w:val="0"/>
      <w:marBottom w:val="0"/>
      <w:divBdr>
        <w:top w:val="none" w:sz="0" w:space="0" w:color="auto"/>
        <w:left w:val="none" w:sz="0" w:space="0" w:color="auto"/>
        <w:bottom w:val="none" w:sz="0" w:space="0" w:color="auto"/>
        <w:right w:val="none" w:sz="0" w:space="0" w:color="auto"/>
      </w:divBdr>
    </w:div>
    <w:div w:id="1847985124">
      <w:bodyDiv w:val="1"/>
      <w:marLeft w:val="0"/>
      <w:marRight w:val="0"/>
      <w:marTop w:val="0"/>
      <w:marBottom w:val="0"/>
      <w:divBdr>
        <w:top w:val="none" w:sz="0" w:space="0" w:color="auto"/>
        <w:left w:val="none" w:sz="0" w:space="0" w:color="auto"/>
        <w:bottom w:val="none" w:sz="0" w:space="0" w:color="auto"/>
        <w:right w:val="none" w:sz="0" w:space="0" w:color="auto"/>
      </w:divBdr>
      <w:divsChild>
        <w:div w:id="28459049">
          <w:blockQuote w:val="1"/>
          <w:marLeft w:val="0"/>
          <w:marRight w:val="0"/>
          <w:marTop w:val="240"/>
          <w:marBottom w:val="240"/>
          <w:divBdr>
            <w:top w:val="none" w:sz="0" w:space="0" w:color="auto"/>
            <w:left w:val="none" w:sz="0" w:space="0" w:color="auto"/>
            <w:bottom w:val="none" w:sz="0" w:space="0" w:color="auto"/>
            <w:right w:val="none" w:sz="0" w:space="0" w:color="auto"/>
          </w:divBdr>
        </w:div>
      </w:divsChild>
    </w:div>
    <w:div w:id="1868564941">
      <w:bodyDiv w:val="1"/>
      <w:marLeft w:val="0"/>
      <w:marRight w:val="0"/>
      <w:marTop w:val="0"/>
      <w:marBottom w:val="0"/>
      <w:divBdr>
        <w:top w:val="none" w:sz="0" w:space="0" w:color="auto"/>
        <w:left w:val="none" w:sz="0" w:space="0" w:color="auto"/>
        <w:bottom w:val="none" w:sz="0" w:space="0" w:color="auto"/>
        <w:right w:val="none" w:sz="0" w:space="0" w:color="auto"/>
      </w:divBdr>
    </w:div>
    <w:div w:id="1869371326">
      <w:bodyDiv w:val="1"/>
      <w:marLeft w:val="0"/>
      <w:marRight w:val="0"/>
      <w:marTop w:val="0"/>
      <w:marBottom w:val="0"/>
      <w:divBdr>
        <w:top w:val="none" w:sz="0" w:space="0" w:color="auto"/>
        <w:left w:val="none" w:sz="0" w:space="0" w:color="auto"/>
        <w:bottom w:val="none" w:sz="0" w:space="0" w:color="auto"/>
        <w:right w:val="none" w:sz="0" w:space="0" w:color="auto"/>
      </w:divBdr>
    </w:div>
    <w:div w:id="1889564540">
      <w:bodyDiv w:val="1"/>
      <w:marLeft w:val="0"/>
      <w:marRight w:val="0"/>
      <w:marTop w:val="0"/>
      <w:marBottom w:val="0"/>
      <w:divBdr>
        <w:top w:val="none" w:sz="0" w:space="0" w:color="auto"/>
        <w:left w:val="none" w:sz="0" w:space="0" w:color="auto"/>
        <w:bottom w:val="none" w:sz="0" w:space="0" w:color="auto"/>
        <w:right w:val="none" w:sz="0" w:space="0" w:color="auto"/>
      </w:divBdr>
      <w:divsChild>
        <w:div w:id="445123477">
          <w:marLeft w:val="0"/>
          <w:marRight w:val="0"/>
          <w:marTop w:val="0"/>
          <w:marBottom w:val="0"/>
          <w:divBdr>
            <w:top w:val="none" w:sz="0" w:space="0" w:color="auto"/>
            <w:left w:val="none" w:sz="0" w:space="0" w:color="auto"/>
            <w:bottom w:val="none" w:sz="0" w:space="0" w:color="auto"/>
            <w:right w:val="none" w:sz="0" w:space="0" w:color="auto"/>
          </w:divBdr>
          <w:divsChild>
            <w:div w:id="75980996">
              <w:marLeft w:val="0"/>
              <w:marRight w:val="0"/>
              <w:marTop w:val="0"/>
              <w:marBottom w:val="0"/>
              <w:divBdr>
                <w:top w:val="none" w:sz="0" w:space="0" w:color="auto"/>
                <w:left w:val="none" w:sz="0" w:space="0" w:color="auto"/>
                <w:bottom w:val="none" w:sz="0" w:space="0" w:color="auto"/>
                <w:right w:val="none" w:sz="0" w:space="0" w:color="auto"/>
              </w:divBdr>
              <w:divsChild>
                <w:div w:id="1711953426">
                  <w:marLeft w:val="0"/>
                  <w:marRight w:val="0"/>
                  <w:marTop w:val="0"/>
                  <w:marBottom w:val="0"/>
                  <w:divBdr>
                    <w:top w:val="none" w:sz="0" w:space="0" w:color="auto"/>
                    <w:left w:val="none" w:sz="0" w:space="0" w:color="auto"/>
                    <w:bottom w:val="none" w:sz="0" w:space="0" w:color="auto"/>
                    <w:right w:val="none" w:sz="0" w:space="0" w:color="auto"/>
                  </w:divBdr>
                </w:div>
              </w:divsChild>
            </w:div>
            <w:div w:id="984776003">
              <w:marLeft w:val="0"/>
              <w:marRight w:val="0"/>
              <w:marTop w:val="0"/>
              <w:marBottom w:val="0"/>
              <w:divBdr>
                <w:top w:val="none" w:sz="0" w:space="0" w:color="auto"/>
                <w:left w:val="none" w:sz="0" w:space="0" w:color="auto"/>
                <w:bottom w:val="none" w:sz="0" w:space="0" w:color="auto"/>
                <w:right w:val="none" w:sz="0" w:space="0" w:color="auto"/>
              </w:divBdr>
              <w:divsChild>
                <w:div w:id="1396660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7702538">
          <w:marLeft w:val="0"/>
          <w:marRight w:val="0"/>
          <w:marTop w:val="0"/>
          <w:marBottom w:val="0"/>
          <w:divBdr>
            <w:top w:val="none" w:sz="0" w:space="0" w:color="auto"/>
            <w:left w:val="none" w:sz="0" w:space="0" w:color="auto"/>
            <w:bottom w:val="none" w:sz="0" w:space="0" w:color="auto"/>
            <w:right w:val="none" w:sz="0" w:space="0" w:color="auto"/>
          </w:divBdr>
          <w:divsChild>
            <w:div w:id="1223323906">
              <w:marLeft w:val="0"/>
              <w:marRight w:val="0"/>
              <w:marTop w:val="0"/>
              <w:marBottom w:val="0"/>
              <w:divBdr>
                <w:top w:val="none" w:sz="0" w:space="0" w:color="auto"/>
                <w:left w:val="none" w:sz="0" w:space="0" w:color="auto"/>
                <w:bottom w:val="none" w:sz="0" w:space="0" w:color="auto"/>
                <w:right w:val="none" w:sz="0" w:space="0" w:color="auto"/>
              </w:divBdr>
              <w:divsChild>
                <w:div w:id="1709523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571224">
      <w:bodyDiv w:val="1"/>
      <w:marLeft w:val="0"/>
      <w:marRight w:val="0"/>
      <w:marTop w:val="0"/>
      <w:marBottom w:val="0"/>
      <w:divBdr>
        <w:top w:val="none" w:sz="0" w:space="0" w:color="auto"/>
        <w:left w:val="none" w:sz="0" w:space="0" w:color="auto"/>
        <w:bottom w:val="none" w:sz="0" w:space="0" w:color="auto"/>
        <w:right w:val="none" w:sz="0" w:space="0" w:color="auto"/>
      </w:divBdr>
    </w:div>
    <w:div w:id="1966083855">
      <w:bodyDiv w:val="1"/>
      <w:marLeft w:val="0"/>
      <w:marRight w:val="0"/>
      <w:marTop w:val="0"/>
      <w:marBottom w:val="0"/>
      <w:divBdr>
        <w:top w:val="none" w:sz="0" w:space="0" w:color="auto"/>
        <w:left w:val="none" w:sz="0" w:space="0" w:color="auto"/>
        <w:bottom w:val="none" w:sz="0" w:space="0" w:color="auto"/>
        <w:right w:val="none" w:sz="0" w:space="0" w:color="auto"/>
      </w:divBdr>
    </w:div>
    <w:div w:id="1984653491">
      <w:bodyDiv w:val="1"/>
      <w:marLeft w:val="0"/>
      <w:marRight w:val="0"/>
      <w:marTop w:val="0"/>
      <w:marBottom w:val="0"/>
      <w:divBdr>
        <w:top w:val="none" w:sz="0" w:space="0" w:color="auto"/>
        <w:left w:val="none" w:sz="0" w:space="0" w:color="auto"/>
        <w:bottom w:val="none" w:sz="0" w:space="0" w:color="auto"/>
        <w:right w:val="none" w:sz="0" w:space="0" w:color="auto"/>
      </w:divBdr>
    </w:div>
    <w:div w:id="1993287038">
      <w:bodyDiv w:val="1"/>
      <w:marLeft w:val="0"/>
      <w:marRight w:val="0"/>
      <w:marTop w:val="0"/>
      <w:marBottom w:val="0"/>
      <w:divBdr>
        <w:top w:val="none" w:sz="0" w:space="0" w:color="auto"/>
        <w:left w:val="none" w:sz="0" w:space="0" w:color="auto"/>
        <w:bottom w:val="none" w:sz="0" w:space="0" w:color="auto"/>
        <w:right w:val="none" w:sz="0" w:space="0" w:color="auto"/>
      </w:divBdr>
    </w:div>
    <w:div w:id="1994140650">
      <w:bodyDiv w:val="1"/>
      <w:marLeft w:val="0"/>
      <w:marRight w:val="0"/>
      <w:marTop w:val="0"/>
      <w:marBottom w:val="0"/>
      <w:divBdr>
        <w:top w:val="none" w:sz="0" w:space="0" w:color="auto"/>
        <w:left w:val="none" w:sz="0" w:space="0" w:color="auto"/>
        <w:bottom w:val="none" w:sz="0" w:space="0" w:color="auto"/>
        <w:right w:val="none" w:sz="0" w:space="0" w:color="auto"/>
      </w:divBdr>
      <w:divsChild>
        <w:div w:id="1074355727">
          <w:marLeft w:val="0"/>
          <w:marRight w:val="0"/>
          <w:marTop w:val="0"/>
          <w:marBottom w:val="0"/>
          <w:divBdr>
            <w:top w:val="none" w:sz="0" w:space="0" w:color="auto"/>
            <w:left w:val="none" w:sz="0" w:space="0" w:color="auto"/>
            <w:bottom w:val="none" w:sz="0" w:space="0" w:color="auto"/>
            <w:right w:val="none" w:sz="0" w:space="0" w:color="auto"/>
          </w:divBdr>
          <w:divsChild>
            <w:div w:id="1521970032">
              <w:marLeft w:val="0"/>
              <w:marRight w:val="165"/>
              <w:marTop w:val="150"/>
              <w:marBottom w:val="0"/>
              <w:divBdr>
                <w:top w:val="none" w:sz="0" w:space="0" w:color="auto"/>
                <w:left w:val="none" w:sz="0" w:space="0" w:color="auto"/>
                <w:bottom w:val="none" w:sz="0" w:space="0" w:color="auto"/>
                <w:right w:val="none" w:sz="0" w:space="0" w:color="auto"/>
              </w:divBdr>
              <w:divsChild>
                <w:div w:id="1910112388">
                  <w:marLeft w:val="0"/>
                  <w:marRight w:val="0"/>
                  <w:marTop w:val="0"/>
                  <w:marBottom w:val="0"/>
                  <w:divBdr>
                    <w:top w:val="none" w:sz="0" w:space="0" w:color="auto"/>
                    <w:left w:val="none" w:sz="0" w:space="0" w:color="auto"/>
                    <w:bottom w:val="none" w:sz="0" w:space="0" w:color="auto"/>
                    <w:right w:val="none" w:sz="0" w:space="0" w:color="auto"/>
                  </w:divBdr>
                  <w:divsChild>
                    <w:div w:id="77752643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 w:id="2052654108">
          <w:marLeft w:val="0"/>
          <w:marRight w:val="0"/>
          <w:marTop w:val="0"/>
          <w:marBottom w:val="0"/>
          <w:divBdr>
            <w:top w:val="none" w:sz="0" w:space="0" w:color="auto"/>
            <w:left w:val="none" w:sz="0" w:space="0" w:color="auto"/>
            <w:bottom w:val="none" w:sz="0" w:space="0" w:color="auto"/>
            <w:right w:val="none" w:sz="0" w:space="0" w:color="auto"/>
          </w:divBdr>
        </w:div>
      </w:divsChild>
    </w:div>
    <w:div w:id="2018847238">
      <w:bodyDiv w:val="1"/>
      <w:marLeft w:val="0"/>
      <w:marRight w:val="0"/>
      <w:marTop w:val="0"/>
      <w:marBottom w:val="0"/>
      <w:divBdr>
        <w:top w:val="none" w:sz="0" w:space="0" w:color="auto"/>
        <w:left w:val="none" w:sz="0" w:space="0" w:color="auto"/>
        <w:bottom w:val="none" w:sz="0" w:space="0" w:color="auto"/>
        <w:right w:val="none" w:sz="0" w:space="0" w:color="auto"/>
      </w:divBdr>
    </w:div>
    <w:div w:id="2051222438">
      <w:bodyDiv w:val="1"/>
      <w:marLeft w:val="0"/>
      <w:marRight w:val="0"/>
      <w:marTop w:val="0"/>
      <w:marBottom w:val="0"/>
      <w:divBdr>
        <w:top w:val="none" w:sz="0" w:space="0" w:color="auto"/>
        <w:left w:val="none" w:sz="0" w:space="0" w:color="auto"/>
        <w:bottom w:val="none" w:sz="0" w:space="0" w:color="auto"/>
        <w:right w:val="none" w:sz="0" w:space="0" w:color="auto"/>
      </w:divBdr>
    </w:div>
    <w:div w:id="2052726751">
      <w:bodyDiv w:val="1"/>
      <w:marLeft w:val="0"/>
      <w:marRight w:val="0"/>
      <w:marTop w:val="0"/>
      <w:marBottom w:val="0"/>
      <w:divBdr>
        <w:top w:val="none" w:sz="0" w:space="0" w:color="auto"/>
        <w:left w:val="none" w:sz="0" w:space="0" w:color="auto"/>
        <w:bottom w:val="none" w:sz="0" w:space="0" w:color="auto"/>
        <w:right w:val="none" w:sz="0" w:space="0" w:color="auto"/>
      </w:divBdr>
    </w:div>
    <w:div w:id="2063819942">
      <w:bodyDiv w:val="1"/>
      <w:marLeft w:val="0"/>
      <w:marRight w:val="0"/>
      <w:marTop w:val="0"/>
      <w:marBottom w:val="0"/>
      <w:divBdr>
        <w:top w:val="none" w:sz="0" w:space="0" w:color="auto"/>
        <w:left w:val="none" w:sz="0" w:space="0" w:color="auto"/>
        <w:bottom w:val="none" w:sz="0" w:space="0" w:color="auto"/>
        <w:right w:val="none" w:sz="0" w:space="0" w:color="auto"/>
      </w:divBdr>
    </w:div>
    <w:div w:id="2068870602">
      <w:bodyDiv w:val="1"/>
      <w:marLeft w:val="0"/>
      <w:marRight w:val="0"/>
      <w:marTop w:val="0"/>
      <w:marBottom w:val="0"/>
      <w:divBdr>
        <w:top w:val="none" w:sz="0" w:space="0" w:color="auto"/>
        <w:left w:val="none" w:sz="0" w:space="0" w:color="auto"/>
        <w:bottom w:val="none" w:sz="0" w:space="0" w:color="auto"/>
        <w:right w:val="none" w:sz="0" w:space="0" w:color="auto"/>
      </w:divBdr>
    </w:div>
    <w:div w:id="2069839159">
      <w:bodyDiv w:val="1"/>
      <w:marLeft w:val="0"/>
      <w:marRight w:val="0"/>
      <w:marTop w:val="0"/>
      <w:marBottom w:val="0"/>
      <w:divBdr>
        <w:top w:val="none" w:sz="0" w:space="0" w:color="auto"/>
        <w:left w:val="none" w:sz="0" w:space="0" w:color="auto"/>
        <w:bottom w:val="none" w:sz="0" w:space="0" w:color="auto"/>
        <w:right w:val="none" w:sz="0" w:space="0" w:color="auto"/>
      </w:divBdr>
    </w:div>
    <w:div w:id="2075080854">
      <w:bodyDiv w:val="1"/>
      <w:marLeft w:val="0"/>
      <w:marRight w:val="0"/>
      <w:marTop w:val="0"/>
      <w:marBottom w:val="0"/>
      <w:divBdr>
        <w:top w:val="none" w:sz="0" w:space="0" w:color="auto"/>
        <w:left w:val="none" w:sz="0" w:space="0" w:color="auto"/>
        <w:bottom w:val="none" w:sz="0" w:space="0" w:color="auto"/>
        <w:right w:val="none" w:sz="0" w:space="0" w:color="auto"/>
      </w:divBdr>
      <w:divsChild>
        <w:div w:id="539977225">
          <w:marLeft w:val="0"/>
          <w:marRight w:val="0"/>
          <w:marTop w:val="0"/>
          <w:marBottom w:val="0"/>
          <w:divBdr>
            <w:top w:val="none" w:sz="0" w:space="0" w:color="auto"/>
            <w:left w:val="none" w:sz="0" w:space="0" w:color="auto"/>
            <w:bottom w:val="none" w:sz="0" w:space="0" w:color="auto"/>
            <w:right w:val="none" w:sz="0" w:space="0" w:color="auto"/>
          </w:divBdr>
          <w:divsChild>
            <w:div w:id="1820920907">
              <w:marLeft w:val="0"/>
              <w:marRight w:val="0"/>
              <w:marTop w:val="0"/>
              <w:marBottom w:val="0"/>
              <w:divBdr>
                <w:top w:val="none" w:sz="0" w:space="0" w:color="auto"/>
                <w:left w:val="none" w:sz="0" w:space="0" w:color="auto"/>
                <w:bottom w:val="none" w:sz="0" w:space="0" w:color="auto"/>
                <w:right w:val="none" w:sz="0" w:space="0" w:color="auto"/>
              </w:divBdr>
              <w:divsChild>
                <w:div w:id="1990985114">
                  <w:marLeft w:val="0"/>
                  <w:marRight w:val="0"/>
                  <w:marTop w:val="0"/>
                  <w:marBottom w:val="0"/>
                  <w:divBdr>
                    <w:top w:val="none" w:sz="0" w:space="0" w:color="auto"/>
                    <w:left w:val="none" w:sz="0" w:space="0" w:color="auto"/>
                    <w:bottom w:val="none" w:sz="0" w:space="0" w:color="auto"/>
                    <w:right w:val="none" w:sz="0" w:space="0" w:color="auto"/>
                  </w:divBdr>
                  <w:divsChild>
                    <w:div w:id="2067878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5124319">
      <w:bodyDiv w:val="1"/>
      <w:marLeft w:val="0"/>
      <w:marRight w:val="0"/>
      <w:marTop w:val="0"/>
      <w:marBottom w:val="0"/>
      <w:divBdr>
        <w:top w:val="none" w:sz="0" w:space="0" w:color="auto"/>
        <w:left w:val="none" w:sz="0" w:space="0" w:color="auto"/>
        <w:bottom w:val="none" w:sz="0" w:space="0" w:color="auto"/>
        <w:right w:val="none" w:sz="0" w:space="0" w:color="auto"/>
      </w:divBdr>
    </w:div>
    <w:div w:id="210129547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eur-lex.europa.eu/legal-content/FR/TXT/?uri=CELEX%3A62012CJ0176" TargetMode="External"/><Relationship Id="rId21" Type="http://schemas.openxmlformats.org/officeDocument/2006/relationships/image" Target="media/image5.png"/><Relationship Id="rId47" Type="http://schemas.openxmlformats.org/officeDocument/2006/relationships/diagramData" Target="diagrams/data2.xml"/><Relationship Id="rId63" Type="http://schemas.openxmlformats.org/officeDocument/2006/relationships/hyperlink" Target="https://www.conseil-constitutionnel.fr/en/decision/2021/2021940QPC.htm" TargetMode="External"/><Relationship Id="rId68" Type="http://schemas.openxmlformats.org/officeDocument/2006/relationships/hyperlink" Target="https://eur-lex.europa.eu/legal-content/EN/TXT/?uri=ecli%3AECLI%3AEU%3AC%3A2014%3A2099" TargetMode="External"/><Relationship Id="rId84" Type="http://schemas.openxmlformats.org/officeDocument/2006/relationships/theme" Target="theme/theme1.xml"/><Relationship Id="rId16" Type="http://schemas.openxmlformats.org/officeDocument/2006/relationships/image" Target="media/image4.png"/><Relationship Id="rId11" Type="http://schemas.openxmlformats.org/officeDocument/2006/relationships/image" Target="media/image1.png"/><Relationship Id="rId24" Type="http://schemas.openxmlformats.org/officeDocument/2006/relationships/hyperlink" Target="https://eur-lex.europa.eu/legal-content/FR/TXT/?uri=CELEX%3A62014CJ0117" TargetMode="External"/><Relationship Id="rId32" Type="http://schemas.openxmlformats.org/officeDocument/2006/relationships/diagramQuickStyle" Target="diagrams/quickStyle1.xml"/><Relationship Id="rId37" Type="http://schemas.openxmlformats.org/officeDocument/2006/relationships/hyperlink" Target="https://eur-lex.europa.eu/legal-content/FR/TXT/?uri=CELEX%3A62009CJ0092" TargetMode="External"/><Relationship Id="rId40" Type="http://schemas.openxmlformats.org/officeDocument/2006/relationships/image" Target="media/image7.svg"/><Relationship Id="rId45" Type="http://schemas.openxmlformats.org/officeDocument/2006/relationships/image" Target="media/image60.png"/><Relationship Id="rId53" Type="http://schemas.openxmlformats.org/officeDocument/2006/relationships/diagramData" Target="diagrams/data3.xml"/><Relationship Id="rId58" Type="http://schemas.openxmlformats.org/officeDocument/2006/relationships/hyperlink" Target="https://eur-lex.europa.eu/legal-content/FR/ALL/?uri=CELEX%3A62014CJ0203" TargetMode="External"/><Relationship Id="rId66" Type="http://schemas.openxmlformats.org/officeDocument/2006/relationships/hyperlink" Target="https://eur-lex.europa.eu/legal-content/EN/TXT/?uri=CELEX%3A62010CJ0468" TargetMode="External"/><Relationship Id="rId74" Type="http://schemas.openxmlformats.org/officeDocument/2006/relationships/hyperlink" Target="https://www.courts.ie/acc/alfresco/bf3ea1b6-e98f-447c-a9c1-4eecdc63deea/2012_IEHC_8_1.pdf/pdf" TargetMode="External"/><Relationship Id="rId79" Type="http://schemas.openxmlformats.org/officeDocument/2006/relationships/image" Target="media/image12.jpeg"/><Relationship Id="rId5" Type="http://schemas.openxmlformats.org/officeDocument/2006/relationships/numbering" Target="numbering.xml"/><Relationship Id="rId61" Type="http://schemas.openxmlformats.org/officeDocument/2006/relationships/hyperlink" Target="https://eur-lex.europa.eu/legal-content/EN/TXT/?uri=CELEX:62017CC0556" TargetMode="External"/><Relationship Id="rId82" Type="http://schemas.openxmlformats.org/officeDocument/2006/relationships/footer" Target="footer2.xml"/><Relationship Id="rId14" Type="http://schemas.openxmlformats.org/officeDocument/2006/relationships/hyperlink" Target="https://eur-lex.europa.eu/legal-content/EN/TXT/?uri=CELEX%3A61969CJ0029" TargetMode="External"/><Relationship Id="rId22" Type="http://schemas.openxmlformats.org/officeDocument/2006/relationships/hyperlink" Target="https://eur-lex.europa.eu/legal-content/EN/TXT/?uri=CELEX:62010CO0617" TargetMode="External"/><Relationship Id="rId27" Type="http://schemas.openxmlformats.org/officeDocument/2006/relationships/hyperlink" Target="https://eur-lex.europa.eu/legal-content/FR/TXT/?uri=CELEX%3A62012CJ0176" TargetMode="External"/><Relationship Id="rId30" Type="http://schemas.openxmlformats.org/officeDocument/2006/relationships/diagramData" Target="diagrams/data1.xml"/><Relationship Id="rId35" Type="http://schemas.openxmlformats.org/officeDocument/2006/relationships/hyperlink" Target="https://eur-lex.europa.eu/legal-content/FR/TXT/?uri=CELEX%3A62011CJ0399" TargetMode="External"/><Relationship Id="rId48" Type="http://schemas.openxmlformats.org/officeDocument/2006/relationships/diagramLayout" Target="diagrams/layout2.xml"/><Relationship Id="rId56" Type="http://schemas.openxmlformats.org/officeDocument/2006/relationships/diagramColors" Target="diagrams/colors3.xml"/><Relationship Id="rId64" Type="http://schemas.openxmlformats.org/officeDocument/2006/relationships/hyperlink" Target="https://www.conseil-constitutionnel.fr/en/decision/2021/2021940QPC.htm" TargetMode="External"/><Relationship Id="rId69" Type="http://schemas.openxmlformats.org/officeDocument/2006/relationships/hyperlink" Target="https://eur-lex.europa.eu/legal-content/EN/TXT/?uri=CELEX%3A62013CJ0416" TargetMode="External"/><Relationship Id="rId77" Type="http://schemas.openxmlformats.org/officeDocument/2006/relationships/image" Target="media/image10.jpeg"/><Relationship Id="rId8" Type="http://schemas.openxmlformats.org/officeDocument/2006/relationships/webSettings" Target="webSettings.xml"/><Relationship Id="rId51" Type="http://schemas.microsoft.com/office/2007/relationships/diagramDrawing" Target="diagrams/drawing2.xml"/><Relationship Id="rId72" Type="http://schemas.openxmlformats.org/officeDocument/2006/relationships/hyperlink" Target="https://eur-lex.europa.eu/legal-content/EN/TXT/?uri=CELEX%3A62010CJ0411" TargetMode="External"/><Relationship Id="rId80" Type="http://schemas.openxmlformats.org/officeDocument/2006/relationships/header" Target="header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yperlink" Target="https://eur-lex.europa.eu/legal-content/EN/TXT/?uri=celex%3A61970CJ0011" TargetMode="External"/><Relationship Id="rId25" Type="http://schemas.openxmlformats.org/officeDocument/2006/relationships/hyperlink" Target="https://eur-lex.europa.eu/legal-content/FR/TXT/?uri=CELEX%3A62014CJ0117" TargetMode="External"/><Relationship Id="rId33" Type="http://schemas.openxmlformats.org/officeDocument/2006/relationships/diagramColors" Target="diagrams/colors1.xml"/><Relationship Id="rId38" Type="http://schemas.openxmlformats.org/officeDocument/2006/relationships/hyperlink" Target="https://eur-lex.europa.eu/legal-content/EN/TXT/?uri=ecli%3AECLI%3AEU%3AC%3A2022%3A702" TargetMode="External"/><Relationship Id="rId46" Type="http://schemas.openxmlformats.org/officeDocument/2006/relationships/image" Target="media/image70.svg"/><Relationship Id="rId59" Type="http://schemas.openxmlformats.org/officeDocument/2006/relationships/hyperlink" Target="https://eur-lex.europa.eu/legal-content/FR/ALL/?uri=CELEX%3A62014CJ0203" TargetMode="External"/><Relationship Id="rId67" Type="http://schemas.openxmlformats.org/officeDocument/2006/relationships/hyperlink" Target="https://eur-lex.europa.eu/legal-content/EN/TXT/?uri=CELEX%3A62011CJ0415" TargetMode="External"/><Relationship Id="rId20" Type="http://schemas.openxmlformats.org/officeDocument/2006/relationships/hyperlink" Target="https://eur-lex.europa.eu/legal-content/EN/TXT/?uri=CELEX%3A62016CJ0403" TargetMode="External"/><Relationship Id="rId54" Type="http://schemas.openxmlformats.org/officeDocument/2006/relationships/diagramLayout" Target="diagrams/layout3.xml"/><Relationship Id="rId62" Type="http://schemas.openxmlformats.org/officeDocument/2006/relationships/hyperlink" Target="https://eur-lex.europa.eu/legal-content/EN/TXT/?uri=CELEX:62017CC0556" TargetMode="External"/><Relationship Id="rId70" Type="http://schemas.openxmlformats.org/officeDocument/2006/relationships/hyperlink" Target="https://eur-lex.europa.eu/legal-content/EN/TXT/?uri=CELEX%3A62014CJ0117" TargetMode="External"/><Relationship Id="rId75" Type="http://schemas.openxmlformats.org/officeDocument/2006/relationships/hyperlink" Target="https://ie.vlex.com/vid/dwyer-v-commissioner-of-793471601" TargetMode="External"/><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eur-lex.europa.eu/legal-content/EN/TXT/?uri=CELEX%3A61969CJ0029" TargetMode="External"/><Relationship Id="rId23" Type="http://schemas.openxmlformats.org/officeDocument/2006/relationships/hyperlink" Target="https://eur-lex.europa.eu/legal-content/EN/TXT/?uri=CELEX:62010CO0617" TargetMode="External"/><Relationship Id="rId28" Type="http://schemas.openxmlformats.org/officeDocument/2006/relationships/hyperlink" Target="https://eur-lex.europa.eu/legal-content/FR/TXT/?uri=CELEX%3A62016CJ0414" TargetMode="External"/><Relationship Id="rId36" Type="http://schemas.openxmlformats.org/officeDocument/2006/relationships/hyperlink" Target="https://eur-lex.europa.eu/legal-content/EN/TXT/?uri=ecli%3AECLI%3AEU%3AC%3A2022%3A702" TargetMode="External"/><Relationship Id="rId49" Type="http://schemas.openxmlformats.org/officeDocument/2006/relationships/diagramQuickStyle" Target="diagrams/quickStyle2.xml"/><Relationship Id="rId57" Type="http://schemas.microsoft.com/office/2007/relationships/diagramDrawing" Target="diagrams/drawing3.xml"/><Relationship Id="rId10" Type="http://schemas.openxmlformats.org/officeDocument/2006/relationships/endnotes" Target="endnotes.xml"/><Relationship Id="rId31" Type="http://schemas.openxmlformats.org/officeDocument/2006/relationships/diagramLayout" Target="diagrams/layout1.xml"/><Relationship Id="rId52" Type="http://schemas.openxmlformats.org/officeDocument/2006/relationships/image" Target="media/image8.png"/><Relationship Id="rId60" Type="http://schemas.openxmlformats.org/officeDocument/2006/relationships/hyperlink" Target="https://eur-lex.europa.eu/legal-content/EN/TXT/?uri=CELEX%3A61981CJ0283" TargetMode="External"/><Relationship Id="rId65" Type="http://schemas.openxmlformats.org/officeDocument/2006/relationships/hyperlink" Target="https://www.conseil-constitutionnel.fr/decision/2013/2013314pqpc.htm" TargetMode="External"/><Relationship Id="rId73" Type="http://schemas.openxmlformats.org/officeDocument/2006/relationships/hyperlink" Target="https://ie.vlex.com/vid/s-minor-suing-by-942637519" TargetMode="External"/><Relationship Id="rId78" Type="http://schemas.openxmlformats.org/officeDocument/2006/relationships/image" Target="media/image11.jpeg"/><Relationship Id="rId81"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hyperlink" Target="https://eur-lex.europa.eu/legal-content/EN/TXT/?uri=CELEX%3A62016CJ0403" TargetMode="External"/><Relationship Id="rId39" Type="http://schemas.openxmlformats.org/officeDocument/2006/relationships/image" Target="media/image6.png"/><Relationship Id="rId34" Type="http://schemas.microsoft.com/office/2007/relationships/diagramDrawing" Target="diagrams/drawing1.xml"/><Relationship Id="rId50" Type="http://schemas.openxmlformats.org/officeDocument/2006/relationships/diagramColors" Target="diagrams/colors2.xml"/><Relationship Id="rId55" Type="http://schemas.openxmlformats.org/officeDocument/2006/relationships/diagramQuickStyle" Target="diagrams/quickStyle3.xml"/><Relationship Id="rId76" Type="http://schemas.openxmlformats.org/officeDocument/2006/relationships/image" Target="media/image9.jpeg"/><Relationship Id="rId7" Type="http://schemas.openxmlformats.org/officeDocument/2006/relationships/settings" Target="settings.xml"/><Relationship Id="rId71" Type="http://schemas.openxmlformats.org/officeDocument/2006/relationships/hyperlink" Target="https://eur-lex.europa.eu/legal-content/EN/TXT/?uri=CELEX%3A62010CJ0411" TargetMode="External"/><Relationship Id="rId2" Type="http://schemas.openxmlformats.org/officeDocument/2006/relationships/customXml" Target="../customXml/item2.xml"/><Relationship Id="rId29" Type="http://schemas.openxmlformats.org/officeDocument/2006/relationships/hyperlink" Target="https://eur-lex.europa.eu/legal-content/FR/TXT/?uri=CELEX:62016CJ0684"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15.jpeg"/><Relationship Id="rId1" Type="http://schemas.openxmlformats.org/officeDocument/2006/relationships/image" Target="media/image14.jpe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diagrams/colors1.xml><?xml version="1.0" encoding="utf-8"?>
<dgm:colorsDef xmlns:dgm="http://schemas.openxmlformats.org/drawingml/2006/diagram" xmlns:a="http://schemas.openxmlformats.org/drawingml/2006/main" uniqueId="urn:microsoft.com/office/officeart/2005/8/colors/accent5_2">
  <dgm:title val=""/>
  <dgm:desc val=""/>
  <dgm:catLst>
    <dgm:cat type="accent5" pri="11200"/>
  </dgm:catLst>
  <dgm:styleLbl name="node0">
    <dgm:fillClrLst meth="repeat">
      <a:schemeClr val="accent5"/>
    </dgm:fillClrLst>
    <dgm:linClrLst meth="repeat">
      <a:schemeClr val="lt1"/>
    </dgm:linClrLst>
    <dgm:effectClrLst/>
    <dgm:txLinClrLst/>
    <dgm:txFillClrLst/>
    <dgm:txEffectClrLst/>
  </dgm:styleLbl>
  <dgm:styleLbl name="node1">
    <dgm:fillClrLst meth="repeat">
      <a:schemeClr val="accent5"/>
    </dgm:fillClrLst>
    <dgm:linClrLst meth="repeat">
      <a:schemeClr val="lt1"/>
    </dgm:linClrLst>
    <dgm:effectClrLst/>
    <dgm:txLinClrLst/>
    <dgm:txFillClrLst/>
    <dgm:txEffectClrLst/>
  </dgm:styleLbl>
  <dgm:styleLbl name="alignNode1">
    <dgm:fillClrLst meth="repeat">
      <a:schemeClr val="accent5"/>
    </dgm:fillClrLst>
    <dgm:linClrLst meth="repeat">
      <a:schemeClr val="accent5"/>
    </dgm:linClrLst>
    <dgm:effectClrLst/>
    <dgm:txLinClrLst/>
    <dgm:txFillClrLst/>
    <dgm:txEffectClrLst/>
  </dgm:styleLbl>
  <dgm:styleLbl name="lnNode1">
    <dgm:fillClrLst meth="repeat">
      <a:schemeClr val="accent5"/>
    </dgm:fillClrLst>
    <dgm:linClrLst meth="repeat">
      <a:schemeClr val="lt1"/>
    </dgm:linClrLst>
    <dgm:effectClrLst/>
    <dgm:txLinClrLst/>
    <dgm:txFillClrLst/>
    <dgm:txEffectClrLst/>
  </dgm:styleLbl>
  <dgm:styleLbl name="vennNode1">
    <dgm:fillClrLst meth="repeat">
      <a:schemeClr val="accent5">
        <a:alpha val="50000"/>
      </a:schemeClr>
    </dgm:fillClrLst>
    <dgm:linClrLst meth="repeat">
      <a:schemeClr val="lt1"/>
    </dgm:linClrLst>
    <dgm:effectClrLst/>
    <dgm:txLinClrLst/>
    <dgm:txFillClrLst/>
    <dgm:txEffectClrLst/>
  </dgm:styleLbl>
  <dgm:styleLbl name="node2">
    <dgm:fillClrLst meth="repeat">
      <a:schemeClr val="accent5"/>
    </dgm:fillClrLst>
    <dgm:linClrLst meth="repeat">
      <a:schemeClr val="lt1"/>
    </dgm:linClrLst>
    <dgm:effectClrLst/>
    <dgm:txLinClrLst/>
    <dgm:txFillClrLst/>
    <dgm:txEffectClrLst/>
  </dgm:styleLbl>
  <dgm:styleLbl name="node3">
    <dgm:fillClrLst meth="repeat">
      <a:schemeClr val="accent5"/>
    </dgm:fillClrLst>
    <dgm:linClrLst meth="repeat">
      <a:schemeClr val="lt1"/>
    </dgm:linClrLst>
    <dgm:effectClrLst/>
    <dgm:txLinClrLst/>
    <dgm:txFillClrLst/>
    <dgm:txEffectClrLst/>
  </dgm:styleLbl>
  <dgm:styleLbl name="node4">
    <dgm:fillClrLst meth="repeat">
      <a:schemeClr val="accent5"/>
    </dgm:fillClrLst>
    <dgm:linClrLst meth="repeat">
      <a:schemeClr val="lt1"/>
    </dgm:linClrLst>
    <dgm:effectClrLst/>
    <dgm:txLinClrLst/>
    <dgm:txFillClrLst/>
    <dgm:txEffectClrLst/>
  </dgm:styleLbl>
  <dgm:styleLbl name="fg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5">
        <a:tint val="60000"/>
      </a:schemeClr>
    </dgm:fillClrLst>
    <dgm:linClrLst meth="repeat">
      <a:schemeClr val="accent5">
        <a:tint val="60000"/>
      </a:schemeClr>
    </dgm:linClrLst>
    <dgm:effectClrLst/>
    <dgm:txLinClrLst/>
    <dgm:txFillClrLst/>
    <dgm:txEffectClrLst/>
  </dgm:styleLbl>
  <dgm:styleLbl name="fgSibTrans2D1">
    <dgm:fillClrLst meth="repeat">
      <a:schemeClr val="accent5">
        <a:tint val="60000"/>
      </a:schemeClr>
    </dgm:fillClrLst>
    <dgm:linClrLst meth="repeat">
      <a:schemeClr val="accent5">
        <a:tint val="60000"/>
      </a:schemeClr>
    </dgm:linClrLst>
    <dgm:effectClrLst/>
    <dgm:txLinClrLst/>
    <dgm:txFillClrLst/>
    <dgm:txEffectClrLst/>
  </dgm:styleLbl>
  <dgm:styleLbl name="bgSibTrans2D1">
    <dgm:fillClrLst meth="repeat">
      <a:schemeClr val="accent5">
        <a:tint val="60000"/>
      </a:schemeClr>
    </dgm:fillClrLst>
    <dgm:linClrLst meth="repeat">
      <a:schemeClr val="accent5">
        <a:tint val="60000"/>
      </a:schemeClr>
    </dgm:linClrLst>
    <dgm:effectClrLst/>
    <dgm:txLinClrLst/>
    <dgm:txFillClrLst/>
    <dgm:txEffectClrLst/>
  </dgm:styleLbl>
  <dgm:styleLbl name="sibTrans1D1">
    <dgm:fillClrLst meth="repeat">
      <a:schemeClr val="accent5"/>
    </dgm:fillClrLst>
    <dgm:linClrLst meth="repeat">
      <a:schemeClr val="accent5"/>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dgm:linClrLst>
    <dgm:effectClrLst/>
    <dgm:txLinClrLst/>
    <dgm:txFillClrLst/>
    <dgm:txEffectClrLst/>
  </dgm:styleLbl>
  <dgm:styleLbl name="asst1">
    <dgm:fillClrLst meth="repeat">
      <a:schemeClr val="accent5"/>
    </dgm:fillClrLst>
    <dgm:linClrLst meth="repeat">
      <a:schemeClr val="lt1"/>
    </dgm:linClrLst>
    <dgm:effectClrLst/>
    <dgm:txLinClrLst/>
    <dgm:txFillClrLst/>
    <dgm:txEffectClrLst/>
  </dgm:styleLbl>
  <dgm:styleLbl name="asst2">
    <dgm:fillClrLst meth="repeat">
      <a:schemeClr val="accent5"/>
    </dgm:fillClrLst>
    <dgm:linClrLst meth="repeat">
      <a:schemeClr val="lt1"/>
    </dgm:linClrLst>
    <dgm:effectClrLst/>
    <dgm:txLinClrLst/>
    <dgm:txFillClrLst/>
    <dgm:txEffectClrLst/>
  </dgm:styleLbl>
  <dgm:styleLbl name="asst3">
    <dgm:fillClrLst meth="repeat">
      <a:schemeClr val="accent5"/>
    </dgm:fillClrLst>
    <dgm:linClrLst meth="repeat">
      <a:schemeClr val="lt1"/>
    </dgm:linClrLst>
    <dgm:effectClrLst/>
    <dgm:txLinClrLst/>
    <dgm:txFillClrLst/>
    <dgm:txEffectClrLst/>
  </dgm:styleLbl>
  <dgm:styleLbl name="asst4">
    <dgm:fillClrLst meth="repeat">
      <a:schemeClr val="accent5"/>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dgm:fillClrLst>
    <dgm:linClrLst meth="repeat">
      <a:schemeClr val="accent5"/>
    </dgm:linClrLst>
    <dgm:effectClrLst/>
    <dgm:txLinClrLst/>
    <dgm:txFillClrLst meth="repeat">
      <a:schemeClr val="lt1"/>
    </dgm:txFillClrLst>
    <dgm:txEffectClrLst/>
  </dgm:styleLbl>
  <dgm:styleLbl name="parChTrans2D3">
    <dgm:fillClrLst meth="repeat">
      <a:schemeClr val="accent5"/>
    </dgm:fillClrLst>
    <dgm:linClrLst meth="repeat">
      <a:schemeClr val="accent5"/>
    </dgm:linClrLst>
    <dgm:effectClrLst/>
    <dgm:txLinClrLst/>
    <dgm:txFillClrLst meth="repeat">
      <a:schemeClr val="lt1"/>
    </dgm:txFillClrLst>
    <dgm:txEffectClrLst/>
  </dgm:styleLbl>
  <dgm:styleLbl name="parChTrans2D4">
    <dgm:fillClrLst meth="repeat">
      <a:schemeClr val="accent5"/>
    </dgm:fillClrLst>
    <dgm:linClrLst meth="repeat">
      <a:schemeClr val="accent5"/>
    </dgm:linClrLst>
    <dgm:effectClrLst/>
    <dgm:txLinClrLst/>
    <dgm:txFillClrLst meth="repeat">
      <a:schemeClr val="lt1"/>
    </dgm:txFillClrLst>
    <dgm:txEffectClrLst/>
  </dgm:styleLbl>
  <dgm:styleLbl name="parChTrans1D1">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2">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3">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parChTrans1D4">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solidFgAcc1">
    <dgm:fillClrLst meth="repeat">
      <a:schemeClr val="lt1"/>
    </dgm:fillClrLst>
    <dgm:linClrLst meth="repeat">
      <a:schemeClr val="accent5"/>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accent5"/>
    </dgm:linClrLst>
    <dgm:effectClrLst/>
    <dgm:txLinClrLst/>
    <dgm:txFillClrLst meth="repeat">
      <a:schemeClr val="dk1"/>
    </dgm:txFillClrLst>
    <dgm:txEffectClrLst/>
  </dgm:styleLbl>
  <dgm:styleLbl name="dkBgShp">
    <dgm:fillClrLst meth="repeat">
      <a:schemeClr val="accent5">
        <a:shade val="80000"/>
      </a:schemeClr>
    </dgm:fillClrLst>
    <dgm:linClrLst meth="repeat">
      <a:schemeClr val="accent5"/>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4">
  <dgm:title val=""/>
  <dgm:desc val=""/>
  <dgm:catLst>
    <dgm:cat type="accent1" pri="11400"/>
  </dgm:catLst>
  <dgm:styleLbl name="node0">
    <dgm:fillClrLst meth="cycle">
      <a:schemeClr val="accent1">
        <a:shade val="60000"/>
      </a:schemeClr>
    </dgm:fillClrLst>
    <dgm:linClrLst meth="repeat">
      <a:schemeClr val="lt1"/>
    </dgm:linClrLst>
    <dgm:effectClrLst/>
    <dgm:txLinClrLst/>
    <dgm:txFillClrLst/>
    <dgm:txEffectClrLst/>
  </dgm:styleLbl>
  <dgm:styleLbl name="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alignNode1">
    <dgm:fillClrLst meth="cycle">
      <a:schemeClr val="accent1">
        <a:shade val="50000"/>
      </a:schemeClr>
      <a:schemeClr val="accent1">
        <a:tint val="55000"/>
      </a:schemeClr>
    </dgm:fillClrLst>
    <dgm:linClrLst meth="cycle">
      <a:schemeClr val="accent1">
        <a:shade val="50000"/>
      </a:schemeClr>
      <a:schemeClr val="accent1">
        <a:tint val="55000"/>
      </a:schemeClr>
    </dgm:linClrLst>
    <dgm:effectClrLst/>
    <dgm:txLinClrLst/>
    <dgm:txFillClrLst/>
    <dgm:txEffectClrLst/>
  </dgm:styleLbl>
  <dgm:styleLbl name="ln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vennNode1">
    <dgm:fillClrLst meth="cycle">
      <a:schemeClr val="accent1">
        <a:shade val="80000"/>
        <a:alpha val="50000"/>
      </a:schemeClr>
      <a:schemeClr val="accent1">
        <a:tint val="50000"/>
        <a:alpha val="50000"/>
      </a:schemeClr>
    </dgm:fillClrLst>
    <dgm:linClrLst meth="repeat">
      <a:schemeClr val="lt1"/>
    </dgm:linClrLst>
    <dgm:effectClrLst/>
    <dgm:txLinClrLst/>
    <dgm:txFillClrLst/>
    <dgm:txEffectClrLst/>
  </dgm:styleLbl>
  <dgm:styleLbl name="node2">
    <dgm:fillClrLst>
      <a:schemeClr val="accent1">
        <a:shade val="80000"/>
      </a:schemeClr>
    </dgm:fillClrLst>
    <dgm:linClrLst meth="repeat">
      <a:schemeClr val="lt1"/>
    </dgm:linClrLst>
    <dgm:effectClrLst/>
    <dgm:txLinClrLst/>
    <dgm:txFillClrLst/>
    <dgm:txEffectClrLst/>
  </dgm:styleLbl>
  <dgm:styleLbl name="node3">
    <dgm:fillClrLst>
      <a:schemeClr val="accent1">
        <a:tint val="99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f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b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sibTrans1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0000"/>
      </a:schemeClr>
    </dgm:fillClrLst>
    <dgm:linClrLst meth="repeat">
      <a:schemeClr val="lt1"/>
    </dgm:linClrLst>
    <dgm:effectClrLst/>
    <dgm:txLinClrLst/>
    <dgm:txFillClrLst/>
    <dgm:txEffectClrLst/>
  </dgm:styleLbl>
  <dgm:styleLbl name="asst3">
    <dgm:fillClrLst>
      <a:schemeClr val="accent1">
        <a:tint val="70000"/>
      </a:schemeClr>
    </dgm:fillClrLst>
    <dgm:linClrLst meth="repeat">
      <a:schemeClr val="lt1"/>
    </dgm:linClrLst>
    <dgm:effectClrLst/>
    <dgm:txLinClrLst/>
    <dgm:txFillClrLst/>
    <dgm:txEffectClrLst/>
  </dgm:styleLbl>
  <dgm:styleLbl name="asst4">
    <dgm:fillClrLst>
      <a:schemeClr val="accent1">
        <a:tint val="5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align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bgAccFollowNode1">
    <dgm:fillClrLst meth="repeat">
      <a:schemeClr val="accent1">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55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4">
  <dgm:title val=""/>
  <dgm:desc val=""/>
  <dgm:catLst>
    <dgm:cat type="accent1" pri="11400"/>
  </dgm:catLst>
  <dgm:styleLbl name="node0">
    <dgm:fillClrLst meth="cycle">
      <a:schemeClr val="accent1">
        <a:shade val="60000"/>
      </a:schemeClr>
    </dgm:fillClrLst>
    <dgm:linClrLst meth="repeat">
      <a:schemeClr val="lt1"/>
    </dgm:linClrLst>
    <dgm:effectClrLst/>
    <dgm:txLinClrLst/>
    <dgm:txFillClrLst/>
    <dgm:txEffectClrLst/>
  </dgm:styleLbl>
  <dgm:styleLbl name="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alignNode1">
    <dgm:fillClrLst meth="cycle">
      <a:schemeClr val="accent1">
        <a:shade val="50000"/>
      </a:schemeClr>
      <a:schemeClr val="accent1">
        <a:tint val="55000"/>
      </a:schemeClr>
    </dgm:fillClrLst>
    <dgm:linClrLst meth="cycle">
      <a:schemeClr val="accent1">
        <a:shade val="50000"/>
      </a:schemeClr>
      <a:schemeClr val="accent1">
        <a:tint val="55000"/>
      </a:schemeClr>
    </dgm:linClrLst>
    <dgm:effectClrLst/>
    <dgm:txLinClrLst/>
    <dgm:txFillClrLst/>
    <dgm:txEffectClrLst/>
  </dgm:styleLbl>
  <dgm:styleLbl name="ln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vennNode1">
    <dgm:fillClrLst meth="cycle">
      <a:schemeClr val="accent1">
        <a:shade val="80000"/>
        <a:alpha val="50000"/>
      </a:schemeClr>
      <a:schemeClr val="accent1">
        <a:tint val="50000"/>
        <a:alpha val="50000"/>
      </a:schemeClr>
    </dgm:fillClrLst>
    <dgm:linClrLst meth="repeat">
      <a:schemeClr val="lt1"/>
    </dgm:linClrLst>
    <dgm:effectClrLst/>
    <dgm:txLinClrLst/>
    <dgm:txFillClrLst/>
    <dgm:txEffectClrLst/>
  </dgm:styleLbl>
  <dgm:styleLbl name="node2">
    <dgm:fillClrLst>
      <a:schemeClr val="accent1">
        <a:shade val="80000"/>
      </a:schemeClr>
    </dgm:fillClrLst>
    <dgm:linClrLst meth="repeat">
      <a:schemeClr val="lt1"/>
    </dgm:linClrLst>
    <dgm:effectClrLst/>
    <dgm:txLinClrLst/>
    <dgm:txFillClrLst/>
    <dgm:txEffectClrLst/>
  </dgm:styleLbl>
  <dgm:styleLbl name="node3">
    <dgm:fillClrLst>
      <a:schemeClr val="accent1">
        <a:tint val="99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f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b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sibTrans1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0000"/>
      </a:schemeClr>
    </dgm:fillClrLst>
    <dgm:linClrLst meth="repeat">
      <a:schemeClr val="lt1"/>
    </dgm:linClrLst>
    <dgm:effectClrLst/>
    <dgm:txLinClrLst/>
    <dgm:txFillClrLst/>
    <dgm:txEffectClrLst/>
  </dgm:styleLbl>
  <dgm:styleLbl name="asst3">
    <dgm:fillClrLst>
      <a:schemeClr val="accent1">
        <a:tint val="70000"/>
      </a:schemeClr>
    </dgm:fillClrLst>
    <dgm:linClrLst meth="repeat">
      <a:schemeClr val="lt1"/>
    </dgm:linClrLst>
    <dgm:effectClrLst/>
    <dgm:txLinClrLst/>
    <dgm:txFillClrLst/>
    <dgm:txEffectClrLst/>
  </dgm:styleLbl>
  <dgm:styleLbl name="asst4">
    <dgm:fillClrLst>
      <a:schemeClr val="accent1">
        <a:tint val="5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align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bgAccFollowNode1">
    <dgm:fillClrLst meth="repeat">
      <a:schemeClr val="accent1">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55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C31BF3C-CFB4-4232-BA49-6393D90362B9}" type="doc">
      <dgm:prSet loTypeId="urn:microsoft.com/office/officeart/2005/8/layout/hList9" loCatId="list" qsTypeId="urn:microsoft.com/office/officeart/2005/8/quickstyle/simple2" qsCatId="simple" csTypeId="urn:microsoft.com/office/officeart/2005/8/colors/accent5_2" csCatId="accent5" phldr="1"/>
      <dgm:spPr/>
      <dgm:t>
        <a:bodyPr/>
        <a:lstStyle/>
        <a:p>
          <a:endParaRPr lang="ca-ES"/>
        </a:p>
      </dgm:t>
    </dgm:pt>
    <dgm:pt modelId="{AAA98418-2DB7-41E0-B6A5-E48AE9708B10}">
      <dgm:prSet phldrT="[Text]"/>
      <dgm:spPr>
        <a:solidFill>
          <a:schemeClr val="bg1"/>
        </a:solidFill>
        <a:ln>
          <a:solidFill>
            <a:srgbClr val="B6A04C"/>
          </a:solidFill>
        </a:ln>
      </dgm:spPr>
      <dgm:t>
        <a:bodyPr/>
        <a:lstStyle/>
        <a:p>
          <a:r>
            <a:rPr lang="ca-ES">
              <a:solidFill>
                <a:srgbClr val="B6A04C"/>
              </a:solidFill>
            </a:rPr>
            <a:t>Rights</a:t>
          </a:r>
        </a:p>
      </dgm:t>
    </dgm:pt>
    <dgm:pt modelId="{13D0AA84-C8A1-4FE7-B40B-B5B15B369A00}" type="parTrans" cxnId="{B5A0057F-CD46-406F-BF15-51B3CA6D93F9}">
      <dgm:prSet/>
      <dgm:spPr/>
      <dgm:t>
        <a:bodyPr/>
        <a:lstStyle/>
        <a:p>
          <a:endParaRPr lang="ca-ES"/>
        </a:p>
      </dgm:t>
    </dgm:pt>
    <dgm:pt modelId="{3F48A840-1D07-477D-BE46-59A80619B75E}" type="sibTrans" cxnId="{B5A0057F-CD46-406F-BF15-51B3CA6D93F9}">
      <dgm:prSet/>
      <dgm:spPr/>
      <dgm:t>
        <a:bodyPr/>
        <a:lstStyle/>
        <a:p>
          <a:endParaRPr lang="ca-ES"/>
        </a:p>
      </dgm:t>
    </dgm:pt>
    <dgm:pt modelId="{63848847-5C81-47E7-A49B-B71B0ABE4C07}">
      <dgm:prSet phldrT="[Text]" custT="1"/>
      <dgm:spPr>
        <a:solidFill>
          <a:srgbClr val="B6A04C">
            <a:alpha val="90000"/>
          </a:srgbClr>
        </a:solidFill>
        <a:ln>
          <a:noFill/>
        </a:ln>
      </dgm:spPr>
      <dgm:t>
        <a:bodyPr/>
        <a:lstStyle/>
        <a:p>
          <a:r>
            <a:rPr lang="en-US" sz="1000" b="0">
              <a:solidFill>
                <a:schemeClr val="bg1"/>
              </a:solidFill>
            </a:rPr>
            <a:t>The right to life (Art. 2)</a:t>
          </a:r>
        </a:p>
        <a:p>
          <a:r>
            <a:rPr lang="en-US" sz="1000" b="0">
              <a:solidFill>
                <a:schemeClr val="bg1"/>
              </a:solidFill>
            </a:rPr>
            <a:t>The right to liberty and security (Art. 6)</a:t>
          </a:r>
        </a:p>
        <a:p>
          <a:r>
            <a:rPr lang="en-US" sz="1000" b="0">
              <a:solidFill>
                <a:schemeClr val="bg1"/>
              </a:solidFill>
            </a:rPr>
            <a:t>The right for respect private and family life (Art. 8)</a:t>
          </a:r>
        </a:p>
        <a:p>
          <a:r>
            <a:rPr lang="en-US" sz="1000" b="0">
              <a:solidFill>
                <a:schemeClr val="bg1"/>
              </a:solidFill>
            </a:rPr>
            <a:t>The prohibition of torture (Art. 4)</a:t>
          </a:r>
        </a:p>
        <a:p>
          <a:r>
            <a:rPr lang="en-US" sz="700"/>
            <a:t>...</a:t>
          </a:r>
          <a:endParaRPr lang="ca-ES" sz="700"/>
        </a:p>
      </dgm:t>
    </dgm:pt>
    <dgm:pt modelId="{EABD3211-9090-4AB8-BC15-640C64E16E91}" type="parTrans" cxnId="{23A52DFE-968D-40F8-A2A1-A8D2EA1EDB79}">
      <dgm:prSet/>
      <dgm:spPr/>
      <dgm:t>
        <a:bodyPr/>
        <a:lstStyle/>
        <a:p>
          <a:endParaRPr lang="ca-ES"/>
        </a:p>
      </dgm:t>
    </dgm:pt>
    <dgm:pt modelId="{303742EF-532C-4B39-96AC-EBCD44DE3AEC}" type="sibTrans" cxnId="{23A52DFE-968D-40F8-A2A1-A8D2EA1EDB79}">
      <dgm:prSet/>
      <dgm:spPr/>
      <dgm:t>
        <a:bodyPr/>
        <a:lstStyle/>
        <a:p>
          <a:endParaRPr lang="ca-ES"/>
        </a:p>
      </dgm:t>
    </dgm:pt>
    <dgm:pt modelId="{095DF408-A325-41F2-B5AB-2144435CA267}">
      <dgm:prSet phldrT="[Text]"/>
      <dgm:spPr>
        <a:solidFill>
          <a:schemeClr val="bg1"/>
        </a:solidFill>
        <a:ln>
          <a:solidFill>
            <a:srgbClr val="B6A04C"/>
          </a:solidFill>
        </a:ln>
      </dgm:spPr>
      <dgm:t>
        <a:bodyPr/>
        <a:lstStyle/>
        <a:p>
          <a:r>
            <a:rPr lang="ca-ES">
              <a:solidFill>
                <a:srgbClr val="B6A04C"/>
              </a:solidFill>
            </a:rPr>
            <a:t>Principles</a:t>
          </a:r>
        </a:p>
      </dgm:t>
    </dgm:pt>
    <dgm:pt modelId="{0E7F61F7-7CDF-4BB1-AAC1-39CB44CB16B3}" type="parTrans" cxnId="{78D8C084-96B8-42FB-8876-6898D7E1F0DF}">
      <dgm:prSet/>
      <dgm:spPr/>
      <dgm:t>
        <a:bodyPr/>
        <a:lstStyle/>
        <a:p>
          <a:endParaRPr lang="ca-ES"/>
        </a:p>
      </dgm:t>
    </dgm:pt>
    <dgm:pt modelId="{5D08062A-4A62-43A1-B6CB-58AF34E21DCB}" type="sibTrans" cxnId="{78D8C084-96B8-42FB-8876-6898D7E1F0DF}">
      <dgm:prSet/>
      <dgm:spPr/>
      <dgm:t>
        <a:bodyPr/>
        <a:lstStyle/>
        <a:p>
          <a:endParaRPr lang="ca-ES"/>
        </a:p>
      </dgm:t>
    </dgm:pt>
    <dgm:pt modelId="{DED50D6C-64AC-425A-B3E3-6608D9EAB4D5}">
      <dgm:prSet phldrT="[Text]" custT="1"/>
      <dgm:spPr>
        <a:solidFill>
          <a:srgbClr val="B6A04C">
            <a:alpha val="90000"/>
          </a:srgbClr>
        </a:solidFill>
        <a:ln>
          <a:noFill/>
        </a:ln>
      </dgm:spPr>
      <dgm:t>
        <a:bodyPr/>
        <a:lstStyle/>
        <a:p>
          <a:r>
            <a:rPr lang="en-US" sz="1000">
              <a:solidFill>
                <a:schemeClr val="bg1"/>
              </a:solidFill>
            </a:rPr>
            <a:t>Freedom to conduct a business (Art. 16)</a:t>
          </a:r>
        </a:p>
        <a:p>
          <a:r>
            <a:rPr lang="en-US" sz="1000">
              <a:solidFill>
                <a:schemeClr val="bg1"/>
              </a:solidFill>
            </a:rPr>
            <a:t>The right of collective bargaining and action (Art. 28)</a:t>
          </a:r>
        </a:p>
        <a:p>
          <a:r>
            <a:rPr lang="en-US" sz="1000">
              <a:solidFill>
                <a:schemeClr val="bg1"/>
              </a:solidFill>
            </a:rPr>
            <a:t>Environmental protection (Art. 37)</a:t>
          </a:r>
        </a:p>
        <a:p>
          <a:r>
            <a:rPr lang="en-US" sz="1000">
              <a:solidFill>
                <a:schemeClr val="bg1"/>
              </a:solidFill>
            </a:rPr>
            <a:t>... </a:t>
          </a:r>
          <a:endParaRPr lang="ca-ES" sz="1000">
            <a:solidFill>
              <a:schemeClr val="bg1"/>
            </a:solidFill>
          </a:endParaRPr>
        </a:p>
      </dgm:t>
    </dgm:pt>
    <dgm:pt modelId="{5833592C-091D-4902-97BD-F61DA927542D}" type="parTrans" cxnId="{91A65B0B-7538-4218-BADB-DD696774962B}">
      <dgm:prSet/>
      <dgm:spPr/>
      <dgm:t>
        <a:bodyPr/>
        <a:lstStyle/>
        <a:p>
          <a:endParaRPr lang="ca-ES"/>
        </a:p>
      </dgm:t>
    </dgm:pt>
    <dgm:pt modelId="{4AF98E52-FD93-4669-8292-B0796E7A7944}" type="sibTrans" cxnId="{91A65B0B-7538-4218-BADB-DD696774962B}">
      <dgm:prSet/>
      <dgm:spPr/>
      <dgm:t>
        <a:bodyPr/>
        <a:lstStyle/>
        <a:p>
          <a:endParaRPr lang="ca-ES"/>
        </a:p>
      </dgm:t>
    </dgm:pt>
    <dgm:pt modelId="{364E8096-E2B5-40CA-A0EF-12F36E77964C}" type="pres">
      <dgm:prSet presAssocID="{4C31BF3C-CFB4-4232-BA49-6393D90362B9}" presName="list" presStyleCnt="0">
        <dgm:presLayoutVars>
          <dgm:dir/>
          <dgm:animLvl val="lvl"/>
        </dgm:presLayoutVars>
      </dgm:prSet>
      <dgm:spPr/>
    </dgm:pt>
    <dgm:pt modelId="{D657F2EF-EA72-42CB-8C6C-054675DD9375}" type="pres">
      <dgm:prSet presAssocID="{AAA98418-2DB7-41E0-B6A5-E48AE9708B10}" presName="posSpace" presStyleCnt="0"/>
      <dgm:spPr/>
    </dgm:pt>
    <dgm:pt modelId="{CA72D155-0751-4040-B01C-52DCB4612CA3}" type="pres">
      <dgm:prSet presAssocID="{AAA98418-2DB7-41E0-B6A5-E48AE9708B10}" presName="vertFlow" presStyleCnt="0"/>
      <dgm:spPr/>
    </dgm:pt>
    <dgm:pt modelId="{1B19185C-DF1D-498C-9221-E5C12E333909}" type="pres">
      <dgm:prSet presAssocID="{AAA98418-2DB7-41E0-B6A5-E48AE9708B10}" presName="topSpace" presStyleCnt="0"/>
      <dgm:spPr/>
    </dgm:pt>
    <dgm:pt modelId="{10D8D41C-3A42-433C-BD09-9A5091A5781A}" type="pres">
      <dgm:prSet presAssocID="{AAA98418-2DB7-41E0-B6A5-E48AE9708B10}" presName="firstComp" presStyleCnt="0"/>
      <dgm:spPr/>
    </dgm:pt>
    <dgm:pt modelId="{B0620D57-AD93-49BC-9A43-2A169E43592F}" type="pres">
      <dgm:prSet presAssocID="{AAA98418-2DB7-41E0-B6A5-E48AE9708B10}" presName="firstChild" presStyleLbl="bgAccFollowNode1" presStyleIdx="0" presStyleCnt="2" custScaleY="146209"/>
      <dgm:spPr>
        <a:prstGeom prst="roundRect">
          <a:avLst/>
        </a:prstGeom>
      </dgm:spPr>
    </dgm:pt>
    <dgm:pt modelId="{A8752821-BD52-4C8E-83EA-4C3F4210DD93}" type="pres">
      <dgm:prSet presAssocID="{AAA98418-2DB7-41E0-B6A5-E48AE9708B10}" presName="firstChildTx" presStyleLbl="bgAccFollowNode1" presStyleIdx="0" presStyleCnt="2">
        <dgm:presLayoutVars>
          <dgm:bulletEnabled val="1"/>
        </dgm:presLayoutVars>
      </dgm:prSet>
      <dgm:spPr/>
    </dgm:pt>
    <dgm:pt modelId="{FC537F22-51A2-4B56-97B8-7E15EFAC065A}" type="pres">
      <dgm:prSet presAssocID="{AAA98418-2DB7-41E0-B6A5-E48AE9708B10}" presName="negSpace" presStyleCnt="0"/>
      <dgm:spPr/>
    </dgm:pt>
    <dgm:pt modelId="{6A1669C2-4A0B-43B2-83C9-C8C1050A2793}" type="pres">
      <dgm:prSet presAssocID="{AAA98418-2DB7-41E0-B6A5-E48AE9708B10}" presName="circle" presStyleLbl="node1" presStyleIdx="0" presStyleCnt="2"/>
      <dgm:spPr/>
    </dgm:pt>
    <dgm:pt modelId="{42758CC1-50ED-4EE2-A2FC-0D3AE10157A9}" type="pres">
      <dgm:prSet presAssocID="{3F48A840-1D07-477D-BE46-59A80619B75E}" presName="transSpace" presStyleCnt="0"/>
      <dgm:spPr/>
    </dgm:pt>
    <dgm:pt modelId="{B8DF4137-5CEC-42A3-A7E2-A2CC719D40CD}" type="pres">
      <dgm:prSet presAssocID="{095DF408-A325-41F2-B5AB-2144435CA267}" presName="posSpace" presStyleCnt="0"/>
      <dgm:spPr/>
    </dgm:pt>
    <dgm:pt modelId="{DAFBBEE6-719C-462A-BB81-19BB82A3F7E9}" type="pres">
      <dgm:prSet presAssocID="{095DF408-A325-41F2-B5AB-2144435CA267}" presName="vertFlow" presStyleCnt="0"/>
      <dgm:spPr/>
    </dgm:pt>
    <dgm:pt modelId="{27F8F585-77B1-433C-921C-6344320F8ED3}" type="pres">
      <dgm:prSet presAssocID="{095DF408-A325-41F2-B5AB-2144435CA267}" presName="topSpace" presStyleCnt="0"/>
      <dgm:spPr/>
    </dgm:pt>
    <dgm:pt modelId="{F41D8C8E-8A51-4036-9E83-59BB10496BBC}" type="pres">
      <dgm:prSet presAssocID="{095DF408-A325-41F2-B5AB-2144435CA267}" presName="firstComp" presStyleCnt="0"/>
      <dgm:spPr/>
    </dgm:pt>
    <dgm:pt modelId="{FCD530B5-7BFB-452C-BD56-F976180369E9}" type="pres">
      <dgm:prSet presAssocID="{095DF408-A325-41F2-B5AB-2144435CA267}" presName="firstChild" presStyleLbl="bgAccFollowNode1" presStyleIdx="1" presStyleCnt="2" custScaleY="148466"/>
      <dgm:spPr>
        <a:prstGeom prst="roundRect">
          <a:avLst/>
        </a:prstGeom>
      </dgm:spPr>
    </dgm:pt>
    <dgm:pt modelId="{5C0FF4A4-0A14-40B6-B4E1-000F7004565B}" type="pres">
      <dgm:prSet presAssocID="{095DF408-A325-41F2-B5AB-2144435CA267}" presName="firstChildTx" presStyleLbl="bgAccFollowNode1" presStyleIdx="1" presStyleCnt="2">
        <dgm:presLayoutVars>
          <dgm:bulletEnabled val="1"/>
        </dgm:presLayoutVars>
      </dgm:prSet>
      <dgm:spPr>
        <a:prstGeom prst="roundRect">
          <a:avLst/>
        </a:prstGeom>
      </dgm:spPr>
    </dgm:pt>
    <dgm:pt modelId="{3D7FE6B1-54F5-474F-ACF9-F2BF1EAD1878}" type="pres">
      <dgm:prSet presAssocID="{095DF408-A325-41F2-B5AB-2144435CA267}" presName="negSpace" presStyleCnt="0"/>
      <dgm:spPr/>
    </dgm:pt>
    <dgm:pt modelId="{447720BD-F307-4FB9-8136-C6F0DA797394}" type="pres">
      <dgm:prSet presAssocID="{095DF408-A325-41F2-B5AB-2144435CA267}" presName="circle" presStyleLbl="node1" presStyleIdx="1" presStyleCnt="2" custLinFactNeighborX="-477" custLinFactNeighborY="-9881"/>
      <dgm:spPr/>
    </dgm:pt>
  </dgm:ptLst>
  <dgm:cxnLst>
    <dgm:cxn modelId="{91A65B0B-7538-4218-BADB-DD696774962B}" srcId="{095DF408-A325-41F2-B5AB-2144435CA267}" destId="{DED50D6C-64AC-425A-B3E3-6608D9EAB4D5}" srcOrd="0" destOrd="0" parTransId="{5833592C-091D-4902-97BD-F61DA927542D}" sibTransId="{4AF98E52-FD93-4669-8292-B0796E7A7944}"/>
    <dgm:cxn modelId="{29C66613-65E1-4233-8796-01ED5BB5529C}" type="presOf" srcId="{DED50D6C-64AC-425A-B3E3-6608D9EAB4D5}" destId="{FCD530B5-7BFB-452C-BD56-F976180369E9}" srcOrd="0" destOrd="0" presId="urn:microsoft.com/office/officeart/2005/8/layout/hList9"/>
    <dgm:cxn modelId="{E0AFF928-219D-4BBF-BB54-89AEF071725B}" type="presOf" srcId="{AAA98418-2DB7-41E0-B6A5-E48AE9708B10}" destId="{6A1669C2-4A0B-43B2-83C9-C8C1050A2793}" srcOrd="0" destOrd="0" presId="urn:microsoft.com/office/officeart/2005/8/layout/hList9"/>
    <dgm:cxn modelId="{AF281B4E-EFA4-4445-AC0E-D52824A485C1}" type="presOf" srcId="{63848847-5C81-47E7-A49B-B71B0ABE4C07}" destId="{A8752821-BD52-4C8E-83EA-4C3F4210DD93}" srcOrd="1" destOrd="0" presId="urn:microsoft.com/office/officeart/2005/8/layout/hList9"/>
    <dgm:cxn modelId="{B5A0057F-CD46-406F-BF15-51B3CA6D93F9}" srcId="{4C31BF3C-CFB4-4232-BA49-6393D90362B9}" destId="{AAA98418-2DB7-41E0-B6A5-E48AE9708B10}" srcOrd="0" destOrd="0" parTransId="{13D0AA84-C8A1-4FE7-B40B-B5B15B369A00}" sibTransId="{3F48A840-1D07-477D-BE46-59A80619B75E}"/>
    <dgm:cxn modelId="{4BB6FC82-6DC1-4EDB-8DB7-0CA846F2FB04}" type="presOf" srcId="{DED50D6C-64AC-425A-B3E3-6608D9EAB4D5}" destId="{5C0FF4A4-0A14-40B6-B4E1-000F7004565B}" srcOrd="1" destOrd="0" presId="urn:microsoft.com/office/officeart/2005/8/layout/hList9"/>
    <dgm:cxn modelId="{78D8C084-96B8-42FB-8876-6898D7E1F0DF}" srcId="{4C31BF3C-CFB4-4232-BA49-6393D90362B9}" destId="{095DF408-A325-41F2-B5AB-2144435CA267}" srcOrd="1" destOrd="0" parTransId="{0E7F61F7-7CDF-4BB1-AAC1-39CB44CB16B3}" sibTransId="{5D08062A-4A62-43A1-B6CB-58AF34E21DCB}"/>
    <dgm:cxn modelId="{9063C595-C32C-4D1F-9538-A318F87B8A51}" type="presOf" srcId="{63848847-5C81-47E7-A49B-B71B0ABE4C07}" destId="{B0620D57-AD93-49BC-9A43-2A169E43592F}" srcOrd="0" destOrd="0" presId="urn:microsoft.com/office/officeart/2005/8/layout/hList9"/>
    <dgm:cxn modelId="{943AEFDD-C9F4-4375-9396-FFCAADD3B4B4}" type="presOf" srcId="{095DF408-A325-41F2-B5AB-2144435CA267}" destId="{447720BD-F307-4FB9-8136-C6F0DA797394}" srcOrd="0" destOrd="0" presId="urn:microsoft.com/office/officeart/2005/8/layout/hList9"/>
    <dgm:cxn modelId="{F95021F2-8878-4FE5-9380-23BDCE14F362}" type="presOf" srcId="{4C31BF3C-CFB4-4232-BA49-6393D90362B9}" destId="{364E8096-E2B5-40CA-A0EF-12F36E77964C}" srcOrd="0" destOrd="0" presId="urn:microsoft.com/office/officeart/2005/8/layout/hList9"/>
    <dgm:cxn modelId="{23A52DFE-968D-40F8-A2A1-A8D2EA1EDB79}" srcId="{AAA98418-2DB7-41E0-B6A5-E48AE9708B10}" destId="{63848847-5C81-47E7-A49B-B71B0ABE4C07}" srcOrd="0" destOrd="0" parTransId="{EABD3211-9090-4AB8-BC15-640C64E16E91}" sibTransId="{303742EF-532C-4B39-96AC-EBCD44DE3AEC}"/>
    <dgm:cxn modelId="{EEFB592D-5581-4772-8343-D531DA0A1DDF}" type="presParOf" srcId="{364E8096-E2B5-40CA-A0EF-12F36E77964C}" destId="{D657F2EF-EA72-42CB-8C6C-054675DD9375}" srcOrd="0" destOrd="0" presId="urn:microsoft.com/office/officeart/2005/8/layout/hList9"/>
    <dgm:cxn modelId="{2EF7C4C0-D21E-47BF-846A-FAAAD40676EA}" type="presParOf" srcId="{364E8096-E2B5-40CA-A0EF-12F36E77964C}" destId="{CA72D155-0751-4040-B01C-52DCB4612CA3}" srcOrd="1" destOrd="0" presId="urn:microsoft.com/office/officeart/2005/8/layout/hList9"/>
    <dgm:cxn modelId="{4D984935-BF52-4BA3-BB62-7F709287991E}" type="presParOf" srcId="{CA72D155-0751-4040-B01C-52DCB4612CA3}" destId="{1B19185C-DF1D-498C-9221-E5C12E333909}" srcOrd="0" destOrd="0" presId="urn:microsoft.com/office/officeart/2005/8/layout/hList9"/>
    <dgm:cxn modelId="{F17AADA3-6371-4C6D-981F-FDCEB449C332}" type="presParOf" srcId="{CA72D155-0751-4040-B01C-52DCB4612CA3}" destId="{10D8D41C-3A42-433C-BD09-9A5091A5781A}" srcOrd="1" destOrd="0" presId="urn:microsoft.com/office/officeart/2005/8/layout/hList9"/>
    <dgm:cxn modelId="{5BD0868C-6357-4A76-A7A8-198DFCFB19AE}" type="presParOf" srcId="{10D8D41C-3A42-433C-BD09-9A5091A5781A}" destId="{B0620D57-AD93-49BC-9A43-2A169E43592F}" srcOrd="0" destOrd="0" presId="urn:microsoft.com/office/officeart/2005/8/layout/hList9"/>
    <dgm:cxn modelId="{CF6500AF-EEAE-4EDD-9E0D-04F9B3358C3F}" type="presParOf" srcId="{10D8D41C-3A42-433C-BD09-9A5091A5781A}" destId="{A8752821-BD52-4C8E-83EA-4C3F4210DD93}" srcOrd="1" destOrd="0" presId="urn:microsoft.com/office/officeart/2005/8/layout/hList9"/>
    <dgm:cxn modelId="{1B02CF64-AAFD-4C12-901E-EEBA9BA586D6}" type="presParOf" srcId="{364E8096-E2B5-40CA-A0EF-12F36E77964C}" destId="{FC537F22-51A2-4B56-97B8-7E15EFAC065A}" srcOrd="2" destOrd="0" presId="urn:microsoft.com/office/officeart/2005/8/layout/hList9"/>
    <dgm:cxn modelId="{F4D290BE-205E-4C2E-BA24-CA2EDB490B0D}" type="presParOf" srcId="{364E8096-E2B5-40CA-A0EF-12F36E77964C}" destId="{6A1669C2-4A0B-43B2-83C9-C8C1050A2793}" srcOrd="3" destOrd="0" presId="urn:microsoft.com/office/officeart/2005/8/layout/hList9"/>
    <dgm:cxn modelId="{02C9AE66-359B-4955-BD80-6E7F26A5F03E}" type="presParOf" srcId="{364E8096-E2B5-40CA-A0EF-12F36E77964C}" destId="{42758CC1-50ED-4EE2-A2FC-0D3AE10157A9}" srcOrd="4" destOrd="0" presId="urn:microsoft.com/office/officeart/2005/8/layout/hList9"/>
    <dgm:cxn modelId="{0DF820A7-1905-444A-B128-BF518C752979}" type="presParOf" srcId="{364E8096-E2B5-40CA-A0EF-12F36E77964C}" destId="{B8DF4137-5CEC-42A3-A7E2-A2CC719D40CD}" srcOrd="5" destOrd="0" presId="urn:microsoft.com/office/officeart/2005/8/layout/hList9"/>
    <dgm:cxn modelId="{F01F3627-C5A1-4984-93C7-F936BF31CA25}" type="presParOf" srcId="{364E8096-E2B5-40CA-A0EF-12F36E77964C}" destId="{DAFBBEE6-719C-462A-BB81-19BB82A3F7E9}" srcOrd="6" destOrd="0" presId="urn:microsoft.com/office/officeart/2005/8/layout/hList9"/>
    <dgm:cxn modelId="{6B1C5DD0-24EB-4703-AEA2-77DFFC21E350}" type="presParOf" srcId="{DAFBBEE6-719C-462A-BB81-19BB82A3F7E9}" destId="{27F8F585-77B1-433C-921C-6344320F8ED3}" srcOrd="0" destOrd="0" presId="urn:microsoft.com/office/officeart/2005/8/layout/hList9"/>
    <dgm:cxn modelId="{6DA1DC72-D197-4079-BB67-70C44C5C1C32}" type="presParOf" srcId="{DAFBBEE6-719C-462A-BB81-19BB82A3F7E9}" destId="{F41D8C8E-8A51-4036-9E83-59BB10496BBC}" srcOrd="1" destOrd="0" presId="urn:microsoft.com/office/officeart/2005/8/layout/hList9"/>
    <dgm:cxn modelId="{51972AD6-BC9F-4115-91F0-F586D48EF79E}" type="presParOf" srcId="{F41D8C8E-8A51-4036-9E83-59BB10496BBC}" destId="{FCD530B5-7BFB-452C-BD56-F976180369E9}" srcOrd="0" destOrd="0" presId="urn:microsoft.com/office/officeart/2005/8/layout/hList9"/>
    <dgm:cxn modelId="{A7BB35C3-2B2A-4632-A6C2-6340223289A2}" type="presParOf" srcId="{F41D8C8E-8A51-4036-9E83-59BB10496BBC}" destId="{5C0FF4A4-0A14-40B6-B4E1-000F7004565B}" srcOrd="1" destOrd="0" presId="urn:microsoft.com/office/officeart/2005/8/layout/hList9"/>
    <dgm:cxn modelId="{197A5509-5FD0-4412-B26E-6F07C7D11151}" type="presParOf" srcId="{364E8096-E2B5-40CA-A0EF-12F36E77964C}" destId="{3D7FE6B1-54F5-474F-ACF9-F2BF1EAD1878}" srcOrd="7" destOrd="0" presId="urn:microsoft.com/office/officeart/2005/8/layout/hList9"/>
    <dgm:cxn modelId="{E3D9EC26-04E0-480B-99AB-4AA67C97C3D4}" type="presParOf" srcId="{364E8096-E2B5-40CA-A0EF-12F36E77964C}" destId="{447720BD-F307-4FB9-8136-C6F0DA797394}" srcOrd="8" destOrd="0" presId="urn:microsoft.com/office/officeart/2005/8/layout/hList9"/>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0E9D2B33-1887-480C-806C-A47E774FAEAB}" type="doc">
      <dgm:prSet loTypeId="urn:microsoft.com/office/officeart/2005/8/layout/hierarchy1" loCatId="hierarchy" qsTypeId="urn:microsoft.com/office/officeart/2005/8/quickstyle/simple3" qsCatId="simple" csTypeId="urn:microsoft.com/office/officeart/2005/8/colors/accent1_4" csCatId="accent1" phldr="1"/>
      <dgm:spPr/>
      <dgm:t>
        <a:bodyPr/>
        <a:lstStyle/>
        <a:p>
          <a:endParaRPr lang="en-GB"/>
        </a:p>
      </dgm:t>
    </dgm:pt>
    <dgm:pt modelId="{8C7A3434-7725-44CD-ACCA-DA02294571EA}">
      <dgm:prSet phldrT="[Texte]" custT="1"/>
      <dgm:spPr>
        <a:ln>
          <a:solidFill>
            <a:srgbClr val="B6A04C"/>
          </a:solidFill>
        </a:ln>
      </dgm:spPr>
      <dgm:t>
        <a:bodyPr/>
        <a:lstStyle/>
        <a:p>
          <a:r>
            <a:rPr lang="en-GB" sz="1200" b="1">
              <a:solidFill>
                <a:srgbClr val="B6A04C"/>
              </a:solidFill>
            </a:rPr>
            <a:t>Is the EU Charter applicable? </a:t>
          </a:r>
        </a:p>
        <a:p>
          <a:r>
            <a:rPr lang="en-GB" sz="1000">
              <a:solidFill>
                <a:srgbClr val="B6A04C"/>
              </a:solidFill>
            </a:rPr>
            <a:t>Within the meaning of Art. 51</a:t>
          </a:r>
        </a:p>
      </dgm:t>
    </dgm:pt>
    <dgm:pt modelId="{73F6C825-89D2-4003-9D7E-368856BC1A35}" type="parTrans" cxnId="{60CB21D9-D162-4699-B044-9FA10BFC6E54}">
      <dgm:prSet/>
      <dgm:spPr/>
      <dgm:t>
        <a:bodyPr/>
        <a:lstStyle/>
        <a:p>
          <a:endParaRPr lang="en-GB"/>
        </a:p>
      </dgm:t>
    </dgm:pt>
    <dgm:pt modelId="{EDB25F53-6F8E-433D-9990-FE69A8B6F29F}" type="sibTrans" cxnId="{60CB21D9-D162-4699-B044-9FA10BFC6E54}">
      <dgm:prSet/>
      <dgm:spPr/>
      <dgm:t>
        <a:bodyPr/>
        <a:lstStyle/>
        <a:p>
          <a:endParaRPr lang="en-GB"/>
        </a:p>
      </dgm:t>
    </dgm:pt>
    <dgm:pt modelId="{6F32F1F0-75E9-4E98-A179-2C2DA6B738BF}" type="asst">
      <dgm:prSet phldrT="[Texte]" custT="1"/>
      <dgm:spPr>
        <a:ln>
          <a:solidFill>
            <a:srgbClr val="B6A04C"/>
          </a:solidFill>
        </a:ln>
      </dgm:spPr>
      <dgm:t>
        <a:bodyPr/>
        <a:lstStyle/>
        <a:p>
          <a:r>
            <a:rPr lang="en-GB" sz="1200" b="1">
              <a:solidFill>
                <a:srgbClr val="B6A04C"/>
              </a:solidFill>
            </a:rPr>
            <a:t>YES : </a:t>
          </a:r>
        </a:p>
        <a:p>
          <a:r>
            <a:rPr lang="en-GB" sz="1000"/>
            <a:t>The Member State is implementing EU Law so, the Charter can be "triggered" and applied </a:t>
          </a:r>
        </a:p>
      </dgm:t>
    </dgm:pt>
    <dgm:pt modelId="{912AA900-E890-4DBC-983E-C8184BB05AA3}" type="parTrans" cxnId="{E98CABCF-5A5E-43CE-B96A-DDE1DF1B406C}">
      <dgm:prSet/>
      <dgm:spPr>
        <a:ln>
          <a:solidFill>
            <a:srgbClr val="B6A04C"/>
          </a:solidFill>
        </a:ln>
      </dgm:spPr>
      <dgm:t>
        <a:bodyPr/>
        <a:lstStyle/>
        <a:p>
          <a:endParaRPr lang="en-GB"/>
        </a:p>
      </dgm:t>
    </dgm:pt>
    <dgm:pt modelId="{88CA89FD-7A36-4273-A7C2-FAD66DF8FF69}" type="sibTrans" cxnId="{E98CABCF-5A5E-43CE-B96A-DDE1DF1B406C}">
      <dgm:prSet/>
      <dgm:spPr/>
      <dgm:t>
        <a:bodyPr/>
        <a:lstStyle/>
        <a:p>
          <a:endParaRPr lang="en-GB"/>
        </a:p>
      </dgm:t>
    </dgm:pt>
    <dgm:pt modelId="{A761462E-B288-49B1-89FE-728359CBC04A}">
      <dgm:prSet phldrT="[Texte]" custT="1"/>
      <dgm:spPr>
        <a:solidFill>
          <a:srgbClr val="EDE7D3">
            <a:alpha val="89804"/>
          </a:srgbClr>
        </a:solidFill>
        <a:ln>
          <a:solidFill>
            <a:srgbClr val="B6A04C"/>
          </a:solidFill>
        </a:ln>
      </dgm:spPr>
      <dgm:t>
        <a:bodyPr/>
        <a:lstStyle/>
        <a:p>
          <a:r>
            <a:rPr lang="en-GB" sz="1200" b="1">
              <a:solidFill>
                <a:srgbClr val="B6A04C"/>
              </a:solidFill>
            </a:rPr>
            <a:t>NO </a:t>
          </a:r>
          <a:r>
            <a:rPr lang="en-GB" sz="1800">
              <a:solidFill>
                <a:srgbClr val="B6A04C"/>
              </a:solidFill>
            </a:rPr>
            <a:t>: </a:t>
          </a:r>
        </a:p>
        <a:p>
          <a:r>
            <a:rPr lang="en-GB" sz="1000"/>
            <a:t>The Charter does not apply </a:t>
          </a:r>
        </a:p>
      </dgm:t>
    </dgm:pt>
    <dgm:pt modelId="{BCC273D3-D33D-4C05-8B15-0904F7F85972}" type="parTrans" cxnId="{51E14766-1D7C-4964-9636-F304B18C4A7F}">
      <dgm:prSet/>
      <dgm:spPr>
        <a:ln>
          <a:solidFill>
            <a:srgbClr val="B6A04C"/>
          </a:solidFill>
        </a:ln>
      </dgm:spPr>
      <dgm:t>
        <a:bodyPr/>
        <a:lstStyle/>
        <a:p>
          <a:endParaRPr lang="en-GB"/>
        </a:p>
      </dgm:t>
    </dgm:pt>
    <dgm:pt modelId="{2B9CF628-1D90-4F7F-9CC6-F1F663CDAB95}" type="sibTrans" cxnId="{51E14766-1D7C-4964-9636-F304B18C4A7F}">
      <dgm:prSet/>
      <dgm:spPr/>
      <dgm:t>
        <a:bodyPr/>
        <a:lstStyle/>
        <a:p>
          <a:endParaRPr lang="en-GB"/>
        </a:p>
      </dgm:t>
    </dgm:pt>
    <dgm:pt modelId="{731013D5-DDD5-43E3-806F-DB4F3D760EA9}">
      <dgm:prSet custT="1"/>
      <dgm:spPr>
        <a:ln>
          <a:solidFill>
            <a:srgbClr val="B6A04C"/>
          </a:solidFill>
        </a:ln>
      </dgm:spPr>
      <dgm:t>
        <a:bodyPr/>
        <a:lstStyle/>
        <a:p>
          <a:pPr algn="l"/>
          <a:r>
            <a:rPr lang="en-GB" sz="1000" b="1"/>
            <a:t>	</a:t>
          </a:r>
          <a:r>
            <a:rPr lang="en-GB" sz="1000" b="1">
              <a:solidFill>
                <a:srgbClr val="2C2D5B"/>
              </a:solidFill>
            </a:rPr>
            <a:t>Determine relevant CJEU case law </a:t>
          </a:r>
          <a:r>
            <a:rPr lang="en-GB" sz="1000" b="0">
              <a:solidFill>
                <a:srgbClr val="2C2D5B"/>
              </a:solidFill>
            </a:rPr>
            <a:t>: Reference any relevant case from the CJEU that interprets the provisions of the Charter related to the case </a:t>
          </a:r>
          <a:endParaRPr lang="en-GB" sz="1000" b="1">
            <a:solidFill>
              <a:srgbClr val="2C2D5B"/>
            </a:solidFill>
          </a:endParaRPr>
        </a:p>
      </dgm:t>
    </dgm:pt>
    <dgm:pt modelId="{2101B36A-A4C1-422D-9A75-DB0E34602086}" type="parTrans" cxnId="{787C01E5-2BDB-4085-ADE3-DA074F941F16}">
      <dgm:prSet/>
      <dgm:spPr>
        <a:ln>
          <a:solidFill>
            <a:srgbClr val="B6A04C"/>
          </a:solidFill>
        </a:ln>
      </dgm:spPr>
      <dgm:t>
        <a:bodyPr/>
        <a:lstStyle/>
        <a:p>
          <a:endParaRPr lang="en-GB"/>
        </a:p>
      </dgm:t>
    </dgm:pt>
    <dgm:pt modelId="{091EAF23-AE76-404C-9897-5190EA67ED4C}" type="sibTrans" cxnId="{787C01E5-2BDB-4085-ADE3-DA074F941F16}">
      <dgm:prSet/>
      <dgm:spPr/>
      <dgm:t>
        <a:bodyPr/>
        <a:lstStyle/>
        <a:p>
          <a:endParaRPr lang="en-GB"/>
        </a:p>
      </dgm:t>
    </dgm:pt>
    <dgm:pt modelId="{86067BCC-B8B6-4B13-BBB5-040DEE759097}">
      <dgm:prSet custT="1"/>
      <dgm:spPr>
        <a:ln>
          <a:solidFill>
            <a:srgbClr val="B6A04C"/>
          </a:solidFill>
        </a:ln>
      </dgm:spPr>
      <dgm:t>
        <a:bodyPr/>
        <a:lstStyle/>
        <a:p>
          <a:r>
            <a:rPr lang="en-GB" sz="1000" b="1">
              <a:solidFill>
                <a:srgbClr val="2C2D5B"/>
              </a:solidFill>
            </a:rPr>
            <a:t>Identify which right(s) of the Charter is/are violated</a:t>
          </a:r>
        </a:p>
      </dgm:t>
    </dgm:pt>
    <dgm:pt modelId="{EBACA63C-95CD-45BD-A913-6C9D9E0E336F}" type="parTrans" cxnId="{1C493861-6283-4EF0-8299-4E6B857C5404}">
      <dgm:prSet/>
      <dgm:spPr>
        <a:ln>
          <a:solidFill>
            <a:srgbClr val="B6A04C"/>
          </a:solidFill>
        </a:ln>
      </dgm:spPr>
      <dgm:t>
        <a:bodyPr/>
        <a:lstStyle/>
        <a:p>
          <a:endParaRPr lang="en-GB"/>
        </a:p>
      </dgm:t>
    </dgm:pt>
    <dgm:pt modelId="{35A496A5-9C6B-480A-A8EF-CB64B970AC77}" type="sibTrans" cxnId="{1C493861-6283-4EF0-8299-4E6B857C5404}">
      <dgm:prSet/>
      <dgm:spPr/>
      <dgm:t>
        <a:bodyPr/>
        <a:lstStyle/>
        <a:p>
          <a:endParaRPr lang="en-GB"/>
        </a:p>
      </dgm:t>
    </dgm:pt>
    <dgm:pt modelId="{1C91D924-04D5-4A2F-9EED-AD427459F9D4}">
      <dgm:prSet custT="1"/>
      <dgm:spPr>
        <a:ln>
          <a:solidFill>
            <a:srgbClr val="B6A04C"/>
          </a:solidFill>
        </a:ln>
      </dgm:spPr>
      <dgm:t>
        <a:bodyPr/>
        <a:lstStyle/>
        <a:p>
          <a:r>
            <a:rPr lang="en-GB" sz="1000" b="1"/>
            <a:t> Art. 53 of the Charter </a:t>
          </a:r>
          <a:r>
            <a:rPr lang="en-GB" sz="1000"/>
            <a:t>: Lawyers should also refer to the ECHR and the ECtHR case law </a:t>
          </a:r>
        </a:p>
      </dgm:t>
    </dgm:pt>
    <dgm:pt modelId="{B2401BC3-62A8-4687-B500-2D2ED7BB508F}" type="parTrans" cxnId="{69AE5300-D140-4D95-972D-DE4B223355AD}">
      <dgm:prSet/>
      <dgm:spPr>
        <a:ln>
          <a:solidFill>
            <a:srgbClr val="B6A04C"/>
          </a:solidFill>
        </a:ln>
      </dgm:spPr>
      <dgm:t>
        <a:bodyPr/>
        <a:lstStyle/>
        <a:p>
          <a:endParaRPr lang="en-GB"/>
        </a:p>
      </dgm:t>
    </dgm:pt>
    <dgm:pt modelId="{72431A92-7D92-48F2-9A6D-2ABFD9BA98F4}" type="sibTrans" cxnId="{69AE5300-D140-4D95-972D-DE4B223355AD}">
      <dgm:prSet/>
      <dgm:spPr/>
      <dgm:t>
        <a:bodyPr/>
        <a:lstStyle/>
        <a:p>
          <a:endParaRPr lang="en-GB"/>
        </a:p>
      </dgm:t>
    </dgm:pt>
    <dgm:pt modelId="{CC7677B9-FEB3-4BFF-B43F-E07D90D9D2FC}" type="pres">
      <dgm:prSet presAssocID="{0E9D2B33-1887-480C-806C-A47E774FAEAB}" presName="hierChild1" presStyleCnt="0">
        <dgm:presLayoutVars>
          <dgm:chPref val="1"/>
          <dgm:dir/>
          <dgm:animOne val="branch"/>
          <dgm:animLvl val="lvl"/>
          <dgm:resizeHandles/>
        </dgm:presLayoutVars>
      </dgm:prSet>
      <dgm:spPr/>
    </dgm:pt>
    <dgm:pt modelId="{2CD53220-2200-4576-BE50-7C068E63649E}" type="pres">
      <dgm:prSet presAssocID="{8C7A3434-7725-44CD-ACCA-DA02294571EA}" presName="hierRoot1" presStyleCnt="0"/>
      <dgm:spPr/>
    </dgm:pt>
    <dgm:pt modelId="{F8D2EE82-84D5-461F-8BCE-51D431A1C622}" type="pres">
      <dgm:prSet presAssocID="{8C7A3434-7725-44CD-ACCA-DA02294571EA}" presName="composite" presStyleCnt="0"/>
      <dgm:spPr/>
    </dgm:pt>
    <dgm:pt modelId="{3A17DAA9-C1B3-438E-9097-0D9835D04689}" type="pres">
      <dgm:prSet presAssocID="{8C7A3434-7725-44CD-ACCA-DA02294571EA}" presName="background" presStyleLbl="node0" presStyleIdx="0" presStyleCnt="1"/>
      <dgm:spPr>
        <a:solidFill>
          <a:srgbClr val="C9CAE5"/>
        </a:solidFill>
        <a:ln>
          <a:noFill/>
        </a:ln>
      </dgm:spPr>
    </dgm:pt>
    <dgm:pt modelId="{874A4998-1E59-4565-96F1-3854B83A7F30}" type="pres">
      <dgm:prSet presAssocID="{8C7A3434-7725-44CD-ACCA-DA02294571EA}" presName="text" presStyleLbl="fgAcc0" presStyleIdx="0" presStyleCnt="1">
        <dgm:presLayoutVars>
          <dgm:chPref val="3"/>
        </dgm:presLayoutVars>
      </dgm:prSet>
      <dgm:spPr/>
    </dgm:pt>
    <dgm:pt modelId="{7672B8B0-9D03-41A7-AC4D-80E82F041527}" type="pres">
      <dgm:prSet presAssocID="{8C7A3434-7725-44CD-ACCA-DA02294571EA}" presName="hierChild2" presStyleCnt="0"/>
      <dgm:spPr/>
    </dgm:pt>
    <dgm:pt modelId="{E2E1FD22-750D-4495-BFBE-F9452C501778}" type="pres">
      <dgm:prSet presAssocID="{912AA900-E890-4DBC-983E-C8184BB05AA3}" presName="Name10" presStyleLbl="parChTrans1D2" presStyleIdx="0" presStyleCnt="2"/>
      <dgm:spPr/>
    </dgm:pt>
    <dgm:pt modelId="{7B9FCE3C-3B9D-41C8-9444-0FEAB7B52C6D}" type="pres">
      <dgm:prSet presAssocID="{6F32F1F0-75E9-4E98-A179-2C2DA6B738BF}" presName="hierRoot2" presStyleCnt="0"/>
      <dgm:spPr/>
    </dgm:pt>
    <dgm:pt modelId="{715370EB-3661-49E8-8308-2E3187977283}" type="pres">
      <dgm:prSet presAssocID="{6F32F1F0-75E9-4E98-A179-2C2DA6B738BF}" presName="composite2" presStyleCnt="0"/>
      <dgm:spPr/>
    </dgm:pt>
    <dgm:pt modelId="{F7FFA1C1-5CC4-4D7A-BBE5-85A642F02886}" type="pres">
      <dgm:prSet presAssocID="{6F32F1F0-75E9-4E98-A179-2C2DA6B738BF}" presName="background2" presStyleLbl="asst1" presStyleIdx="0" presStyleCnt="1"/>
      <dgm:spPr>
        <a:solidFill>
          <a:srgbClr val="C9CAE5"/>
        </a:solidFill>
        <a:ln>
          <a:noFill/>
        </a:ln>
      </dgm:spPr>
    </dgm:pt>
    <dgm:pt modelId="{0B79E909-E94B-4BDA-B150-829CC5CC8B2A}" type="pres">
      <dgm:prSet presAssocID="{6F32F1F0-75E9-4E98-A179-2C2DA6B738BF}" presName="text2" presStyleLbl="fgAcc2" presStyleIdx="0" presStyleCnt="2">
        <dgm:presLayoutVars>
          <dgm:chPref val="3"/>
        </dgm:presLayoutVars>
      </dgm:prSet>
      <dgm:spPr/>
    </dgm:pt>
    <dgm:pt modelId="{450C2D93-9278-40D1-B87B-F50CE281A9EF}" type="pres">
      <dgm:prSet presAssocID="{6F32F1F0-75E9-4E98-A179-2C2DA6B738BF}" presName="hierChild3" presStyleCnt="0"/>
      <dgm:spPr/>
    </dgm:pt>
    <dgm:pt modelId="{12913B75-CDA8-4C9D-BCFD-8CA37E834964}" type="pres">
      <dgm:prSet presAssocID="{2101B36A-A4C1-422D-9A75-DB0E34602086}" presName="Name17" presStyleLbl="parChTrans1D3" presStyleIdx="0" presStyleCnt="3"/>
      <dgm:spPr/>
    </dgm:pt>
    <dgm:pt modelId="{70FAFBD9-2FE8-4E35-A7AB-3133D0520564}" type="pres">
      <dgm:prSet presAssocID="{731013D5-DDD5-43E3-806F-DB4F3D760EA9}" presName="hierRoot3" presStyleCnt="0"/>
      <dgm:spPr/>
    </dgm:pt>
    <dgm:pt modelId="{A850F61C-8FAB-4F9B-ACD8-356337D55205}" type="pres">
      <dgm:prSet presAssocID="{731013D5-DDD5-43E3-806F-DB4F3D760EA9}" presName="composite3" presStyleCnt="0"/>
      <dgm:spPr/>
    </dgm:pt>
    <dgm:pt modelId="{7DD51BEF-DE78-4622-9C2E-C651CD1CB0B6}" type="pres">
      <dgm:prSet presAssocID="{731013D5-DDD5-43E3-806F-DB4F3D760EA9}" presName="background3" presStyleLbl="node3" presStyleIdx="0" presStyleCnt="3"/>
      <dgm:spPr>
        <a:solidFill>
          <a:srgbClr val="C9CAE5"/>
        </a:solidFill>
        <a:ln>
          <a:noFill/>
        </a:ln>
      </dgm:spPr>
    </dgm:pt>
    <dgm:pt modelId="{012035D8-C946-4A7A-AB3A-3973FCA08607}" type="pres">
      <dgm:prSet presAssocID="{731013D5-DDD5-43E3-806F-DB4F3D760EA9}" presName="text3" presStyleLbl="fgAcc3" presStyleIdx="0" presStyleCnt="3">
        <dgm:presLayoutVars>
          <dgm:chPref val="3"/>
        </dgm:presLayoutVars>
      </dgm:prSet>
      <dgm:spPr/>
    </dgm:pt>
    <dgm:pt modelId="{2F76CA16-1B7B-4EE3-BAB4-BE07807BC3B3}" type="pres">
      <dgm:prSet presAssocID="{731013D5-DDD5-43E3-806F-DB4F3D760EA9}" presName="hierChild4" presStyleCnt="0"/>
      <dgm:spPr/>
    </dgm:pt>
    <dgm:pt modelId="{6DE60702-C755-46CE-AA0B-C04726A3164F}" type="pres">
      <dgm:prSet presAssocID="{EBACA63C-95CD-45BD-A913-6C9D9E0E336F}" presName="Name17" presStyleLbl="parChTrans1D3" presStyleIdx="1" presStyleCnt="3"/>
      <dgm:spPr/>
    </dgm:pt>
    <dgm:pt modelId="{446D564C-8A1A-4B39-87DE-B9202B6F8106}" type="pres">
      <dgm:prSet presAssocID="{86067BCC-B8B6-4B13-BBB5-040DEE759097}" presName="hierRoot3" presStyleCnt="0"/>
      <dgm:spPr/>
    </dgm:pt>
    <dgm:pt modelId="{4024EF77-0113-434E-B766-E4E2E3D0CFC6}" type="pres">
      <dgm:prSet presAssocID="{86067BCC-B8B6-4B13-BBB5-040DEE759097}" presName="composite3" presStyleCnt="0"/>
      <dgm:spPr/>
    </dgm:pt>
    <dgm:pt modelId="{FF5FE86A-5926-49F8-B70C-955BBB1468A9}" type="pres">
      <dgm:prSet presAssocID="{86067BCC-B8B6-4B13-BBB5-040DEE759097}" presName="background3" presStyleLbl="node3" presStyleIdx="1" presStyleCnt="3"/>
      <dgm:spPr>
        <a:solidFill>
          <a:srgbClr val="C9CAE5"/>
        </a:solidFill>
        <a:ln>
          <a:solidFill>
            <a:srgbClr val="C9CAE5"/>
          </a:solidFill>
        </a:ln>
      </dgm:spPr>
    </dgm:pt>
    <dgm:pt modelId="{B6CA155A-75D7-40F6-968D-938F4A4DAB20}" type="pres">
      <dgm:prSet presAssocID="{86067BCC-B8B6-4B13-BBB5-040DEE759097}" presName="text3" presStyleLbl="fgAcc3" presStyleIdx="1" presStyleCnt="3">
        <dgm:presLayoutVars>
          <dgm:chPref val="3"/>
        </dgm:presLayoutVars>
      </dgm:prSet>
      <dgm:spPr/>
    </dgm:pt>
    <dgm:pt modelId="{749DEECD-6696-419C-8E56-C728A321F48C}" type="pres">
      <dgm:prSet presAssocID="{86067BCC-B8B6-4B13-BBB5-040DEE759097}" presName="hierChild4" presStyleCnt="0"/>
      <dgm:spPr/>
    </dgm:pt>
    <dgm:pt modelId="{40AD204A-85BD-46B6-B3B3-0C656DB7CB10}" type="pres">
      <dgm:prSet presAssocID="{B2401BC3-62A8-4687-B500-2D2ED7BB508F}" presName="Name17" presStyleLbl="parChTrans1D3" presStyleIdx="2" presStyleCnt="3"/>
      <dgm:spPr/>
    </dgm:pt>
    <dgm:pt modelId="{5E92789D-0BE8-47AA-BB53-3F1C0D613B26}" type="pres">
      <dgm:prSet presAssocID="{1C91D924-04D5-4A2F-9EED-AD427459F9D4}" presName="hierRoot3" presStyleCnt="0"/>
      <dgm:spPr/>
    </dgm:pt>
    <dgm:pt modelId="{1CDB4EE0-B60E-481E-8774-F0DB86A30A15}" type="pres">
      <dgm:prSet presAssocID="{1C91D924-04D5-4A2F-9EED-AD427459F9D4}" presName="composite3" presStyleCnt="0"/>
      <dgm:spPr/>
    </dgm:pt>
    <dgm:pt modelId="{5395ACD1-FE27-4433-88DC-12965F11D73D}" type="pres">
      <dgm:prSet presAssocID="{1C91D924-04D5-4A2F-9EED-AD427459F9D4}" presName="background3" presStyleLbl="node3" presStyleIdx="2" presStyleCnt="3"/>
      <dgm:spPr>
        <a:solidFill>
          <a:srgbClr val="C9CAE5"/>
        </a:solidFill>
        <a:ln>
          <a:solidFill>
            <a:srgbClr val="C9CAE5"/>
          </a:solidFill>
        </a:ln>
      </dgm:spPr>
    </dgm:pt>
    <dgm:pt modelId="{63F91C20-5345-44A3-ACDE-A7FBD14C98F8}" type="pres">
      <dgm:prSet presAssocID="{1C91D924-04D5-4A2F-9EED-AD427459F9D4}" presName="text3" presStyleLbl="fgAcc3" presStyleIdx="2" presStyleCnt="3">
        <dgm:presLayoutVars>
          <dgm:chPref val="3"/>
        </dgm:presLayoutVars>
      </dgm:prSet>
      <dgm:spPr/>
    </dgm:pt>
    <dgm:pt modelId="{672D11ED-9740-42B0-BD74-F232B7DE4BE2}" type="pres">
      <dgm:prSet presAssocID="{1C91D924-04D5-4A2F-9EED-AD427459F9D4}" presName="hierChild4" presStyleCnt="0"/>
      <dgm:spPr/>
    </dgm:pt>
    <dgm:pt modelId="{8EA09A4E-4413-46D1-B5ED-A2E0C0AB20FF}" type="pres">
      <dgm:prSet presAssocID="{BCC273D3-D33D-4C05-8B15-0904F7F85972}" presName="Name10" presStyleLbl="parChTrans1D2" presStyleIdx="1" presStyleCnt="2"/>
      <dgm:spPr/>
    </dgm:pt>
    <dgm:pt modelId="{3A0615A2-9C39-4BE8-A4B5-086B1B86F9B1}" type="pres">
      <dgm:prSet presAssocID="{A761462E-B288-49B1-89FE-728359CBC04A}" presName="hierRoot2" presStyleCnt="0"/>
      <dgm:spPr/>
    </dgm:pt>
    <dgm:pt modelId="{F36DA585-7038-4886-A358-55EB81270903}" type="pres">
      <dgm:prSet presAssocID="{A761462E-B288-49B1-89FE-728359CBC04A}" presName="composite2" presStyleCnt="0"/>
      <dgm:spPr/>
    </dgm:pt>
    <dgm:pt modelId="{946C8CEA-672F-4EFD-A6AA-D611BA8687FB}" type="pres">
      <dgm:prSet presAssocID="{A761462E-B288-49B1-89FE-728359CBC04A}" presName="background2" presStyleLbl="node2" presStyleIdx="0" presStyleCnt="1"/>
      <dgm:spPr>
        <a:solidFill>
          <a:srgbClr val="C9CAE5"/>
        </a:solidFill>
        <a:ln>
          <a:noFill/>
        </a:ln>
      </dgm:spPr>
    </dgm:pt>
    <dgm:pt modelId="{704C7058-2454-43F4-BF9C-DA3C315461AC}" type="pres">
      <dgm:prSet presAssocID="{A761462E-B288-49B1-89FE-728359CBC04A}" presName="text2" presStyleLbl="fgAcc2" presStyleIdx="1" presStyleCnt="2">
        <dgm:presLayoutVars>
          <dgm:chPref val="3"/>
        </dgm:presLayoutVars>
      </dgm:prSet>
      <dgm:spPr/>
    </dgm:pt>
    <dgm:pt modelId="{812C482D-A319-4BAE-926E-E99E983D29AF}" type="pres">
      <dgm:prSet presAssocID="{A761462E-B288-49B1-89FE-728359CBC04A}" presName="hierChild3" presStyleCnt="0"/>
      <dgm:spPr/>
    </dgm:pt>
  </dgm:ptLst>
  <dgm:cxnLst>
    <dgm:cxn modelId="{69AE5300-D140-4D95-972D-DE4B223355AD}" srcId="{6F32F1F0-75E9-4E98-A179-2C2DA6B738BF}" destId="{1C91D924-04D5-4A2F-9EED-AD427459F9D4}" srcOrd="2" destOrd="0" parTransId="{B2401BC3-62A8-4687-B500-2D2ED7BB508F}" sibTransId="{72431A92-7D92-48F2-9A6D-2ABFD9BA98F4}"/>
    <dgm:cxn modelId="{4990960E-8C2B-4845-9390-74346FDD3497}" type="presOf" srcId="{2101B36A-A4C1-422D-9A75-DB0E34602086}" destId="{12913B75-CDA8-4C9D-BCFD-8CA37E834964}" srcOrd="0" destOrd="0" presId="urn:microsoft.com/office/officeart/2005/8/layout/hierarchy1"/>
    <dgm:cxn modelId="{FD6FD331-125E-4037-8E20-85BA4B58FC4A}" type="presOf" srcId="{B2401BC3-62A8-4687-B500-2D2ED7BB508F}" destId="{40AD204A-85BD-46B6-B3B3-0C656DB7CB10}" srcOrd="0" destOrd="0" presId="urn:microsoft.com/office/officeart/2005/8/layout/hierarchy1"/>
    <dgm:cxn modelId="{1C493861-6283-4EF0-8299-4E6B857C5404}" srcId="{6F32F1F0-75E9-4E98-A179-2C2DA6B738BF}" destId="{86067BCC-B8B6-4B13-BBB5-040DEE759097}" srcOrd="1" destOrd="0" parTransId="{EBACA63C-95CD-45BD-A913-6C9D9E0E336F}" sibTransId="{35A496A5-9C6B-480A-A8EF-CB64B970AC77}"/>
    <dgm:cxn modelId="{51E14766-1D7C-4964-9636-F304B18C4A7F}" srcId="{8C7A3434-7725-44CD-ACCA-DA02294571EA}" destId="{A761462E-B288-49B1-89FE-728359CBC04A}" srcOrd="1" destOrd="0" parTransId="{BCC273D3-D33D-4C05-8B15-0904F7F85972}" sibTransId="{2B9CF628-1D90-4F7F-9CC6-F1F663CDAB95}"/>
    <dgm:cxn modelId="{E4E51981-610F-4CD3-907C-89376283FD3C}" type="presOf" srcId="{6F32F1F0-75E9-4E98-A179-2C2DA6B738BF}" destId="{0B79E909-E94B-4BDA-B150-829CC5CC8B2A}" srcOrd="0" destOrd="0" presId="urn:microsoft.com/office/officeart/2005/8/layout/hierarchy1"/>
    <dgm:cxn modelId="{651C9B83-6E28-4C22-B484-5D2BA133C007}" type="presOf" srcId="{8C7A3434-7725-44CD-ACCA-DA02294571EA}" destId="{874A4998-1E59-4565-96F1-3854B83A7F30}" srcOrd="0" destOrd="0" presId="urn:microsoft.com/office/officeart/2005/8/layout/hierarchy1"/>
    <dgm:cxn modelId="{C8FDA5AA-A546-4C77-A242-003AEC2AA6B5}" type="presOf" srcId="{1C91D924-04D5-4A2F-9EED-AD427459F9D4}" destId="{63F91C20-5345-44A3-ACDE-A7FBD14C98F8}" srcOrd="0" destOrd="0" presId="urn:microsoft.com/office/officeart/2005/8/layout/hierarchy1"/>
    <dgm:cxn modelId="{69AA97BC-45C8-40C4-900B-A6ED8BDF2FB3}" type="presOf" srcId="{A761462E-B288-49B1-89FE-728359CBC04A}" destId="{704C7058-2454-43F4-BF9C-DA3C315461AC}" srcOrd="0" destOrd="0" presId="urn:microsoft.com/office/officeart/2005/8/layout/hierarchy1"/>
    <dgm:cxn modelId="{E98CABCF-5A5E-43CE-B96A-DDE1DF1B406C}" srcId="{8C7A3434-7725-44CD-ACCA-DA02294571EA}" destId="{6F32F1F0-75E9-4E98-A179-2C2DA6B738BF}" srcOrd="0" destOrd="0" parTransId="{912AA900-E890-4DBC-983E-C8184BB05AA3}" sibTransId="{88CA89FD-7A36-4273-A7C2-FAD66DF8FF69}"/>
    <dgm:cxn modelId="{AE454DD0-35FF-4445-9EA0-E5EACC591282}" type="presOf" srcId="{86067BCC-B8B6-4B13-BBB5-040DEE759097}" destId="{B6CA155A-75D7-40F6-968D-938F4A4DAB20}" srcOrd="0" destOrd="0" presId="urn:microsoft.com/office/officeart/2005/8/layout/hierarchy1"/>
    <dgm:cxn modelId="{60CB21D9-D162-4699-B044-9FA10BFC6E54}" srcId="{0E9D2B33-1887-480C-806C-A47E774FAEAB}" destId="{8C7A3434-7725-44CD-ACCA-DA02294571EA}" srcOrd="0" destOrd="0" parTransId="{73F6C825-89D2-4003-9D7E-368856BC1A35}" sibTransId="{EDB25F53-6F8E-433D-9990-FE69A8B6F29F}"/>
    <dgm:cxn modelId="{F3ED58D9-146F-4E9D-8DE0-AE8DBD5993A9}" type="presOf" srcId="{731013D5-DDD5-43E3-806F-DB4F3D760EA9}" destId="{012035D8-C946-4A7A-AB3A-3973FCA08607}" srcOrd="0" destOrd="0" presId="urn:microsoft.com/office/officeart/2005/8/layout/hierarchy1"/>
    <dgm:cxn modelId="{691455DC-DCB6-49FC-8BAA-CDCEA63DE4F6}" type="presOf" srcId="{EBACA63C-95CD-45BD-A913-6C9D9E0E336F}" destId="{6DE60702-C755-46CE-AA0B-C04726A3164F}" srcOrd="0" destOrd="0" presId="urn:microsoft.com/office/officeart/2005/8/layout/hierarchy1"/>
    <dgm:cxn modelId="{787C01E5-2BDB-4085-ADE3-DA074F941F16}" srcId="{6F32F1F0-75E9-4E98-A179-2C2DA6B738BF}" destId="{731013D5-DDD5-43E3-806F-DB4F3D760EA9}" srcOrd="0" destOrd="0" parTransId="{2101B36A-A4C1-422D-9A75-DB0E34602086}" sibTransId="{091EAF23-AE76-404C-9897-5190EA67ED4C}"/>
    <dgm:cxn modelId="{5CC666E5-197C-4B89-A4E7-5D5DC38B5B44}" type="presOf" srcId="{912AA900-E890-4DBC-983E-C8184BB05AA3}" destId="{E2E1FD22-750D-4495-BFBE-F9452C501778}" srcOrd="0" destOrd="0" presId="urn:microsoft.com/office/officeart/2005/8/layout/hierarchy1"/>
    <dgm:cxn modelId="{F314CCE6-CF6E-4D9B-A2AE-CF401862FCA3}" type="presOf" srcId="{BCC273D3-D33D-4C05-8B15-0904F7F85972}" destId="{8EA09A4E-4413-46D1-B5ED-A2E0C0AB20FF}" srcOrd="0" destOrd="0" presId="urn:microsoft.com/office/officeart/2005/8/layout/hierarchy1"/>
    <dgm:cxn modelId="{FB277AF8-5009-4792-825E-F541C98CFC32}" type="presOf" srcId="{0E9D2B33-1887-480C-806C-A47E774FAEAB}" destId="{CC7677B9-FEB3-4BFF-B43F-E07D90D9D2FC}" srcOrd="0" destOrd="0" presId="urn:microsoft.com/office/officeart/2005/8/layout/hierarchy1"/>
    <dgm:cxn modelId="{86F13984-E86B-4B73-B9E5-A91ACE7F129B}" type="presParOf" srcId="{CC7677B9-FEB3-4BFF-B43F-E07D90D9D2FC}" destId="{2CD53220-2200-4576-BE50-7C068E63649E}" srcOrd="0" destOrd="0" presId="urn:microsoft.com/office/officeart/2005/8/layout/hierarchy1"/>
    <dgm:cxn modelId="{3426CCFF-E5AB-4A49-BEA8-A4B24643C636}" type="presParOf" srcId="{2CD53220-2200-4576-BE50-7C068E63649E}" destId="{F8D2EE82-84D5-461F-8BCE-51D431A1C622}" srcOrd="0" destOrd="0" presId="urn:microsoft.com/office/officeart/2005/8/layout/hierarchy1"/>
    <dgm:cxn modelId="{166595E2-454A-4FEC-8FBE-E19EE8A45288}" type="presParOf" srcId="{F8D2EE82-84D5-461F-8BCE-51D431A1C622}" destId="{3A17DAA9-C1B3-438E-9097-0D9835D04689}" srcOrd="0" destOrd="0" presId="urn:microsoft.com/office/officeart/2005/8/layout/hierarchy1"/>
    <dgm:cxn modelId="{F210C2CB-72FE-47BC-8A03-C875D1D9F05E}" type="presParOf" srcId="{F8D2EE82-84D5-461F-8BCE-51D431A1C622}" destId="{874A4998-1E59-4565-96F1-3854B83A7F30}" srcOrd="1" destOrd="0" presId="urn:microsoft.com/office/officeart/2005/8/layout/hierarchy1"/>
    <dgm:cxn modelId="{8059D6D9-8B20-420A-BE29-819D62541C2F}" type="presParOf" srcId="{2CD53220-2200-4576-BE50-7C068E63649E}" destId="{7672B8B0-9D03-41A7-AC4D-80E82F041527}" srcOrd="1" destOrd="0" presId="urn:microsoft.com/office/officeart/2005/8/layout/hierarchy1"/>
    <dgm:cxn modelId="{2BF0310E-E55D-46A9-8638-E56FA14F96B5}" type="presParOf" srcId="{7672B8B0-9D03-41A7-AC4D-80E82F041527}" destId="{E2E1FD22-750D-4495-BFBE-F9452C501778}" srcOrd="0" destOrd="0" presId="urn:microsoft.com/office/officeart/2005/8/layout/hierarchy1"/>
    <dgm:cxn modelId="{57F154E8-77E9-4D58-8832-6EA77A6AB1FF}" type="presParOf" srcId="{7672B8B0-9D03-41A7-AC4D-80E82F041527}" destId="{7B9FCE3C-3B9D-41C8-9444-0FEAB7B52C6D}" srcOrd="1" destOrd="0" presId="urn:microsoft.com/office/officeart/2005/8/layout/hierarchy1"/>
    <dgm:cxn modelId="{A78BB1F7-8E34-4E90-ADB2-3A2119C686B1}" type="presParOf" srcId="{7B9FCE3C-3B9D-41C8-9444-0FEAB7B52C6D}" destId="{715370EB-3661-49E8-8308-2E3187977283}" srcOrd="0" destOrd="0" presId="urn:microsoft.com/office/officeart/2005/8/layout/hierarchy1"/>
    <dgm:cxn modelId="{C846198D-A604-433F-BFED-EC549CAF1F5B}" type="presParOf" srcId="{715370EB-3661-49E8-8308-2E3187977283}" destId="{F7FFA1C1-5CC4-4D7A-BBE5-85A642F02886}" srcOrd="0" destOrd="0" presId="urn:microsoft.com/office/officeart/2005/8/layout/hierarchy1"/>
    <dgm:cxn modelId="{C4310169-6021-4B2A-AEE5-A10A5AF46169}" type="presParOf" srcId="{715370EB-3661-49E8-8308-2E3187977283}" destId="{0B79E909-E94B-4BDA-B150-829CC5CC8B2A}" srcOrd="1" destOrd="0" presId="urn:microsoft.com/office/officeart/2005/8/layout/hierarchy1"/>
    <dgm:cxn modelId="{5D99266E-5997-40B9-B51B-61C62DB3F59F}" type="presParOf" srcId="{7B9FCE3C-3B9D-41C8-9444-0FEAB7B52C6D}" destId="{450C2D93-9278-40D1-B87B-F50CE281A9EF}" srcOrd="1" destOrd="0" presId="urn:microsoft.com/office/officeart/2005/8/layout/hierarchy1"/>
    <dgm:cxn modelId="{05A46B1D-1AF6-487F-BE38-920DB66B1CB8}" type="presParOf" srcId="{450C2D93-9278-40D1-B87B-F50CE281A9EF}" destId="{12913B75-CDA8-4C9D-BCFD-8CA37E834964}" srcOrd="0" destOrd="0" presId="urn:microsoft.com/office/officeart/2005/8/layout/hierarchy1"/>
    <dgm:cxn modelId="{2E31450C-DAF7-446C-B74F-4B2784CA5D17}" type="presParOf" srcId="{450C2D93-9278-40D1-B87B-F50CE281A9EF}" destId="{70FAFBD9-2FE8-4E35-A7AB-3133D0520564}" srcOrd="1" destOrd="0" presId="urn:microsoft.com/office/officeart/2005/8/layout/hierarchy1"/>
    <dgm:cxn modelId="{A94FF868-5967-42F8-A433-99977E8CE6E0}" type="presParOf" srcId="{70FAFBD9-2FE8-4E35-A7AB-3133D0520564}" destId="{A850F61C-8FAB-4F9B-ACD8-356337D55205}" srcOrd="0" destOrd="0" presId="urn:microsoft.com/office/officeart/2005/8/layout/hierarchy1"/>
    <dgm:cxn modelId="{34C72989-70E5-4223-9DB9-B59AC392D244}" type="presParOf" srcId="{A850F61C-8FAB-4F9B-ACD8-356337D55205}" destId="{7DD51BEF-DE78-4622-9C2E-C651CD1CB0B6}" srcOrd="0" destOrd="0" presId="urn:microsoft.com/office/officeart/2005/8/layout/hierarchy1"/>
    <dgm:cxn modelId="{1D4CE244-2B11-42B3-ABF3-BD5A0A6C66A8}" type="presParOf" srcId="{A850F61C-8FAB-4F9B-ACD8-356337D55205}" destId="{012035D8-C946-4A7A-AB3A-3973FCA08607}" srcOrd="1" destOrd="0" presId="urn:microsoft.com/office/officeart/2005/8/layout/hierarchy1"/>
    <dgm:cxn modelId="{F1AAB005-9085-4C1C-9E82-2A223ECD4698}" type="presParOf" srcId="{70FAFBD9-2FE8-4E35-A7AB-3133D0520564}" destId="{2F76CA16-1B7B-4EE3-BAB4-BE07807BC3B3}" srcOrd="1" destOrd="0" presId="urn:microsoft.com/office/officeart/2005/8/layout/hierarchy1"/>
    <dgm:cxn modelId="{89B5773D-E4FD-469C-A476-80A2300FAE50}" type="presParOf" srcId="{450C2D93-9278-40D1-B87B-F50CE281A9EF}" destId="{6DE60702-C755-46CE-AA0B-C04726A3164F}" srcOrd="2" destOrd="0" presId="urn:microsoft.com/office/officeart/2005/8/layout/hierarchy1"/>
    <dgm:cxn modelId="{01796EF4-F500-4883-9DCE-A2DA97B65EB9}" type="presParOf" srcId="{450C2D93-9278-40D1-B87B-F50CE281A9EF}" destId="{446D564C-8A1A-4B39-87DE-B9202B6F8106}" srcOrd="3" destOrd="0" presId="urn:microsoft.com/office/officeart/2005/8/layout/hierarchy1"/>
    <dgm:cxn modelId="{508F92F3-DC53-4C6C-9796-F195422C336E}" type="presParOf" srcId="{446D564C-8A1A-4B39-87DE-B9202B6F8106}" destId="{4024EF77-0113-434E-B766-E4E2E3D0CFC6}" srcOrd="0" destOrd="0" presId="urn:microsoft.com/office/officeart/2005/8/layout/hierarchy1"/>
    <dgm:cxn modelId="{29C95197-82AC-4F28-833D-B7720348BBA6}" type="presParOf" srcId="{4024EF77-0113-434E-B766-E4E2E3D0CFC6}" destId="{FF5FE86A-5926-49F8-B70C-955BBB1468A9}" srcOrd="0" destOrd="0" presId="urn:microsoft.com/office/officeart/2005/8/layout/hierarchy1"/>
    <dgm:cxn modelId="{0DC506C7-8496-4CED-BA60-50A95F9F0544}" type="presParOf" srcId="{4024EF77-0113-434E-B766-E4E2E3D0CFC6}" destId="{B6CA155A-75D7-40F6-968D-938F4A4DAB20}" srcOrd="1" destOrd="0" presId="urn:microsoft.com/office/officeart/2005/8/layout/hierarchy1"/>
    <dgm:cxn modelId="{6F1B4541-E639-474F-814B-8020CD6440A1}" type="presParOf" srcId="{446D564C-8A1A-4B39-87DE-B9202B6F8106}" destId="{749DEECD-6696-419C-8E56-C728A321F48C}" srcOrd="1" destOrd="0" presId="urn:microsoft.com/office/officeart/2005/8/layout/hierarchy1"/>
    <dgm:cxn modelId="{B43C03C9-8CF4-403A-B837-FF0AF15B24FC}" type="presParOf" srcId="{450C2D93-9278-40D1-B87B-F50CE281A9EF}" destId="{40AD204A-85BD-46B6-B3B3-0C656DB7CB10}" srcOrd="4" destOrd="0" presId="urn:microsoft.com/office/officeart/2005/8/layout/hierarchy1"/>
    <dgm:cxn modelId="{661A0195-CAFB-40DF-8B33-B3723546B208}" type="presParOf" srcId="{450C2D93-9278-40D1-B87B-F50CE281A9EF}" destId="{5E92789D-0BE8-47AA-BB53-3F1C0D613B26}" srcOrd="5" destOrd="0" presId="urn:microsoft.com/office/officeart/2005/8/layout/hierarchy1"/>
    <dgm:cxn modelId="{450AC245-9587-443E-A1E7-71831E983A87}" type="presParOf" srcId="{5E92789D-0BE8-47AA-BB53-3F1C0D613B26}" destId="{1CDB4EE0-B60E-481E-8774-F0DB86A30A15}" srcOrd="0" destOrd="0" presId="urn:microsoft.com/office/officeart/2005/8/layout/hierarchy1"/>
    <dgm:cxn modelId="{D6F687F7-088B-4BB5-ADFF-7A9024B19F4E}" type="presParOf" srcId="{1CDB4EE0-B60E-481E-8774-F0DB86A30A15}" destId="{5395ACD1-FE27-4433-88DC-12965F11D73D}" srcOrd="0" destOrd="0" presId="urn:microsoft.com/office/officeart/2005/8/layout/hierarchy1"/>
    <dgm:cxn modelId="{C52086CA-AE54-4C46-B896-F6B91C35B86F}" type="presParOf" srcId="{1CDB4EE0-B60E-481E-8774-F0DB86A30A15}" destId="{63F91C20-5345-44A3-ACDE-A7FBD14C98F8}" srcOrd="1" destOrd="0" presId="urn:microsoft.com/office/officeart/2005/8/layout/hierarchy1"/>
    <dgm:cxn modelId="{4C46BA42-1D5B-4EFF-9DF6-8F7C4F7B9A76}" type="presParOf" srcId="{5E92789D-0BE8-47AA-BB53-3F1C0D613B26}" destId="{672D11ED-9740-42B0-BD74-F232B7DE4BE2}" srcOrd="1" destOrd="0" presId="urn:microsoft.com/office/officeart/2005/8/layout/hierarchy1"/>
    <dgm:cxn modelId="{B5F7E789-CFDD-4EE1-B24F-C622187B96D2}" type="presParOf" srcId="{7672B8B0-9D03-41A7-AC4D-80E82F041527}" destId="{8EA09A4E-4413-46D1-B5ED-A2E0C0AB20FF}" srcOrd="2" destOrd="0" presId="urn:microsoft.com/office/officeart/2005/8/layout/hierarchy1"/>
    <dgm:cxn modelId="{C8A1D75F-FD30-43E4-91B4-F3A2F260BA4D}" type="presParOf" srcId="{7672B8B0-9D03-41A7-AC4D-80E82F041527}" destId="{3A0615A2-9C39-4BE8-A4B5-086B1B86F9B1}" srcOrd="3" destOrd="0" presId="urn:microsoft.com/office/officeart/2005/8/layout/hierarchy1"/>
    <dgm:cxn modelId="{6E49CF8C-B20D-49AD-A17A-C885EB324EFE}" type="presParOf" srcId="{3A0615A2-9C39-4BE8-A4B5-086B1B86F9B1}" destId="{F36DA585-7038-4886-A358-55EB81270903}" srcOrd="0" destOrd="0" presId="urn:microsoft.com/office/officeart/2005/8/layout/hierarchy1"/>
    <dgm:cxn modelId="{1BD01E51-3D72-4508-A094-FAF9D63183E7}" type="presParOf" srcId="{F36DA585-7038-4886-A358-55EB81270903}" destId="{946C8CEA-672F-4EFD-A6AA-D611BA8687FB}" srcOrd="0" destOrd="0" presId="urn:microsoft.com/office/officeart/2005/8/layout/hierarchy1"/>
    <dgm:cxn modelId="{052C6A96-1976-48E8-BC8D-BB27335DD2C2}" type="presParOf" srcId="{F36DA585-7038-4886-A358-55EB81270903}" destId="{704C7058-2454-43F4-BF9C-DA3C315461AC}" srcOrd="1" destOrd="0" presId="urn:microsoft.com/office/officeart/2005/8/layout/hierarchy1"/>
    <dgm:cxn modelId="{A5AEC7E5-6AA1-4558-B589-3C1651784D56}" type="presParOf" srcId="{3A0615A2-9C39-4BE8-A4B5-086B1B86F9B1}" destId="{812C482D-A319-4BAE-926E-E99E983D29AF}" srcOrd="1" destOrd="0" presId="urn:microsoft.com/office/officeart/2005/8/layout/hierarchy1"/>
  </dgm:cxnLst>
  <dgm:bg/>
  <dgm:whole/>
  <dgm:extLst>
    <a:ext uri="http://schemas.microsoft.com/office/drawing/2008/diagram">
      <dsp:dataModelExt xmlns:dsp="http://schemas.microsoft.com/office/drawing/2008/diagram" relId="rId5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E427BA57-D09A-4D94-A776-BC2527CF448D}" type="doc">
      <dgm:prSet loTypeId="urn:microsoft.com/office/officeart/2005/8/layout/orgChart1" loCatId="hierarchy" qsTypeId="urn:microsoft.com/office/officeart/2005/8/quickstyle/simple3" qsCatId="simple" csTypeId="urn:microsoft.com/office/officeart/2005/8/colors/accent1_4" csCatId="accent1" phldr="1"/>
      <dgm:spPr/>
      <dgm:t>
        <a:bodyPr/>
        <a:lstStyle/>
        <a:p>
          <a:endParaRPr lang="en-GB"/>
        </a:p>
      </dgm:t>
    </dgm:pt>
    <dgm:pt modelId="{9EDF103B-33E0-4DDA-B49D-760BB98607BB}">
      <dgm:prSet phldrT="[Texte]" custT="1"/>
      <dgm:spPr>
        <a:solidFill>
          <a:schemeClr val="bg1"/>
        </a:solidFill>
        <a:ln w="12700">
          <a:solidFill>
            <a:srgbClr val="B6A04C"/>
          </a:solidFill>
        </a:ln>
      </dgm:spPr>
      <dgm:t>
        <a:bodyPr/>
        <a:lstStyle/>
        <a:p>
          <a:r>
            <a:rPr lang="en-GB" sz="1000" b="1">
              <a:solidFill>
                <a:srgbClr val="B6A04C"/>
              </a:solidFill>
            </a:rPr>
            <a:t>Is there a conflict between national rules and the Charter ? </a:t>
          </a:r>
        </a:p>
      </dgm:t>
    </dgm:pt>
    <dgm:pt modelId="{81AF0862-A2B9-41D9-91C6-1EC8C517AF42}" type="parTrans" cxnId="{3294BA37-5AFE-42E5-A885-E9BDCE4E170B}">
      <dgm:prSet/>
      <dgm:spPr/>
      <dgm:t>
        <a:bodyPr/>
        <a:lstStyle/>
        <a:p>
          <a:endParaRPr lang="en-GB"/>
        </a:p>
      </dgm:t>
    </dgm:pt>
    <dgm:pt modelId="{B4A83367-6E27-4DE4-9903-7223145B130B}" type="sibTrans" cxnId="{3294BA37-5AFE-42E5-A885-E9BDCE4E170B}">
      <dgm:prSet/>
      <dgm:spPr/>
      <dgm:t>
        <a:bodyPr/>
        <a:lstStyle/>
        <a:p>
          <a:endParaRPr lang="en-GB"/>
        </a:p>
      </dgm:t>
    </dgm:pt>
    <dgm:pt modelId="{FE89A0BF-259A-48E7-B743-3010D0609A55}" type="asst">
      <dgm:prSet phldrT="[Texte]" custT="1"/>
      <dgm:spPr>
        <a:noFill/>
        <a:ln>
          <a:solidFill>
            <a:srgbClr val="B6A04C"/>
          </a:solidFill>
        </a:ln>
      </dgm:spPr>
      <dgm:t>
        <a:bodyPr/>
        <a:lstStyle/>
        <a:p>
          <a:r>
            <a:rPr lang="en-GB" sz="1200" b="1">
              <a:solidFill>
                <a:srgbClr val="B6A04C"/>
              </a:solidFill>
            </a:rPr>
            <a:t>YES</a:t>
          </a:r>
        </a:p>
      </dgm:t>
    </dgm:pt>
    <dgm:pt modelId="{04AE525F-0D52-486B-B432-24938FF04195}" type="parTrans" cxnId="{5A1946F3-CDC9-4894-AE7D-F9ED5FB1DAB8}">
      <dgm:prSet/>
      <dgm:spPr>
        <a:ln>
          <a:solidFill>
            <a:srgbClr val="B6A04C"/>
          </a:solidFill>
        </a:ln>
      </dgm:spPr>
      <dgm:t>
        <a:bodyPr/>
        <a:lstStyle/>
        <a:p>
          <a:endParaRPr lang="en-GB"/>
        </a:p>
      </dgm:t>
    </dgm:pt>
    <dgm:pt modelId="{AA25E433-D42B-424F-BA0D-24E48B73BE98}" type="sibTrans" cxnId="{5A1946F3-CDC9-4894-AE7D-F9ED5FB1DAB8}">
      <dgm:prSet/>
      <dgm:spPr/>
      <dgm:t>
        <a:bodyPr/>
        <a:lstStyle/>
        <a:p>
          <a:endParaRPr lang="en-GB"/>
        </a:p>
      </dgm:t>
    </dgm:pt>
    <dgm:pt modelId="{71C195CB-0F55-4BF0-8F1C-31522222DCBF}">
      <dgm:prSet custT="1"/>
      <dgm:spPr>
        <a:solidFill>
          <a:srgbClr val="EDE7D3"/>
        </a:solidFill>
        <a:ln>
          <a:solidFill>
            <a:srgbClr val="B6A04C"/>
          </a:solidFill>
        </a:ln>
      </dgm:spPr>
      <dgm:t>
        <a:bodyPr/>
        <a:lstStyle/>
        <a:p>
          <a:r>
            <a:rPr lang="en-GB" sz="1200" b="1">
              <a:solidFill>
                <a:srgbClr val="B6A04C"/>
              </a:solidFill>
            </a:rPr>
            <a:t>NO</a:t>
          </a:r>
        </a:p>
      </dgm:t>
    </dgm:pt>
    <dgm:pt modelId="{D748DB38-309D-457E-8BBE-470EF09AC2F7}" type="parTrans" cxnId="{F2C27509-05B7-45FA-A39A-4D16B2E2A17A}">
      <dgm:prSet/>
      <dgm:spPr>
        <a:ln>
          <a:solidFill>
            <a:srgbClr val="B6A04C"/>
          </a:solidFill>
        </a:ln>
      </dgm:spPr>
      <dgm:t>
        <a:bodyPr/>
        <a:lstStyle/>
        <a:p>
          <a:endParaRPr lang="en-GB"/>
        </a:p>
      </dgm:t>
    </dgm:pt>
    <dgm:pt modelId="{559627FF-E082-4978-8E07-03C2170BD874}" type="sibTrans" cxnId="{F2C27509-05B7-45FA-A39A-4D16B2E2A17A}">
      <dgm:prSet/>
      <dgm:spPr/>
      <dgm:t>
        <a:bodyPr/>
        <a:lstStyle/>
        <a:p>
          <a:endParaRPr lang="en-GB"/>
        </a:p>
      </dgm:t>
    </dgm:pt>
    <dgm:pt modelId="{27DB9ABB-F7D5-4DB7-9653-310D1D3B38DE}">
      <dgm:prSet custT="1"/>
      <dgm:spPr>
        <a:solidFill>
          <a:schemeClr val="bg1"/>
        </a:solidFill>
        <a:ln>
          <a:solidFill>
            <a:srgbClr val="2C2D5B"/>
          </a:solidFill>
        </a:ln>
      </dgm:spPr>
      <dgm:t>
        <a:bodyPr/>
        <a:lstStyle/>
        <a:p>
          <a:pPr algn="ctr"/>
          <a:endParaRPr lang="en-GB" sz="1000" b="1"/>
        </a:p>
        <a:p>
          <a:pPr algn="ctr"/>
          <a:endParaRPr lang="en-GB" sz="1000" b="1"/>
        </a:p>
        <a:p>
          <a:pPr algn="ctr"/>
          <a:r>
            <a:rPr lang="en-GB" sz="1000" b="1">
              <a:solidFill>
                <a:srgbClr val="2C2D5B"/>
              </a:solidFill>
            </a:rPr>
            <a:t>Consistent interpretation:</a:t>
          </a:r>
        </a:p>
        <a:p>
          <a:pPr algn="ctr"/>
          <a:r>
            <a:rPr lang="en-GB" sz="1000" b="0">
              <a:solidFill>
                <a:srgbClr val="2C2D5B"/>
              </a:solidFill>
            </a:rPr>
            <a:t> Duty of National Courts: Interpret national law in light of EU legislation and the EU Charter </a:t>
          </a:r>
        </a:p>
        <a:p>
          <a:pPr algn="l"/>
          <a:r>
            <a:rPr lang="en-GB" sz="1000" b="0"/>
            <a:t> </a:t>
          </a:r>
          <a:endParaRPr lang="en-GB" sz="1000" b="1"/>
        </a:p>
        <a:p>
          <a:pPr algn="ctr"/>
          <a:r>
            <a:rPr lang="en-GB" sz="1600"/>
            <a:t> </a:t>
          </a:r>
        </a:p>
      </dgm:t>
    </dgm:pt>
    <dgm:pt modelId="{29F71322-B973-4EF6-8B4A-55C3ACE54345}" type="parTrans" cxnId="{F74185C2-9FF9-4A40-A2A9-E191B5A598FF}">
      <dgm:prSet/>
      <dgm:spPr>
        <a:ln>
          <a:solidFill>
            <a:srgbClr val="B6A04C"/>
          </a:solidFill>
        </a:ln>
      </dgm:spPr>
      <dgm:t>
        <a:bodyPr/>
        <a:lstStyle/>
        <a:p>
          <a:endParaRPr lang="en-GB"/>
        </a:p>
      </dgm:t>
    </dgm:pt>
    <dgm:pt modelId="{098F0C9D-BD8A-4E5E-B30B-146D382AE83C}" type="sibTrans" cxnId="{F74185C2-9FF9-4A40-A2A9-E191B5A598FF}">
      <dgm:prSet/>
      <dgm:spPr/>
      <dgm:t>
        <a:bodyPr/>
        <a:lstStyle/>
        <a:p>
          <a:endParaRPr lang="en-GB"/>
        </a:p>
      </dgm:t>
    </dgm:pt>
    <dgm:pt modelId="{5CDCB0CE-69EC-4B54-90FB-07003544B01A}">
      <dgm:prSet custT="1"/>
      <dgm:spPr>
        <a:solidFill>
          <a:schemeClr val="bg1"/>
        </a:solidFill>
        <a:ln>
          <a:solidFill>
            <a:srgbClr val="2C2D5B"/>
          </a:solidFill>
        </a:ln>
      </dgm:spPr>
      <dgm:t>
        <a:bodyPr/>
        <a:lstStyle/>
        <a:p>
          <a:r>
            <a:rPr lang="en-GB" sz="1000" b="1">
              <a:solidFill>
                <a:srgbClr val="2C2D5B"/>
              </a:solidFill>
            </a:rPr>
            <a:t>Preliminary reference </a:t>
          </a:r>
          <a:r>
            <a:rPr lang="en-GB" sz="1000">
              <a:solidFill>
                <a:srgbClr val="2C2D5B"/>
              </a:solidFill>
            </a:rPr>
            <a:t>: </a:t>
          </a:r>
        </a:p>
        <a:p>
          <a:r>
            <a:rPr lang="en-GB" sz="1000">
              <a:solidFill>
                <a:srgbClr val="2C2D5B"/>
              </a:solidFill>
            </a:rPr>
            <a:t>National courts may refer the case to </a:t>
          </a:r>
          <a:r>
            <a:rPr lang="en-GB" sz="1000" b="1">
              <a:solidFill>
                <a:srgbClr val="2C2D5B"/>
              </a:solidFill>
            </a:rPr>
            <a:t>the CJEU </a:t>
          </a:r>
          <a:r>
            <a:rPr lang="en-GB" sz="1000">
              <a:solidFill>
                <a:srgbClr val="2C2D5B"/>
              </a:solidFill>
            </a:rPr>
            <a:t>for guidance </a:t>
          </a:r>
        </a:p>
      </dgm:t>
    </dgm:pt>
    <dgm:pt modelId="{37C11213-43F2-48A9-ABFB-07AEE5CACAE6}" type="parTrans" cxnId="{2F4A6BE8-0730-4336-820B-765B5167991D}">
      <dgm:prSet/>
      <dgm:spPr>
        <a:ln>
          <a:solidFill>
            <a:srgbClr val="B6A04C"/>
          </a:solidFill>
        </a:ln>
      </dgm:spPr>
      <dgm:t>
        <a:bodyPr/>
        <a:lstStyle/>
        <a:p>
          <a:endParaRPr lang="en-GB"/>
        </a:p>
      </dgm:t>
    </dgm:pt>
    <dgm:pt modelId="{43C2CCA9-56EC-443A-A13D-28648359C629}" type="sibTrans" cxnId="{2F4A6BE8-0730-4336-820B-765B5167991D}">
      <dgm:prSet/>
      <dgm:spPr/>
      <dgm:t>
        <a:bodyPr/>
        <a:lstStyle/>
        <a:p>
          <a:endParaRPr lang="en-GB"/>
        </a:p>
      </dgm:t>
    </dgm:pt>
    <dgm:pt modelId="{861ABCE8-CEDF-465B-8DBB-DF38551853DC}">
      <dgm:prSet custT="1"/>
      <dgm:spPr>
        <a:solidFill>
          <a:schemeClr val="bg1"/>
        </a:solidFill>
        <a:ln>
          <a:solidFill>
            <a:srgbClr val="2C2D5B"/>
          </a:solidFill>
        </a:ln>
      </dgm:spPr>
      <dgm:t>
        <a:bodyPr/>
        <a:lstStyle/>
        <a:p>
          <a:r>
            <a:rPr lang="en-GB" sz="1000" b="1">
              <a:solidFill>
                <a:srgbClr val="2C2D5B"/>
              </a:solidFill>
            </a:rPr>
            <a:t>Ruling on the validity</a:t>
          </a:r>
          <a:r>
            <a:rPr lang="en-GB" sz="1000">
              <a:solidFill>
                <a:srgbClr val="2C2D5B"/>
              </a:solidFill>
            </a:rPr>
            <a:t> of the EU law provision </a:t>
          </a:r>
        </a:p>
      </dgm:t>
    </dgm:pt>
    <dgm:pt modelId="{AB3F6699-D660-4C65-81ED-6768EA1FE5E2}" type="parTrans" cxnId="{E89C3AC1-6F4C-478B-86FC-DD1F203FA65E}">
      <dgm:prSet/>
      <dgm:spPr>
        <a:ln>
          <a:solidFill>
            <a:srgbClr val="B6A04C"/>
          </a:solidFill>
        </a:ln>
      </dgm:spPr>
      <dgm:t>
        <a:bodyPr/>
        <a:lstStyle/>
        <a:p>
          <a:endParaRPr lang="en-GB"/>
        </a:p>
      </dgm:t>
    </dgm:pt>
    <dgm:pt modelId="{5830D5A8-999F-468E-82EE-2F1153C687F3}" type="sibTrans" cxnId="{E89C3AC1-6F4C-478B-86FC-DD1F203FA65E}">
      <dgm:prSet/>
      <dgm:spPr/>
      <dgm:t>
        <a:bodyPr/>
        <a:lstStyle/>
        <a:p>
          <a:endParaRPr lang="en-GB"/>
        </a:p>
      </dgm:t>
    </dgm:pt>
    <dgm:pt modelId="{EC1B3DBF-BC0B-4089-980D-C84E0287620D}" type="asst">
      <dgm:prSet custT="1"/>
      <dgm:spPr>
        <a:solidFill>
          <a:schemeClr val="bg1"/>
        </a:solidFill>
        <a:ln>
          <a:solidFill>
            <a:srgbClr val="2C2D5B"/>
          </a:solidFill>
        </a:ln>
      </dgm:spPr>
      <dgm:t>
        <a:bodyPr/>
        <a:lstStyle/>
        <a:p>
          <a:r>
            <a:rPr lang="en-GB" sz="1000" b="1">
              <a:solidFill>
                <a:srgbClr val="2C2D5B"/>
              </a:solidFill>
            </a:rPr>
            <a:t>Interpretation ruling:</a:t>
          </a:r>
        </a:p>
        <a:p>
          <a:r>
            <a:rPr lang="en-GB" sz="1000" b="0">
              <a:solidFill>
                <a:srgbClr val="2C2D5B"/>
              </a:solidFill>
            </a:rPr>
            <a:t>about the content or scope of the EU law provision.  </a:t>
          </a:r>
        </a:p>
      </dgm:t>
    </dgm:pt>
    <dgm:pt modelId="{09080635-B348-4A49-9A7E-3BFACC21032F}" type="parTrans" cxnId="{7A40D8EE-D824-4D3E-BDF5-AA386C7C4CBC}">
      <dgm:prSet/>
      <dgm:spPr>
        <a:ln>
          <a:solidFill>
            <a:srgbClr val="B6A04C"/>
          </a:solidFill>
        </a:ln>
      </dgm:spPr>
      <dgm:t>
        <a:bodyPr/>
        <a:lstStyle/>
        <a:p>
          <a:endParaRPr lang="en-GB"/>
        </a:p>
      </dgm:t>
    </dgm:pt>
    <dgm:pt modelId="{B02BF0DA-2F7E-4DB7-A1E0-7CF6368F4431}" type="sibTrans" cxnId="{7A40D8EE-D824-4D3E-BDF5-AA386C7C4CBC}">
      <dgm:prSet/>
      <dgm:spPr/>
      <dgm:t>
        <a:bodyPr/>
        <a:lstStyle/>
        <a:p>
          <a:endParaRPr lang="en-GB"/>
        </a:p>
      </dgm:t>
    </dgm:pt>
    <dgm:pt modelId="{1EF936D1-D075-4D25-B1E7-CF3209089393}" type="pres">
      <dgm:prSet presAssocID="{E427BA57-D09A-4D94-A776-BC2527CF448D}" presName="hierChild1" presStyleCnt="0">
        <dgm:presLayoutVars>
          <dgm:orgChart val="1"/>
          <dgm:chPref val="1"/>
          <dgm:dir/>
          <dgm:animOne val="branch"/>
          <dgm:animLvl val="lvl"/>
          <dgm:resizeHandles/>
        </dgm:presLayoutVars>
      </dgm:prSet>
      <dgm:spPr/>
    </dgm:pt>
    <dgm:pt modelId="{28F58144-E1AA-49C9-B69B-62F20046E637}" type="pres">
      <dgm:prSet presAssocID="{9EDF103B-33E0-4DDA-B49D-760BB98607BB}" presName="hierRoot1" presStyleCnt="0">
        <dgm:presLayoutVars>
          <dgm:hierBranch val="init"/>
        </dgm:presLayoutVars>
      </dgm:prSet>
      <dgm:spPr/>
    </dgm:pt>
    <dgm:pt modelId="{ADC3F315-F701-4334-8B09-80E2D9CBF5DF}" type="pres">
      <dgm:prSet presAssocID="{9EDF103B-33E0-4DDA-B49D-760BB98607BB}" presName="rootComposite1" presStyleCnt="0"/>
      <dgm:spPr/>
    </dgm:pt>
    <dgm:pt modelId="{20BFF484-1314-434B-BDB2-A2401CC020FE}" type="pres">
      <dgm:prSet presAssocID="{9EDF103B-33E0-4DDA-B49D-760BB98607BB}" presName="rootText1" presStyleLbl="node0" presStyleIdx="0" presStyleCnt="1" custScaleX="143782" custScaleY="180032" custLinFactNeighborX="-29290" custLinFactNeighborY="-746">
        <dgm:presLayoutVars>
          <dgm:chPref val="3"/>
        </dgm:presLayoutVars>
      </dgm:prSet>
      <dgm:spPr>
        <a:prstGeom prst="ellipse">
          <a:avLst/>
        </a:prstGeom>
      </dgm:spPr>
    </dgm:pt>
    <dgm:pt modelId="{E9FFE2B5-EB32-41AD-84D8-0F6C55C7DAD8}" type="pres">
      <dgm:prSet presAssocID="{9EDF103B-33E0-4DDA-B49D-760BB98607BB}" presName="rootConnector1" presStyleLbl="node1" presStyleIdx="0" presStyleCnt="0"/>
      <dgm:spPr/>
    </dgm:pt>
    <dgm:pt modelId="{18155B7E-1940-439A-AA21-537E1CD302AC}" type="pres">
      <dgm:prSet presAssocID="{9EDF103B-33E0-4DDA-B49D-760BB98607BB}" presName="hierChild2" presStyleCnt="0"/>
      <dgm:spPr/>
    </dgm:pt>
    <dgm:pt modelId="{71C24FCD-356C-472C-A60B-AED0EC384510}" type="pres">
      <dgm:prSet presAssocID="{D748DB38-309D-457E-8BBE-470EF09AC2F7}" presName="Name37" presStyleLbl="parChTrans1D2" presStyleIdx="0" presStyleCnt="2"/>
      <dgm:spPr/>
    </dgm:pt>
    <dgm:pt modelId="{68437271-3E76-472C-8F33-36B518A92319}" type="pres">
      <dgm:prSet presAssocID="{71C195CB-0F55-4BF0-8F1C-31522222DCBF}" presName="hierRoot2" presStyleCnt="0">
        <dgm:presLayoutVars>
          <dgm:hierBranch val="init"/>
        </dgm:presLayoutVars>
      </dgm:prSet>
      <dgm:spPr/>
    </dgm:pt>
    <dgm:pt modelId="{11B05673-0C3E-449C-8AEA-DD1D87CF9C8B}" type="pres">
      <dgm:prSet presAssocID="{71C195CB-0F55-4BF0-8F1C-31522222DCBF}" presName="rootComposite" presStyleCnt="0"/>
      <dgm:spPr/>
    </dgm:pt>
    <dgm:pt modelId="{9C24378A-5308-4228-9469-538D050FB673}" type="pres">
      <dgm:prSet presAssocID="{71C195CB-0F55-4BF0-8F1C-31522222DCBF}" presName="rootText" presStyleLbl="node2" presStyleIdx="0" presStyleCnt="1" custScaleX="57871" custScaleY="60647" custLinFactX="4630" custLinFactY="-429058" custLinFactNeighborX="100000" custLinFactNeighborY="-500000">
        <dgm:presLayoutVars>
          <dgm:chPref val="3"/>
        </dgm:presLayoutVars>
      </dgm:prSet>
      <dgm:spPr/>
    </dgm:pt>
    <dgm:pt modelId="{2F129B9A-DBE7-46EF-B7D0-A806EA6BB938}" type="pres">
      <dgm:prSet presAssocID="{71C195CB-0F55-4BF0-8F1C-31522222DCBF}" presName="rootConnector" presStyleLbl="node2" presStyleIdx="0" presStyleCnt="1"/>
      <dgm:spPr/>
    </dgm:pt>
    <dgm:pt modelId="{390B8B1C-ED55-4257-8A15-482F50FC83F7}" type="pres">
      <dgm:prSet presAssocID="{71C195CB-0F55-4BF0-8F1C-31522222DCBF}" presName="hierChild4" presStyleCnt="0"/>
      <dgm:spPr/>
    </dgm:pt>
    <dgm:pt modelId="{CA6DA2BC-C0D4-4C98-A10C-01F0D7D21AC8}" type="pres">
      <dgm:prSet presAssocID="{71C195CB-0F55-4BF0-8F1C-31522222DCBF}" presName="hierChild5" presStyleCnt="0"/>
      <dgm:spPr/>
    </dgm:pt>
    <dgm:pt modelId="{15DB52A2-6867-43C4-9BE6-0126C64C1CBD}" type="pres">
      <dgm:prSet presAssocID="{9EDF103B-33E0-4DDA-B49D-760BB98607BB}" presName="hierChild3" presStyleCnt="0"/>
      <dgm:spPr/>
    </dgm:pt>
    <dgm:pt modelId="{3E50783E-F364-4FD5-8542-EDC273228F1A}" type="pres">
      <dgm:prSet presAssocID="{04AE525F-0D52-486B-B432-24938FF04195}" presName="Name111" presStyleLbl="parChTrans1D2" presStyleIdx="1" presStyleCnt="2"/>
      <dgm:spPr/>
    </dgm:pt>
    <dgm:pt modelId="{7BB0AE4A-7947-482A-A23E-B2F47A450AFB}" type="pres">
      <dgm:prSet presAssocID="{FE89A0BF-259A-48E7-B743-3010D0609A55}" presName="hierRoot3" presStyleCnt="0">
        <dgm:presLayoutVars>
          <dgm:hierBranch val="init"/>
        </dgm:presLayoutVars>
      </dgm:prSet>
      <dgm:spPr/>
    </dgm:pt>
    <dgm:pt modelId="{4C9E529D-07A7-4B27-81A9-18A9BFE7138E}" type="pres">
      <dgm:prSet presAssocID="{FE89A0BF-259A-48E7-B743-3010D0609A55}" presName="rootComposite3" presStyleCnt="0"/>
      <dgm:spPr/>
    </dgm:pt>
    <dgm:pt modelId="{71B5978C-EFBE-45F5-B39D-4E6C986A8EDD}" type="pres">
      <dgm:prSet presAssocID="{FE89A0BF-259A-48E7-B743-3010D0609A55}" presName="rootText3" presStyleLbl="asst1" presStyleIdx="0" presStyleCnt="1" custScaleX="56001" custScaleY="59280" custLinFactNeighborX="-80981" custLinFactNeighborY="-60163">
        <dgm:presLayoutVars>
          <dgm:chPref val="3"/>
        </dgm:presLayoutVars>
      </dgm:prSet>
      <dgm:spPr/>
    </dgm:pt>
    <dgm:pt modelId="{A1077A9C-F676-47AF-94D4-E6EF13955F54}" type="pres">
      <dgm:prSet presAssocID="{FE89A0BF-259A-48E7-B743-3010D0609A55}" presName="rootConnector3" presStyleLbl="asst1" presStyleIdx="0" presStyleCnt="1"/>
      <dgm:spPr/>
    </dgm:pt>
    <dgm:pt modelId="{C366D498-784C-4C6E-850D-9969C8BC67E1}" type="pres">
      <dgm:prSet presAssocID="{FE89A0BF-259A-48E7-B743-3010D0609A55}" presName="hierChild6" presStyleCnt="0"/>
      <dgm:spPr/>
    </dgm:pt>
    <dgm:pt modelId="{C664A0C3-E653-4DB4-B151-BABFE182EB4A}" type="pres">
      <dgm:prSet presAssocID="{29F71322-B973-4EF6-8B4A-55C3ACE54345}" presName="Name37" presStyleLbl="parChTrans1D3" presStyleIdx="0" presStyleCnt="1"/>
      <dgm:spPr/>
    </dgm:pt>
    <dgm:pt modelId="{2CCE6222-12DE-479A-88DE-1D846DE5D40A}" type="pres">
      <dgm:prSet presAssocID="{27DB9ABB-F7D5-4DB7-9653-310D1D3B38DE}" presName="hierRoot2" presStyleCnt="0">
        <dgm:presLayoutVars>
          <dgm:hierBranch val="init"/>
        </dgm:presLayoutVars>
      </dgm:prSet>
      <dgm:spPr/>
    </dgm:pt>
    <dgm:pt modelId="{476E638B-7639-423D-B613-40C0A2BCF638}" type="pres">
      <dgm:prSet presAssocID="{27DB9ABB-F7D5-4DB7-9653-310D1D3B38DE}" presName="rootComposite" presStyleCnt="0"/>
      <dgm:spPr/>
    </dgm:pt>
    <dgm:pt modelId="{19969D96-5AD4-4847-A227-323120127A02}" type="pres">
      <dgm:prSet presAssocID="{27DB9ABB-F7D5-4DB7-9653-310D1D3B38DE}" presName="rootText" presStyleLbl="node3" presStyleIdx="0" presStyleCnt="1" custScaleX="176931" custScaleY="186010" custLinFactNeighborX="-82538" custLinFactNeighborY="-78919">
        <dgm:presLayoutVars>
          <dgm:chPref val="3"/>
        </dgm:presLayoutVars>
      </dgm:prSet>
      <dgm:spPr/>
    </dgm:pt>
    <dgm:pt modelId="{15CF14CB-8508-47C8-9930-82C8DFF94145}" type="pres">
      <dgm:prSet presAssocID="{27DB9ABB-F7D5-4DB7-9653-310D1D3B38DE}" presName="rootConnector" presStyleLbl="node3" presStyleIdx="0" presStyleCnt="1"/>
      <dgm:spPr/>
    </dgm:pt>
    <dgm:pt modelId="{BE858591-2028-4116-8430-87BE8FABC136}" type="pres">
      <dgm:prSet presAssocID="{27DB9ABB-F7D5-4DB7-9653-310D1D3B38DE}" presName="hierChild4" presStyleCnt="0"/>
      <dgm:spPr/>
    </dgm:pt>
    <dgm:pt modelId="{5A48A316-8E22-40F0-BADB-759731FBB18A}" type="pres">
      <dgm:prSet presAssocID="{37C11213-43F2-48A9-ABFB-07AEE5CACAE6}" presName="Name37" presStyleLbl="parChTrans1D4" presStyleIdx="0" presStyleCnt="3"/>
      <dgm:spPr/>
    </dgm:pt>
    <dgm:pt modelId="{65608014-C6DE-4C40-B624-B816932BDB60}" type="pres">
      <dgm:prSet presAssocID="{5CDCB0CE-69EC-4B54-90FB-07003544B01A}" presName="hierRoot2" presStyleCnt="0">
        <dgm:presLayoutVars>
          <dgm:hierBranch val="init"/>
        </dgm:presLayoutVars>
      </dgm:prSet>
      <dgm:spPr/>
    </dgm:pt>
    <dgm:pt modelId="{25A87FC3-3AB1-4343-B3AE-120027AA8462}" type="pres">
      <dgm:prSet presAssocID="{5CDCB0CE-69EC-4B54-90FB-07003544B01A}" presName="rootComposite" presStyleCnt="0"/>
      <dgm:spPr/>
    </dgm:pt>
    <dgm:pt modelId="{45B52A89-B1D2-4D08-8680-794D112B9F49}" type="pres">
      <dgm:prSet presAssocID="{5CDCB0CE-69EC-4B54-90FB-07003544B01A}" presName="rootText" presStyleLbl="node4" presStyleIdx="0" presStyleCnt="2" custScaleX="187005" custScaleY="191009" custLinFactNeighborX="29175" custLinFactNeighborY="52755">
        <dgm:presLayoutVars>
          <dgm:chPref val="3"/>
        </dgm:presLayoutVars>
      </dgm:prSet>
      <dgm:spPr/>
    </dgm:pt>
    <dgm:pt modelId="{157DC3CE-9DD6-4F5F-8F3B-6552BFB9EAEA}" type="pres">
      <dgm:prSet presAssocID="{5CDCB0CE-69EC-4B54-90FB-07003544B01A}" presName="rootConnector" presStyleLbl="node4" presStyleIdx="0" presStyleCnt="2"/>
      <dgm:spPr/>
    </dgm:pt>
    <dgm:pt modelId="{599E6383-BADE-4000-8C1A-00F2767E03A6}" type="pres">
      <dgm:prSet presAssocID="{5CDCB0CE-69EC-4B54-90FB-07003544B01A}" presName="hierChild4" presStyleCnt="0"/>
      <dgm:spPr/>
    </dgm:pt>
    <dgm:pt modelId="{D370DAFD-DFE1-4739-B7C1-5F3DA3313340}" type="pres">
      <dgm:prSet presAssocID="{AB3F6699-D660-4C65-81ED-6768EA1FE5E2}" presName="Name37" presStyleLbl="parChTrans1D4" presStyleIdx="1" presStyleCnt="3"/>
      <dgm:spPr/>
    </dgm:pt>
    <dgm:pt modelId="{8EBED9C2-05E6-4A37-A6E0-8A7B15023EB9}" type="pres">
      <dgm:prSet presAssocID="{861ABCE8-CEDF-465B-8DBB-DF38551853DC}" presName="hierRoot2" presStyleCnt="0">
        <dgm:presLayoutVars>
          <dgm:hierBranch val="init"/>
        </dgm:presLayoutVars>
      </dgm:prSet>
      <dgm:spPr/>
    </dgm:pt>
    <dgm:pt modelId="{44C3F06C-CC12-4EA6-BFDC-E32B59EB7C69}" type="pres">
      <dgm:prSet presAssocID="{861ABCE8-CEDF-465B-8DBB-DF38551853DC}" presName="rootComposite" presStyleCnt="0"/>
      <dgm:spPr/>
    </dgm:pt>
    <dgm:pt modelId="{4FDA5AF4-2594-4665-BB8E-EC7E523BB978}" type="pres">
      <dgm:prSet presAssocID="{861ABCE8-CEDF-465B-8DBB-DF38551853DC}" presName="rootText" presStyleLbl="node4" presStyleIdx="1" presStyleCnt="2" custScaleX="118904" custScaleY="100338" custLinFactX="10964" custLinFactY="-7757" custLinFactNeighborX="100000" custLinFactNeighborY="-100000">
        <dgm:presLayoutVars>
          <dgm:chPref val="3"/>
        </dgm:presLayoutVars>
      </dgm:prSet>
      <dgm:spPr/>
    </dgm:pt>
    <dgm:pt modelId="{50DFEB2F-B88D-40DF-9DAB-85718021D68F}" type="pres">
      <dgm:prSet presAssocID="{861ABCE8-CEDF-465B-8DBB-DF38551853DC}" presName="rootConnector" presStyleLbl="node4" presStyleIdx="1" presStyleCnt="2"/>
      <dgm:spPr/>
    </dgm:pt>
    <dgm:pt modelId="{D33DC0ED-0BA7-4CD5-A67B-47B97040C0A5}" type="pres">
      <dgm:prSet presAssocID="{861ABCE8-CEDF-465B-8DBB-DF38551853DC}" presName="hierChild4" presStyleCnt="0"/>
      <dgm:spPr/>
    </dgm:pt>
    <dgm:pt modelId="{62222392-D566-4FA7-AF5D-5767D22CD6F8}" type="pres">
      <dgm:prSet presAssocID="{861ABCE8-CEDF-465B-8DBB-DF38551853DC}" presName="hierChild5" presStyleCnt="0"/>
      <dgm:spPr/>
    </dgm:pt>
    <dgm:pt modelId="{F249C98E-5734-487A-BF71-F14C29ED202D}" type="pres">
      <dgm:prSet presAssocID="{5CDCB0CE-69EC-4B54-90FB-07003544B01A}" presName="hierChild5" presStyleCnt="0"/>
      <dgm:spPr/>
    </dgm:pt>
    <dgm:pt modelId="{7F4163DE-5DA9-40D4-B0C6-F97F7014F550}" type="pres">
      <dgm:prSet presAssocID="{09080635-B348-4A49-9A7E-3BFACC21032F}" presName="Name111" presStyleLbl="parChTrans1D4" presStyleIdx="2" presStyleCnt="3"/>
      <dgm:spPr/>
    </dgm:pt>
    <dgm:pt modelId="{F45FBF40-D45E-46AF-89B7-38952E6C4F51}" type="pres">
      <dgm:prSet presAssocID="{EC1B3DBF-BC0B-4089-980D-C84E0287620D}" presName="hierRoot3" presStyleCnt="0">
        <dgm:presLayoutVars>
          <dgm:hierBranch val="init"/>
        </dgm:presLayoutVars>
      </dgm:prSet>
      <dgm:spPr/>
    </dgm:pt>
    <dgm:pt modelId="{A239B2D7-22E8-4028-A0A1-AF5F55FE0F8F}" type="pres">
      <dgm:prSet presAssocID="{EC1B3DBF-BC0B-4089-980D-C84E0287620D}" presName="rootComposite3" presStyleCnt="0"/>
      <dgm:spPr/>
    </dgm:pt>
    <dgm:pt modelId="{7BB5B33B-0189-4992-827F-D4CCEFBDC689}" type="pres">
      <dgm:prSet presAssocID="{EC1B3DBF-BC0B-4089-980D-C84E0287620D}" presName="rootText3" presStyleLbl="asst4" presStyleIdx="0" presStyleCnt="1" custScaleX="122070" custScaleY="151777" custLinFactNeighborX="-59474" custLinFactNeighborY="48817">
        <dgm:presLayoutVars>
          <dgm:chPref val="3"/>
        </dgm:presLayoutVars>
      </dgm:prSet>
      <dgm:spPr/>
    </dgm:pt>
    <dgm:pt modelId="{04B38BD0-36C9-4D5E-B862-BA6CC76C8CA3}" type="pres">
      <dgm:prSet presAssocID="{EC1B3DBF-BC0B-4089-980D-C84E0287620D}" presName="rootConnector3" presStyleLbl="asst4" presStyleIdx="0" presStyleCnt="1"/>
      <dgm:spPr/>
    </dgm:pt>
    <dgm:pt modelId="{33914E4F-9BBD-4952-83F2-25B65E7D454B}" type="pres">
      <dgm:prSet presAssocID="{EC1B3DBF-BC0B-4089-980D-C84E0287620D}" presName="hierChild6" presStyleCnt="0"/>
      <dgm:spPr/>
    </dgm:pt>
    <dgm:pt modelId="{9D800B75-DC00-4775-A327-705B0F9DBA95}" type="pres">
      <dgm:prSet presAssocID="{EC1B3DBF-BC0B-4089-980D-C84E0287620D}" presName="hierChild7" presStyleCnt="0"/>
      <dgm:spPr/>
    </dgm:pt>
    <dgm:pt modelId="{01110D7E-19EB-4AD5-BEF8-595641D46DAA}" type="pres">
      <dgm:prSet presAssocID="{27DB9ABB-F7D5-4DB7-9653-310D1D3B38DE}" presName="hierChild5" presStyleCnt="0"/>
      <dgm:spPr/>
    </dgm:pt>
    <dgm:pt modelId="{9601E036-B816-4B5B-B210-FDDB23F7EE78}" type="pres">
      <dgm:prSet presAssocID="{FE89A0BF-259A-48E7-B743-3010D0609A55}" presName="hierChild7" presStyleCnt="0"/>
      <dgm:spPr/>
    </dgm:pt>
  </dgm:ptLst>
  <dgm:cxnLst>
    <dgm:cxn modelId="{C216D707-40FC-4C55-8AA4-5D751A3C726C}" type="presOf" srcId="{D748DB38-309D-457E-8BBE-470EF09AC2F7}" destId="{71C24FCD-356C-472C-A60B-AED0EC384510}" srcOrd="0" destOrd="0" presId="urn:microsoft.com/office/officeart/2005/8/layout/orgChart1"/>
    <dgm:cxn modelId="{F2C27509-05B7-45FA-A39A-4D16B2E2A17A}" srcId="{9EDF103B-33E0-4DDA-B49D-760BB98607BB}" destId="{71C195CB-0F55-4BF0-8F1C-31522222DCBF}" srcOrd="1" destOrd="0" parTransId="{D748DB38-309D-457E-8BBE-470EF09AC2F7}" sibTransId="{559627FF-E082-4978-8E07-03C2170BD874}"/>
    <dgm:cxn modelId="{5F34E613-867A-4A50-B734-E55515C6F81A}" type="presOf" srcId="{37C11213-43F2-48A9-ABFB-07AEE5CACAE6}" destId="{5A48A316-8E22-40F0-BADB-759731FBB18A}" srcOrd="0" destOrd="0" presId="urn:microsoft.com/office/officeart/2005/8/layout/orgChart1"/>
    <dgm:cxn modelId="{4FA7D719-FF21-4AB0-8CD0-9EA456E7C2DA}" type="presOf" srcId="{27DB9ABB-F7D5-4DB7-9653-310D1D3B38DE}" destId="{15CF14CB-8508-47C8-9930-82C8DFF94145}" srcOrd="1" destOrd="0" presId="urn:microsoft.com/office/officeart/2005/8/layout/orgChart1"/>
    <dgm:cxn modelId="{BFC64224-028A-4DE9-92DA-11F126F6CD0B}" type="presOf" srcId="{04AE525F-0D52-486B-B432-24938FF04195}" destId="{3E50783E-F364-4FD5-8542-EDC273228F1A}" srcOrd="0" destOrd="0" presId="urn:microsoft.com/office/officeart/2005/8/layout/orgChart1"/>
    <dgm:cxn modelId="{ABEB9230-4F09-4422-ADEF-A18ECDB37840}" type="presOf" srcId="{FE89A0BF-259A-48E7-B743-3010D0609A55}" destId="{71B5978C-EFBE-45F5-B39D-4E6C986A8EDD}" srcOrd="0" destOrd="0" presId="urn:microsoft.com/office/officeart/2005/8/layout/orgChart1"/>
    <dgm:cxn modelId="{C19B3232-FEC6-4BB9-A879-96DD67807B23}" type="presOf" srcId="{9EDF103B-33E0-4DDA-B49D-760BB98607BB}" destId="{E9FFE2B5-EB32-41AD-84D8-0F6C55C7DAD8}" srcOrd="1" destOrd="0" presId="urn:microsoft.com/office/officeart/2005/8/layout/orgChart1"/>
    <dgm:cxn modelId="{3294BA37-5AFE-42E5-A885-E9BDCE4E170B}" srcId="{E427BA57-D09A-4D94-A776-BC2527CF448D}" destId="{9EDF103B-33E0-4DDA-B49D-760BB98607BB}" srcOrd="0" destOrd="0" parTransId="{81AF0862-A2B9-41D9-91C6-1EC8C517AF42}" sibTransId="{B4A83367-6E27-4DE4-9903-7223145B130B}"/>
    <dgm:cxn modelId="{037C963A-DF55-496F-A648-4A5FFD5167C2}" type="presOf" srcId="{AB3F6699-D660-4C65-81ED-6768EA1FE5E2}" destId="{D370DAFD-DFE1-4739-B7C1-5F3DA3313340}" srcOrd="0" destOrd="0" presId="urn:microsoft.com/office/officeart/2005/8/layout/orgChart1"/>
    <dgm:cxn modelId="{7A629E3D-732A-4814-86D4-C33025FBDC89}" type="presOf" srcId="{5CDCB0CE-69EC-4B54-90FB-07003544B01A}" destId="{45B52A89-B1D2-4D08-8680-794D112B9F49}" srcOrd="0" destOrd="0" presId="urn:microsoft.com/office/officeart/2005/8/layout/orgChart1"/>
    <dgm:cxn modelId="{C399215B-7443-45FA-8BBF-7E411CE56ABB}" type="presOf" srcId="{71C195CB-0F55-4BF0-8F1C-31522222DCBF}" destId="{9C24378A-5308-4228-9469-538D050FB673}" srcOrd="0" destOrd="0" presId="urn:microsoft.com/office/officeart/2005/8/layout/orgChart1"/>
    <dgm:cxn modelId="{0FFE2643-ABFB-41BF-8674-04C32D10C452}" type="presOf" srcId="{E427BA57-D09A-4D94-A776-BC2527CF448D}" destId="{1EF936D1-D075-4D25-B1E7-CF3209089393}" srcOrd="0" destOrd="0" presId="urn:microsoft.com/office/officeart/2005/8/layout/orgChart1"/>
    <dgm:cxn modelId="{C4559345-6B83-4AA7-AD31-F9423F294DA0}" type="presOf" srcId="{EC1B3DBF-BC0B-4089-980D-C84E0287620D}" destId="{7BB5B33B-0189-4992-827F-D4CCEFBDC689}" srcOrd="0" destOrd="0" presId="urn:microsoft.com/office/officeart/2005/8/layout/orgChart1"/>
    <dgm:cxn modelId="{1A697F5A-66EA-4931-A931-EC6875D7B34D}" type="presOf" srcId="{29F71322-B973-4EF6-8B4A-55C3ACE54345}" destId="{C664A0C3-E653-4DB4-B151-BABFE182EB4A}" srcOrd="0" destOrd="0" presId="urn:microsoft.com/office/officeart/2005/8/layout/orgChart1"/>
    <dgm:cxn modelId="{CAE8787E-783B-4E75-8082-66170302B139}" type="presOf" srcId="{27DB9ABB-F7D5-4DB7-9653-310D1D3B38DE}" destId="{19969D96-5AD4-4847-A227-323120127A02}" srcOrd="0" destOrd="0" presId="urn:microsoft.com/office/officeart/2005/8/layout/orgChart1"/>
    <dgm:cxn modelId="{66592687-6D6B-4C32-A9EC-16B35F2A834F}" type="presOf" srcId="{EC1B3DBF-BC0B-4089-980D-C84E0287620D}" destId="{04B38BD0-36C9-4D5E-B862-BA6CC76C8CA3}" srcOrd="1" destOrd="0" presId="urn:microsoft.com/office/officeart/2005/8/layout/orgChart1"/>
    <dgm:cxn modelId="{6EFA1F9D-4666-494C-8DCE-EAE2ADAD1A15}" type="presOf" srcId="{861ABCE8-CEDF-465B-8DBB-DF38551853DC}" destId="{50DFEB2F-B88D-40DF-9DAB-85718021D68F}" srcOrd="1" destOrd="0" presId="urn:microsoft.com/office/officeart/2005/8/layout/orgChart1"/>
    <dgm:cxn modelId="{E89C3AC1-6F4C-478B-86FC-DD1F203FA65E}" srcId="{5CDCB0CE-69EC-4B54-90FB-07003544B01A}" destId="{861ABCE8-CEDF-465B-8DBB-DF38551853DC}" srcOrd="0" destOrd="0" parTransId="{AB3F6699-D660-4C65-81ED-6768EA1FE5E2}" sibTransId="{5830D5A8-999F-468E-82EE-2F1153C687F3}"/>
    <dgm:cxn modelId="{F74185C2-9FF9-4A40-A2A9-E191B5A598FF}" srcId="{FE89A0BF-259A-48E7-B743-3010D0609A55}" destId="{27DB9ABB-F7D5-4DB7-9653-310D1D3B38DE}" srcOrd="0" destOrd="0" parTransId="{29F71322-B973-4EF6-8B4A-55C3ACE54345}" sibTransId="{098F0C9D-BD8A-4E5E-B30B-146D382AE83C}"/>
    <dgm:cxn modelId="{D27023C8-9B57-4147-AC72-C2CB0CDC75A7}" type="presOf" srcId="{09080635-B348-4A49-9A7E-3BFACC21032F}" destId="{7F4163DE-5DA9-40D4-B0C6-F97F7014F550}" srcOrd="0" destOrd="0" presId="urn:microsoft.com/office/officeart/2005/8/layout/orgChart1"/>
    <dgm:cxn modelId="{F1FF87DA-8383-4BD8-9AA3-2E9547CCEF7A}" type="presOf" srcId="{5CDCB0CE-69EC-4B54-90FB-07003544B01A}" destId="{157DC3CE-9DD6-4F5F-8F3B-6552BFB9EAEA}" srcOrd="1" destOrd="0" presId="urn:microsoft.com/office/officeart/2005/8/layout/orgChart1"/>
    <dgm:cxn modelId="{4262B5E2-7699-4E31-BDBB-292D44402B34}" type="presOf" srcId="{9EDF103B-33E0-4DDA-B49D-760BB98607BB}" destId="{20BFF484-1314-434B-BDB2-A2401CC020FE}" srcOrd="0" destOrd="0" presId="urn:microsoft.com/office/officeart/2005/8/layout/orgChart1"/>
    <dgm:cxn modelId="{73082CE3-2D1C-4CB1-A262-9A4DDF9FEB4D}" type="presOf" srcId="{FE89A0BF-259A-48E7-B743-3010D0609A55}" destId="{A1077A9C-F676-47AF-94D4-E6EF13955F54}" srcOrd="1" destOrd="0" presId="urn:microsoft.com/office/officeart/2005/8/layout/orgChart1"/>
    <dgm:cxn modelId="{2F4A6BE8-0730-4336-820B-765B5167991D}" srcId="{27DB9ABB-F7D5-4DB7-9653-310D1D3B38DE}" destId="{5CDCB0CE-69EC-4B54-90FB-07003544B01A}" srcOrd="0" destOrd="0" parTransId="{37C11213-43F2-48A9-ABFB-07AEE5CACAE6}" sibTransId="{43C2CCA9-56EC-443A-A13D-28648359C629}"/>
    <dgm:cxn modelId="{07B5B4E8-9832-4805-B67D-C84C9D4F5CA8}" type="presOf" srcId="{861ABCE8-CEDF-465B-8DBB-DF38551853DC}" destId="{4FDA5AF4-2594-4665-BB8E-EC7E523BB978}" srcOrd="0" destOrd="0" presId="urn:microsoft.com/office/officeart/2005/8/layout/orgChart1"/>
    <dgm:cxn modelId="{7A40D8EE-D824-4D3E-BDF5-AA386C7C4CBC}" srcId="{5CDCB0CE-69EC-4B54-90FB-07003544B01A}" destId="{EC1B3DBF-BC0B-4089-980D-C84E0287620D}" srcOrd="1" destOrd="0" parTransId="{09080635-B348-4A49-9A7E-3BFACC21032F}" sibTransId="{B02BF0DA-2F7E-4DB7-A1E0-7CF6368F4431}"/>
    <dgm:cxn modelId="{867045F0-3BD8-4CF6-9EFA-9769753D05FD}" type="presOf" srcId="{71C195CB-0F55-4BF0-8F1C-31522222DCBF}" destId="{2F129B9A-DBE7-46EF-B7D0-A806EA6BB938}" srcOrd="1" destOrd="0" presId="urn:microsoft.com/office/officeart/2005/8/layout/orgChart1"/>
    <dgm:cxn modelId="{5A1946F3-CDC9-4894-AE7D-F9ED5FB1DAB8}" srcId="{9EDF103B-33E0-4DDA-B49D-760BB98607BB}" destId="{FE89A0BF-259A-48E7-B743-3010D0609A55}" srcOrd="0" destOrd="0" parTransId="{04AE525F-0D52-486B-B432-24938FF04195}" sibTransId="{AA25E433-D42B-424F-BA0D-24E48B73BE98}"/>
    <dgm:cxn modelId="{8ED43E6A-C921-4387-8BDC-EB9475A727D6}" type="presParOf" srcId="{1EF936D1-D075-4D25-B1E7-CF3209089393}" destId="{28F58144-E1AA-49C9-B69B-62F20046E637}" srcOrd="0" destOrd="0" presId="urn:microsoft.com/office/officeart/2005/8/layout/orgChart1"/>
    <dgm:cxn modelId="{37F8F98D-5886-4D69-9F56-4F77501A9505}" type="presParOf" srcId="{28F58144-E1AA-49C9-B69B-62F20046E637}" destId="{ADC3F315-F701-4334-8B09-80E2D9CBF5DF}" srcOrd="0" destOrd="0" presId="urn:microsoft.com/office/officeart/2005/8/layout/orgChart1"/>
    <dgm:cxn modelId="{E9C17576-5B2F-4CA2-9848-3905A62648F6}" type="presParOf" srcId="{ADC3F315-F701-4334-8B09-80E2D9CBF5DF}" destId="{20BFF484-1314-434B-BDB2-A2401CC020FE}" srcOrd="0" destOrd="0" presId="urn:microsoft.com/office/officeart/2005/8/layout/orgChart1"/>
    <dgm:cxn modelId="{0EE3A902-6916-4044-B0B0-34FFC48D789A}" type="presParOf" srcId="{ADC3F315-F701-4334-8B09-80E2D9CBF5DF}" destId="{E9FFE2B5-EB32-41AD-84D8-0F6C55C7DAD8}" srcOrd="1" destOrd="0" presId="urn:microsoft.com/office/officeart/2005/8/layout/orgChart1"/>
    <dgm:cxn modelId="{AE60B09B-9ADB-476A-8987-6DCD9C6886A9}" type="presParOf" srcId="{28F58144-E1AA-49C9-B69B-62F20046E637}" destId="{18155B7E-1940-439A-AA21-537E1CD302AC}" srcOrd="1" destOrd="0" presId="urn:microsoft.com/office/officeart/2005/8/layout/orgChart1"/>
    <dgm:cxn modelId="{4625D87C-B970-4562-9EEA-14C64F002C7E}" type="presParOf" srcId="{18155B7E-1940-439A-AA21-537E1CD302AC}" destId="{71C24FCD-356C-472C-A60B-AED0EC384510}" srcOrd="0" destOrd="0" presId="urn:microsoft.com/office/officeart/2005/8/layout/orgChart1"/>
    <dgm:cxn modelId="{94E7E180-0A57-4C69-A08B-907DD99C9509}" type="presParOf" srcId="{18155B7E-1940-439A-AA21-537E1CD302AC}" destId="{68437271-3E76-472C-8F33-36B518A92319}" srcOrd="1" destOrd="0" presId="urn:microsoft.com/office/officeart/2005/8/layout/orgChart1"/>
    <dgm:cxn modelId="{C12D77E7-18A8-4F4E-9715-4C6878CF4643}" type="presParOf" srcId="{68437271-3E76-472C-8F33-36B518A92319}" destId="{11B05673-0C3E-449C-8AEA-DD1D87CF9C8B}" srcOrd="0" destOrd="0" presId="urn:microsoft.com/office/officeart/2005/8/layout/orgChart1"/>
    <dgm:cxn modelId="{6C31971D-7EEA-4FDB-9F0F-B470EC7A3B65}" type="presParOf" srcId="{11B05673-0C3E-449C-8AEA-DD1D87CF9C8B}" destId="{9C24378A-5308-4228-9469-538D050FB673}" srcOrd="0" destOrd="0" presId="urn:microsoft.com/office/officeart/2005/8/layout/orgChart1"/>
    <dgm:cxn modelId="{53F560B2-1EB4-462A-B07C-1B813578D2B8}" type="presParOf" srcId="{11B05673-0C3E-449C-8AEA-DD1D87CF9C8B}" destId="{2F129B9A-DBE7-46EF-B7D0-A806EA6BB938}" srcOrd="1" destOrd="0" presId="urn:microsoft.com/office/officeart/2005/8/layout/orgChart1"/>
    <dgm:cxn modelId="{E987733B-E85D-4AAF-B1D4-4DCCF2DE3F0B}" type="presParOf" srcId="{68437271-3E76-472C-8F33-36B518A92319}" destId="{390B8B1C-ED55-4257-8A15-482F50FC83F7}" srcOrd="1" destOrd="0" presId="urn:microsoft.com/office/officeart/2005/8/layout/orgChart1"/>
    <dgm:cxn modelId="{446D4D75-0AB3-4AFF-80C3-A1E72DFECB31}" type="presParOf" srcId="{68437271-3E76-472C-8F33-36B518A92319}" destId="{CA6DA2BC-C0D4-4C98-A10C-01F0D7D21AC8}" srcOrd="2" destOrd="0" presId="urn:microsoft.com/office/officeart/2005/8/layout/orgChart1"/>
    <dgm:cxn modelId="{172BB891-8CE9-418F-A94E-8B342DD23FE1}" type="presParOf" srcId="{28F58144-E1AA-49C9-B69B-62F20046E637}" destId="{15DB52A2-6867-43C4-9BE6-0126C64C1CBD}" srcOrd="2" destOrd="0" presId="urn:microsoft.com/office/officeart/2005/8/layout/orgChart1"/>
    <dgm:cxn modelId="{33E47559-7260-41F2-9B37-67F1377CCD6F}" type="presParOf" srcId="{15DB52A2-6867-43C4-9BE6-0126C64C1CBD}" destId="{3E50783E-F364-4FD5-8542-EDC273228F1A}" srcOrd="0" destOrd="0" presId="urn:microsoft.com/office/officeart/2005/8/layout/orgChart1"/>
    <dgm:cxn modelId="{74BCCE61-F0F2-4AF2-A235-CDF6AE37BC34}" type="presParOf" srcId="{15DB52A2-6867-43C4-9BE6-0126C64C1CBD}" destId="{7BB0AE4A-7947-482A-A23E-B2F47A450AFB}" srcOrd="1" destOrd="0" presId="urn:microsoft.com/office/officeart/2005/8/layout/orgChart1"/>
    <dgm:cxn modelId="{6650518E-1E6A-4107-9691-AE6E26C71D54}" type="presParOf" srcId="{7BB0AE4A-7947-482A-A23E-B2F47A450AFB}" destId="{4C9E529D-07A7-4B27-81A9-18A9BFE7138E}" srcOrd="0" destOrd="0" presId="urn:microsoft.com/office/officeart/2005/8/layout/orgChart1"/>
    <dgm:cxn modelId="{031CD458-2C15-4DED-84C1-EE84CD828273}" type="presParOf" srcId="{4C9E529D-07A7-4B27-81A9-18A9BFE7138E}" destId="{71B5978C-EFBE-45F5-B39D-4E6C986A8EDD}" srcOrd="0" destOrd="0" presId="urn:microsoft.com/office/officeart/2005/8/layout/orgChart1"/>
    <dgm:cxn modelId="{06A6F59E-6B17-49E9-B9AE-4ED275C1DF41}" type="presParOf" srcId="{4C9E529D-07A7-4B27-81A9-18A9BFE7138E}" destId="{A1077A9C-F676-47AF-94D4-E6EF13955F54}" srcOrd="1" destOrd="0" presId="urn:microsoft.com/office/officeart/2005/8/layout/orgChart1"/>
    <dgm:cxn modelId="{1F00DCAD-A696-4048-BB75-BD372B74200B}" type="presParOf" srcId="{7BB0AE4A-7947-482A-A23E-B2F47A450AFB}" destId="{C366D498-784C-4C6E-850D-9969C8BC67E1}" srcOrd="1" destOrd="0" presId="urn:microsoft.com/office/officeart/2005/8/layout/orgChart1"/>
    <dgm:cxn modelId="{AF479CAD-17C8-4FCF-9204-3D0DBD84DEE4}" type="presParOf" srcId="{C366D498-784C-4C6E-850D-9969C8BC67E1}" destId="{C664A0C3-E653-4DB4-B151-BABFE182EB4A}" srcOrd="0" destOrd="0" presId="urn:microsoft.com/office/officeart/2005/8/layout/orgChart1"/>
    <dgm:cxn modelId="{234B0D27-5B5C-4E73-A4CF-7B45A1DAB3B7}" type="presParOf" srcId="{C366D498-784C-4C6E-850D-9969C8BC67E1}" destId="{2CCE6222-12DE-479A-88DE-1D846DE5D40A}" srcOrd="1" destOrd="0" presId="urn:microsoft.com/office/officeart/2005/8/layout/orgChart1"/>
    <dgm:cxn modelId="{E0B9607D-9266-4E04-A413-F41BBD510343}" type="presParOf" srcId="{2CCE6222-12DE-479A-88DE-1D846DE5D40A}" destId="{476E638B-7639-423D-B613-40C0A2BCF638}" srcOrd="0" destOrd="0" presId="urn:microsoft.com/office/officeart/2005/8/layout/orgChart1"/>
    <dgm:cxn modelId="{DE6FAF82-98A6-4F41-B7E0-9992CE9AD44A}" type="presParOf" srcId="{476E638B-7639-423D-B613-40C0A2BCF638}" destId="{19969D96-5AD4-4847-A227-323120127A02}" srcOrd="0" destOrd="0" presId="urn:microsoft.com/office/officeart/2005/8/layout/orgChart1"/>
    <dgm:cxn modelId="{93B29580-74D5-4527-AA11-AA78F6267497}" type="presParOf" srcId="{476E638B-7639-423D-B613-40C0A2BCF638}" destId="{15CF14CB-8508-47C8-9930-82C8DFF94145}" srcOrd="1" destOrd="0" presId="urn:microsoft.com/office/officeart/2005/8/layout/orgChart1"/>
    <dgm:cxn modelId="{BC59C48A-BC18-4F4E-904F-A82A3690336B}" type="presParOf" srcId="{2CCE6222-12DE-479A-88DE-1D846DE5D40A}" destId="{BE858591-2028-4116-8430-87BE8FABC136}" srcOrd="1" destOrd="0" presId="urn:microsoft.com/office/officeart/2005/8/layout/orgChart1"/>
    <dgm:cxn modelId="{98904B67-3F07-4C4D-99D2-0CADB39161AF}" type="presParOf" srcId="{BE858591-2028-4116-8430-87BE8FABC136}" destId="{5A48A316-8E22-40F0-BADB-759731FBB18A}" srcOrd="0" destOrd="0" presId="urn:microsoft.com/office/officeart/2005/8/layout/orgChart1"/>
    <dgm:cxn modelId="{63193BE5-BC7C-4FBD-AF04-13A242C0CEDE}" type="presParOf" srcId="{BE858591-2028-4116-8430-87BE8FABC136}" destId="{65608014-C6DE-4C40-B624-B816932BDB60}" srcOrd="1" destOrd="0" presId="urn:microsoft.com/office/officeart/2005/8/layout/orgChart1"/>
    <dgm:cxn modelId="{D7031245-54E9-4AE6-B495-96F23F2FE939}" type="presParOf" srcId="{65608014-C6DE-4C40-B624-B816932BDB60}" destId="{25A87FC3-3AB1-4343-B3AE-120027AA8462}" srcOrd="0" destOrd="0" presId="urn:microsoft.com/office/officeart/2005/8/layout/orgChart1"/>
    <dgm:cxn modelId="{EDCA1A25-3D9D-4974-B2FE-99572E048B00}" type="presParOf" srcId="{25A87FC3-3AB1-4343-B3AE-120027AA8462}" destId="{45B52A89-B1D2-4D08-8680-794D112B9F49}" srcOrd="0" destOrd="0" presId="urn:microsoft.com/office/officeart/2005/8/layout/orgChart1"/>
    <dgm:cxn modelId="{1DDF08ED-D06D-4136-B048-79CBAA4FF3DB}" type="presParOf" srcId="{25A87FC3-3AB1-4343-B3AE-120027AA8462}" destId="{157DC3CE-9DD6-4F5F-8F3B-6552BFB9EAEA}" srcOrd="1" destOrd="0" presId="urn:microsoft.com/office/officeart/2005/8/layout/orgChart1"/>
    <dgm:cxn modelId="{DF132A77-07C5-4619-A776-79FD7BB022F5}" type="presParOf" srcId="{65608014-C6DE-4C40-B624-B816932BDB60}" destId="{599E6383-BADE-4000-8C1A-00F2767E03A6}" srcOrd="1" destOrd="0" presId="urn:microsoft.com/office/officeart/2005/8/layout/orgChart1"/>
    <dgm:cxn modelId="{9FD86F1E-5F90-46A8-85D0-DB711E95FB08}" type="presParOf" srcId="{599E6383-BADE-4000-8C1A-00F2767E03A6}" destId="{D370DAFD-DFE1-4739-B7C1-5F3DA3313340}" srcOrd="0" destOrd="0" presId="urn:microsoft.com/office/officeart/2005/8/layout/orgChart1"/>
    <dgm:cxn modelId="{57AAD715-5B3D-4A11-8678-F44BAB1AF1D9}" type="presParOf" srcId="{599E6383-BADE-4000-8C1A-00F2767E03A6}" destId="{8EBED9C2-05E6-4A37-A6E0-8A7B15023EB9}" srcOrd="1" destOrd="0" presId="urn:microsoft.com/office/officeart/2005/8/layout/orgChart1"/>
    <dgm:cxn modelId="{289A7C8D-961A-4204-A2D1-7BDE171DEE2D}" type="presParOf" srcId="{8EBED9C2-05E6-4A37-A6E0-8A7B15023EB9}" destId="{44C3F06C-CC12-4EA6-BFDC-E32B59EB7C69}" srcOrd="0" destOrd="0" presId="urn:microsoft.com/office/officeart/2005/8/layout/orgChart1"/>
    <dgm:cxn modelId="{16746961-C9E0-4065-A195-C6580A061891}" type="presParOf" srcId="{44C3F06C-CC12-4EA6-BFDC-E32B59EB7C69}" destId="{4FDA5AF4-2594-4665-BB8E-EC7E523BB978}" srcOrd="0" destOrd="0" presId="urn:microsoft.com/office/officeart/2005/8/layout/orgChart1"/>
    <dgm:cxn modelId="{DF6FF6E1-46B9-4756-AA3B-436999C8676E}" type="presParOf" srcId="{44C3F06C-CC12-4EA6-BFDC-E32B59EB7C69}" destId="{50DFEB2F-B88D-40DF-9DAB-85718021D68F}" srcOrd="1" destOrd="0" presId="urn:microsoft.com/office/officeart/2005/8/layout/orgChart1"/>
    <dgm:cxn modelId="{73BF2B00-BCE0-4B62-9A27-1B9E7A31EBE6}" type="presParOf" srcId="{8EBED9C2-05E6-4A37-A6E0-8A7B15023EB9}" destId="{D33DC0ED-0BA7-4CD5-A67B-47B97040C0A5}" srcOrd="1" destOrd="0" presId="urn:microsoft.com/office/officeart/2005/8/layout/orgChart1"/>
    <dgm:cxn modelId="{ABF7D59C-B622-4F4A-8402-A6A8F3FA06EA}" type="presParOf" srcId="{8EBED9C2-05E6-4A37-A6E0-8A7B15023EB9}" destId="{62222392-D566-4FA7-AF5D-5767D22CD6F8}" srcOrd="2" destOrd="0" presId="urn:microsoft.com/office/officeart/2005/8/layout/orgChart1"/>
    <dgm:cxn modelId="{EE827870-9740-49B0-AE43-E5E9687550DE}" type="presParOf" srcId="{65608014-C6DE-4C40-B624-B816932BDB60}" destId="{F249C98E-5734-487A-BF71-F14C29ED202D}" srcOrd="2" destOrd="0" presId="urn:microsoft.com/office/officeart/2005/8/layout/orgChart1"/>
    <dgm:cxn modelId="{84E38C43-C18D-4D4C-A25C-75F9E0B42FDD}" type="presParOf" srcId="{F249C98E-5734-487A-BF71-F14C29ED202D}" destId="{7F4163DE-5DA9-40D4-B0C6-F97F7014F550}" srcOrd="0" destOrd="0" presId="urn:microsoft.com/office/officeart/2005/8/layout/orgChart1"/>
    <dgm:cxn modelId="{A03A4E34-0D8B-42B3-8CE6-5BAC9ECF8FFD}" type="presParOf" srcId="{F249C98E-5734-487A-BF71-F14C29ED202D}" destId="{F45FBF40-D45E-46AF-89B7-38952E6C4F51}" srcOrd="1" destOrd="0" presId="urn:microsoft.com/office/officeart/2005/8/layout/orgChart1"/>
    <dgm:cxn modelId="{6344035A-4890-4010-9EC5-C99BECC081E3}" type="presParOf" srcId="{F45FBF40-D45E-46AF-89B7-38952E6C4F51}" destId="{A239B2D7-22E8-4028-A0A1-AF5F55FE0F8F}" srcOrd="0" destOrd="0" presId="urn:microsoft.com/office/officeart/2005/8/layout/orgChart1"/>
    <dgm:cxn modelId="{6C9F8234-862E-4353-9D27-3441987C6D96}" type="presParOf" srcId="{A239B2D7-22E8-4028-A0A1-AF5F55FE0F8F}" destId="{7BB5B33B-0189-4992-827F-D4CCEFBDC689}" srcOrd="0" destOrd="0" presId="urn:microsoft.com/office/officeart/2005/8/layout/orgChart1"/>
    <dgm:cxn modelId="{7E5547D0-56A2-4A6A-8D5D-FF94295A035E}" type="presParOf" srcId="{A239B2D7-22E8-4028-A0A1-AF5F55FE0F8F}" destId="{04B38BD0-36C9-4D5E-B862-BA6CC76C8CA3}" srcOrd="1" destOrd="0" presId="urn:microsoft.com/office/officeart/2005/8/layout/orgChart1"/>
    <dgm:cxn modelId="{4FEA0940-4D63-4958-AFEA-9AD97BE34E19}" type="presParOf" srcId="{F45FBF40-D45E-46AF-89B7-38952E6C4F51}" destId="{33914E4F-9BBD-4952-83F2-25B65E7D454B}" srcOrd="1" destOrd="0" presId="urn:microsoft.com/office/officeart/2005/8/layout/orgChart1"/>
    <dgm:cxn modelId="{B7514228-5FD5-4EAB-A5DA-44ED266B82D3}" type="presParOf" srcId="{F45FBF40-D45E-46AF-89B7-38952E6C4F51}" destId="{9D800B75-DC00-4775-A327-705B0F9DBA95}" srcOrd="2" destOrd="0" presId="urn:microsoft.com/office/officeart/2005/8/layout/orgChart1"/>
    <dgm:cxn modelId="{212C9A06-E021-4A0E-BD1B-4FBE4084FDC1}" type="presParOf" srcId="{2CCE6222-12DE-479A-88DE-1D846DE5D40A}" destId="{01110D7E-19EB-4AD5-BEF8-595641D46DAA}" srcOrd="2" destOrd="0" presId="urn:microsoft.com/office/officeart/2005/8/layout/orgChart1"/>
    <dgm:cxn modelId="{30755C14-F6BA-4476-8DBF-AFB2926878DC}" type="presParOf" srcId="{7BB0AE4A-7947-482A-A23E-B2F47A450AFB}" destId="{9601E036-B816-4B5B-B210-FDDB23F7EE78}" srcOrd="2" destOrd="0" presId="urn:microsoft.com/office/officeart/2005/8/layout/orgChart1"/>
  </dgm:cxnLst>
  <dgm:bg/>
  <dgm:whole>
    <a:ln>
      <a:noFill/>
    </a:ln>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0620D57-AD93-49BC-9A43-2A169E43592F}">
      <dsp:nvSpPr>
        <dsp:cNvPr id="0" name=""/>
        <dsp:cNvSpPr/>
      </dsp:nvSpPr>
      <dsp:spPr>
        <a:xfrm>
          <a:off x="1040844" y="412232"/>
          <a:ext cx="1542380" cy="1504150"/>
        </a:xfrm>
        <a:prstGeom prst="roundRect">
          <a:avLst/>
        </a:prstGeom>
        <a:solidFill>
          <a:srgbClr val="B6A04C">
            <a:alpha val="90000"/>
          </a:srgbClr>
        </a:solidFill>
        <a:ln w="12700" cap="flat" cmpd="sng" algn="ctr">
          <a:no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0" tIns="71120" rIns="71120" bIns="71120" numCol="1" spcCol="1270" anchor="ctr" anchorCtr="0">
          <a:noAutofit/>
        </a:bodyPr>
        <a:lstStyle/>
        <a:p>
          <a:pPr marL="0" lvl="0" indent="0" algn="l" defTabSz="444500">
            <a:lnSpc>
              <a:spcPct val="90000"/>
            </a:lnSpc>
            <a:spcBef>
              <a:spcPct val="0"/>
            </a:spcBef>
            <a:spcAft>
              <a:spcPct val="35000"/>
            </a:spcAft>
            <a:buNone/>
          </a:pPr>
          <a:r>
            <a:rPr lang="en-US" sz="1000" b="0" kern="1200">
              <a:solidFill>
                <a:schemeClr val="bg1"/>
              </a:solidFill>
            </a:rPr>
            <a:t>The right to life (Art. 2)</a:t>
          </a:r>
        </a:p>
        <a:p>
          <a:pPr marL="0" lvl="0" indent="0" algn="l" defTabSz="444500">
            <a:lnSpc>
              <a:spcPct val="90000"/>
            </a:lnSpc>
            <a:spcBef>
              <a:spcPct val="0"/>
            </a:spcBef>
            <a:spcAft>
              <a:spcPct val="35000"/>
            </a:spcAft>
            <a:buNone/>
          </a:pPr>
          <a:r>
            <a:rPr lang="en-US" sz="1000" b="0" kern="1200">
              <a:solidFill>
                <a:schemeClr val="bg1"/>
              </a:solidFill>
            </a:rPr>
            <a:t>The right to liberty and security (Art. 6)</a:t>
          </a:r>
        </a:p>
        <a:p>
          <a:pPr marL="0" lvl="0" indent="0" algn="l" defTabSz="444500">
            <a:lnSpc>
              <a:spcPct val="90000"/>
            </a:lnSpc>
            <a:spcBef>
              <a:spcPct val="0"/>
            </a:spcBef>
            <a:spcAft>
              <a:spcPct val="35000"/>
            </a:spcAft>
            <a:buNone/>
          </a:pPr>
          <a:r>
            <a:rPr lang="en-US" sz="1000" b="0" kern="1200">
              <a:solidFill>
                <a:schemeClr val="bg1"/>
              </a:solidFill>
            </a:rPr>
            <a:t>The right for respect private and family life (Art. 8)</a:t>
          </a:r>
        </a:p>
        <a:p>
          <a:pPr marL="0" lvl="0" indent="0" algn="l" defTabSz="444500">
            <a:lnSpc>
              <a:spcPct val="90000"/>
            </a:lnSpc>
            <a:spcBef>
              <a:spcPct val="0"/>
            </a:spcBef>
            <a:spcAft>
              <a:spcPct val="35000"/>
            </a:spcAft>
            <a:buNone/>
          </a:pPr>
          <a:r>
            <a:rPr lang="en-US" sz="1000" b="0" kern="1200">
              <a:solidFill>
                <a:schemeClr val="bg1"/>
              </a:solidFill>
            </a:rPr>
            <a:t>The prohibition of torture (Art. 4)</a:t>
          </a:r>
        </a:p>
        <a:p>
          <a:pPr marL="0" lvl="0" indent="0" algn="l" defTabSz="444500">
            <a:lnSpc>
              <a:spcPct val="90000"/>
            </a:lnSpc>
            <a:spcBef>
              <a:spcPct val="0"/>
            </a:spcBef>
            <a:spcAft>
              <a:spcPct val="35000"/>
            </a:spcAft>
            <a:buNone/>
          </a:pPr>
          <a:r>
            <a:rPr lang="en-US" sz="700" kern="1200"/>
            <a:t>...</a:t>
          </a:r>
          <a:endParaRPr lang="ca-ES" sz="700" kern="1200"/>
        </a:p>
      </dsp:txBody>
      <dsp:txXfrm>
        <a:off x="1287625" y="412232"/>
        <a:ext cx="1295599" cy="1504150"/>
      </dsp:txXfrm>
    </dsp:sp>
    <dsp:sp modelId="{6A1669C2-4A0B-43B2-83C9-C8C1050A2793}">
      <dsp:nvSpPr>
        <dsp:cNvPr id="0" name=""/>
        <dsp:cNvSpPr/>
      </dsp:nvSpPr>
      <dsp:spPr>
        <a:xfrm>
          <a:off x="218241" y="931"/>
          <a:ext cx="1028253" cy="1028253"/>
        </a:xfrm>
        <a:prstGeom prst="ellipse">
          <a:avLst/>
        </a:prstGeom>
        <a:solidFill>
          <a:schemeClr val="bg1"/>
        </a:solidFill>
        <a:ln w="19050" cap="flat" cmpd="sng" algn="ctr">
          <a:solidFill>
            <a:srgbClr val="B6A04C"/>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marL="0" lvl="0" indent="0" algn="ctr" defTabSz="622300">
            <a:lnSpc>
              <a:spcPct val="90000"/>
            </a:lnSpc>
            <a:spcBef>
              <a:spcPct val="0"/>
            </a:spcBef>
            <a:spcAft>
              <a:spcPct val="35000"/>
            </a:spcAft>
            <a:buNone/>
          </a:pPr>
          <a:r>
            <a:rPr lang="ca-ES" sz="1400" kern="1200">
              <a:solidFill>
                <a:srgbClr val="B6A04C"/>
              </a:solidFill>
            </a:rPr>
            <a:t>Rights</a:t>
          </a:r>
        </a:p>
      </dsp:txBody>
      <dsp:txXfrm>
        <a:off x="368825" y="151515"/>
        <a:ext cx="727085" cy="727085"/>
      </dsp:txXfrm>
    </dsp:sp>
    <dsp:sp modelId="{FCD530B5-7BFB-452C-BD56-F976180369E9}">
      <dsp:nvSpPr>
        <dsp:cNvPr id="0" name=""/>
        <dsp:cNvSpPr/>
      </dsp:nvSpPr>
      <dsp:spPr>
        <a:xfrm>
          <a:off x="3611478" y="412232"/>
          <a:ext cx="1542380" cy="1527370"/>
        </a:xfrm>
        <a:prstGeom prst="roundRect">
          <a:avLst/>
        </a:prstGeom>
        <a:solidFill>
          <a:srgbClr val="B6A04C">
            <a:alpha val="90000"/>
          </a:srgbClr>
        </a:solidFill>
        <a:ln w="12700" cap="flat" cmpd="sng" algn="ctr">
          <a:no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0" tIns="71120" rIns="71120" bIns="71120" numCol="1" spcCol="1270" anchor="ctr" anchorCtr="0">
          <a:noAutofit/>
        </a:bodyPr>
        <a:lstStyle/>
        <a:p>
          <a:pPr marL="0" lvl="0" indent="0" algn="l" defTabSz="444500">
            <a:lnSpc>
              <a:spcPct val="90000"/>
            </a:lnSpc>
            <a:spcBef>
              <a:spcPct val="0"/>
            </a:spcBef>
            <a:spcAft>
              <a:spcPct val="35000"/>
            </a:spcAft>
            <a:buNone/>
          </a:pPr>
          <a:r>
            <a:rPr lang="en-US" sz="1000" kern="1200">
              <a:solidFill>
                <a:schemeClr val="bg1"/>
              </a:solidFill>
            </a:rPr>
            <a:t>Freedom to conduct a business (Art. 16)</a:t>
          </a:r>
        </a:p>
        <a:p>
          <a:pPr marL="0" lvl="0" indent="0" algn="l" defTabSz="444500">
            <a:lnSpc>
              <a:spcPct val="90000"/>
            </a:lnSpc>
            <a:spcBef>
              <a:spcPct val="0"/>
            </a:spcBef>
            <a:spcAft>
              <a:spcPct val="35000"/>
            </a:spcAft>
            <a:buNone/>
          </a:pPr>
          <a:r>
            <a:rPr lang="en-US" sz="1000" kern="1200">
              <a:solidFill>
                <a:schemeClr val="bg1"/>
              </a:solidFill>
            </a:rPr>
            <a:t>The right of collective bargaining and action (Art. 28)</a:t>
          </a:r>
        </a:p>
        <a:p>
          <a:pPr marL="0" lvl="0" indent="0" algn="l" defTabSz="444500">
            <a:lnSpc>
              <a:spcPct val="90000"/>
            </a:lnSpc>
            <a:spcBef>
              <a:spcPct val="0"/>
            </a:spcBef>
            <a:spcAft>
              <a:spcPct val="35000"/>
            </a:spcAft>
            <a:buNone/>
          </a:pPr>
          <a:r>
            <a:rPr lang="en-US" sz="1000" kern="1200">
              <a:solidFill>
                <a:schemeClr val="bg1"/>
              </a:solidFill>
            </a:rPr>
            <a:t>Environmental protection (Art. 37)</a:t>
          </a:r>
        </a:p>
        <a:p>
          <a:pPr marL="0" lvl="0" indent="0" algn="l" defTabSz="444500">
            <a:lnSpc>
              <a:spcPct val="90000"/>
            </a:lnSpc>
            <a:spcBef>
              <a:spcPct val="0"/>
            </a:spcBef>
            <a:spcAft>
              <a:spcPct val="35000"/>
            </a:spcAft>
            <a:buNone/>
          </a:pPr>
          <a:r>
            <a:rPr lang="en-US" sz="1000" kern="1200">
              <a:solidFill>
                <a:schemeClr val="bg1"/>
              </a:solidFill>
            </a:rPr>
            <a:t>... </a:t>
          </a:r>
          <a:endParaRPr lang="ca-ES" sz="1000" kern="1200">
            <a:solidFill>
              <a:schemeClr val="bg1"/>
            </a:solidFill>
          </a:endParaRPr>
        </a:p>
      </dsp:txBody>
      <dsp:txXfrm>
        <a:off x="3921505" y="475478"/>
        <a:ext cx="1169107" cy="1400878"/>
      </dsp:txXfrm>
    </dsp:sp>
    <dsp:sp modelId="{447720BD-F307-4FB9-8136-C6F0DA797394}">
      <dsp:nvSpPr>
        <dsp:cNvPr id="0" name=""/>
        <dsp:cNvSpPr/>
      </dsp:nvSpPr>
      <dsp:spPr>
        <a:xfrm>
          <a:off x="2777594" y="0"/>
          <a:ext cx="1028253" cy="1028253"/>
        </a:xfrm>
        <a:prstGeom prst="ellipse">
          <a:avLst/>
        </a:prstGeom>
        <a:solidFill>
          <a:schemeClr val="bg1"/>
        </a:solidFill>
        <a:ln w="19050" cap="flat" cmpd="sng" algn="ctr">
          <a:solidFill>
            <a:srgbClr val="B6A04C"/>
          </a:solidFill>
          <a:prstDash val="solid"/>
          <a:miter lim="800000"/>
        </a:ln>
        <a:effectLst/>
      </dsp:spPr>
      <dsp:style>
        <a:lnRef idx="3">
          <a:scrgbClr r="0" g="0" b="0"/>
        </a:lnRef>
        <a:fillRef idx="1">
          <a:scrgbClr r="0" g="0" b="0"/>
        </a:fillRef>
        <a:effectRef idx="1">
          <a:scrgbClr r="0" g="0" b="0"/>
        </a:effectRef>
        <a:fontRef idx="minor">
          <a:schemeClr val="lt1"/>
        </a:fontRef>
      </dsp:style>
      <dsp:txBody>
        <a:bodyPr spcFirstLastPara="0" vert="horz" wrap="square" lIns="0" tIns="0" rIns="0" bIns="0" numCol="1" spcCol="1270" anchor="ctr" anchorCtr="0">
          <a:noAutofit/>
        </a:bodyPr>
        <a:lstStyle/>
        <a:p>
          <a:pPr marL="0" lvl="0" indent="0" algn="ctr" defTabSz="622300">
            <a:lnSpc>
              <a:spcPct val="90000"/>
            </a:lnSpc>
            <a:spcBef>
              <a:spcPct val="0"/>
            </a:spcBef>
            <a:spcAft>
              <a:spcPct val="35000"/>
            </a:spcAft>
            <a:buNone/>
          </a:pPr>
          <a:r>
            <a:rPr lang="ca-ES" sz="1400" kern="1200">
              <a:solidFill>
                <a:srgbClr val="B6A04C"/>
              </a:solidFill>
            </a:rPr>
            <a:t>Principles</a:t>
          </a:r>
        </a:p>
      </dsp:txBody>
      <dsp:txXfrm>
        <a:off x="2928178" y="150584"/>
        <a:ext cx="727085" cy="72708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EA09A4E-4413-46D1-B5ED-A2E0C0AB20FF}">
      <dsp:nvSpPr>
        <dsp:cNvPr id="0" name=""/>
        <dsp:cNvSpPr/>
      </dsp:nvSpPr>
      <dsp:spPr>
        <a:xfrm>
          <a:off x="3543776" y="1558806"/>
          <a:ext cx="928131" cy="441706"/>
        </a:xfrm>
        <a:custGeom>
          <a:avLst/>
          <a:gdLst/>
          <a:ahLst/>
          <a:cxnLst/>
          <a:rect l="0" t="0" r="0" b="0"/>
          <a:pathLst>
            <a:path>
              <a:moveTo>
                <a:pt x="0" y="0"/>
              </a:moveTo>
              <a:lnTo>
                <a:pt x="0" y="301010"/>
              </a:lnTo>
              <a:lnTo>
                <a:pt x="928131" y="301010"/>
              </a:lnTo>
              <a:lnTo>
                <a:pt x="928131" y="441706"/>
              </a:lnTo>
            </a:path>
          </a:pathLst>
        </a:custGeom>
        <a:noFill/>
        <a:ln w="12700" cap="flat" cmpd="sng" algn="ctr">
          <a:solidFill>
            <a:srgbClr val="B6A04C"/>
          </a:solidFill>
          <a:prstDash val="solid"/>
          <a:miter lim="800000"/>
        </a:ln>
        <a:effectLst/>
      </dsp:spPr>
      <dsp:style>
        <a:lnRef idx="2">
          <a:scrgbClr r="0" g="0" b="0"/>
        </a:lnRef>
        <a:fillRef idx="0">
          <a:scrgbClr r="0" g="0" b="0"/>
        </a:fillRef>
        <a:effectRef idx="0">
          <a:scrgbClr r="0" g="0" b="0"/>
        </a:effectRef>
        <a:fontRef idx="minor"/>
      </dsp:style>
    </dsp:sp>
    <dsp:sp modelId="{40AD204A-85BD-46B6-B3B3-0C656DB7CB10}">
      <dsp:nvSpPr>
        <dsp:cNvPr id="0" name=""/>
        <dsp:cNvSpPr/>
      </dsp:nvSpPr>
      <dsp:spPr>
        <a:xfrm>
          <a:off x="2615644" y="2964925"/>
          <a:ext cx="1856263" cy="441706"/>
        </a:xfrm>
        <a:custGeom>
          <a:avLst/>
          <a:gdLst/>
          <a:ahLst/>
          <a:cxnLst/>
          <a:rect l="0" t="0" r="0" b="0"/>
          <a:pathLst>
            <a:path>
              <a:moveTo>
                <a:pt x="0" y="0"/>
              </a:moveTo>
              <a:lnTo>
                <a:pt x="0" y="301010"/>
              </a:lnTo>
              <a:lnTo>
                <a:pt x="1856263" y="301010"/>
              </a:lnTo>
              <a:lnTo>
                <a:pt x="1856263" y="441706"/>
              </a:lnTo>
            </a:path>
          </a:pathLst>
        </a:custGeom>
        <a:noFill/>
        <a:ln w="12700" cap="flat" cmpd="sng" algn="ctr">
          <a:solidFill>
            <a:srgbClr val="B6A04C"/>
          </a:solidFill>
          <a:prstDash val="solid"/>
          <a:miter lim="800000"/>
        </a:ln>
        <a:effectLst/>
      </dsp:spPr>
      <dsp:style>
        <a:lnRef idx="2">
          <a:scrgbClr r="0" g="0" b="0"/>
        </a:lnRef>
        <a:fillRef idx="0">
          <a:scrgbClr r="0" g="0" b="0"/>
        </a:fillRef>
        <a:effectRef idx="0">
          <a:scrgbClr r="0" g="0" b="0"/>
        </a:effectRef>
        <a:fontRef idx="minor"/>
      </dsp:style>
    </dsp:sp>
    <dsp:sp modelId="{6DE60702-C755-46CE-AA0B-C04726A3164F}">
      <dsp:nvSpPr>
        <dsp:cNvPr id="0" name=""/>
        <dsp:cNvSpPr/>
      </dsp:nvSpPr>
      <dsp:spPr>
        <a:xfrm>
          <a:off x="2569924" y="2964925"/>
          <a:ext cx="91440" cy="441706"/>
        </a:xfrm>
        <a:custGeom>
          <a:avLst/>
          <a:gdLst/>
          <a:ahLst/>
          <a:cxnLst/>
          <a:rect l="0" t="0" r="0" b="0"/>
          <a:pathLst>
            <a:path>
              <a:moveTo>
                <a:pt x="45720" y="0"/>
              </a:moveTo>
              <a:lnTo>
                <a:pt x="45720" y="441706"/>
              </a:lnTo>
            </a:path>
          </a:pathLst>
        </a:custGeom>
        <a:noFill/>
        <a:ln w="12700" cap="flat" cmpd="sng" algn="ctr">
          <a:solidFill>
            <a:srgbClr val="B6A04C"/>
          </a:solidFill>
          <a:prstDash val="solid"/>
          <a:miter lim="800000"/>
        </a:ln>
        <a:effectLst/>
      </dsp:spPr>
      <dsp:style>
        <a:lnRef idx="2">
          <a:scrgbClr r="0" g="0" b="0"/>
        </a:lnRef>
        <a:fillRef idx="0">
          <a:scrgbClr r="0" g="0" b="0"/>
        </a:fillRef>
        <a:effectRef idx="0">
          <a:scrgbClr r="0" g="0" b="0"/>
        </a:effectRef>
        <a:fontRef idx="minor"/>
      </dsp:style>
    </dsp:sp>
    <dsp:sp modelId="{12913B75-CDA8-4C9D-BCFD-8CA37E834964}">
      <dsp:nvSpPr>
        <dsp:cNvPr id="0" name=""/>
        <dsp:cNvSpPr/>
      </dsp:nvSpPr>
      <dsp:spPr>
        <a:xfrm>
          <a:off x="759380" y="2964925"/>
          <a:ext cx="1856263" cy="441706"/>
        </a:xfrm>
        <a:custGeom>
          <a:avLst/>
          <a:gdLst/>
          <a:ahLst/>
          <a:cxnLst/>
          <a:rect l="0" t="0" r="0" b="0"/>
          <a:pathLst>
            <a:path>
              <a:moveTo>
                <a:pt x="1856263" y="0"/>
              </a:moveTo>
              <a:lnTo>
                <a:pt x="1856263" y="301010"/>
              </a:lnTo>
              <a:lnTo>
                <a:pt x="0" y="301010"/>
              </a:lnTo>
              <a:lnTo>
                <a:pt x="0" y="441706"/>
              </a:lnTo>
            </a:path>
          </a:pathLst>
        </a:custGeom>
        <a:noFill/>
        <a:ln w="12700" cap="flat" cmpd="sng" algn="ctr">
          <a:solidFill>
            <a:srgbClr val="B6A04C"/>
          </a:solidFill>
          <a:prstDash val="solid"/>
          <a:miter lim="800000"/>
        </a:ln>
        <a:effectLst/>
      </dsp:spPr>
      <dsp:style>
        <a:lnRef idx="2">
          <a:scrgbClr r="0" g="0" b="0"/>
        </a:lnRef>
        <a:fillRef idx="0">
          <a:scrgbClr r="0" g="0" b="0"/>
        </a:fillRef>
        <a:effectRef idx="0">
          <a:scrgbClr r="0" g="0" b="0"/>
        </a:effectRef>
        <a:fontRef idx="minor"/>
      </dsp:style>
    </dsp:sp>
    <dsp:sp modelId="{E2E1FD22-750D-4495-BFBE-F9452C501778}">
      <dsp:nvSpPr>
        <dsp:cNvPr id="0" name=""/>
        <dsp:cNvSpPr/>
      </dsp:nvSpPr>
      <dsp:spPr>
        <a:xfrm>
          <a:off x="2615644" y="1558806"/>
          <a:ext cx="928131" cy="441706"/>
        </a:xfrm>
        <a:custGeom>
          <a:avLst/>
          <a:gdLst/>
          <a:ahLst/>
          <a:cxnLst/>
          <a:rect l="0" t="0" r="0" b="0"/>
          <a:pathLst>
            <a:path>
              <a:moveTo>
                <a:pt x="928131" y="0"/>
              </a:moveTo>
              <a:lnTo>
                <a:pt x="928131" y="301010"/>
              </a:lnTo>
              <a:lnTo>
                <a:pt x="0" y="301010"/>
              </a:lnTo>
              <a:lnTo>
                <a:pt x="0" y="441706"/>
              </a:lnTo>
            </a:path>
          </a:pathLst>
        </a:custGeom>
        <a:noFill/>
        <a:ln w="12700" cap="flat" cmpd="sng" algn="ctr">
          <a:solidFill>
            <a:srgbClr val="B6A04C"/>
          </a:solidFill>
          <a:prstDash val="solid"/>
          <a:miter lim="800000"/>
        </a:ln>
        <a:effectLst/>
      </dsp:spPr>
      <dsp:style>
        <a:lnRef idx="2">
          <a:scrgbClr r="0" g="0" b="0"/>
        </a:lnRef>
        <a:fillRef idx="0">
          <a:scrgbClr r="0" g="0" b="0"/>
        </a:fillRef>
        <a:effectRef idx="0">
          <a:scrgbClr r="0" g="0" b="0"/>
        </a:effectRef>
        <a:fontRef idx="minor"/>
      </dsp:style>
    </dsp:sp>
    <dsp:sp modelId="{3A17DAA9-C1B3-438E-9097-0D9835D04689}">
      <dsp:nvSpPr>
        <dsp:cNvPr id="0" name=""/>
        <dsp:cNvSpPr/>
      </dsp:nvSpPr>
      <dsp:spPr>
        <a:xfrm>
          <a:off x="2784395" y="594392"/>
          <a:ext cx="1518761" cy="964413"/>
        </a:xfrm>
        <a:prstGeom prst="roundRect">
          <a:avLst>
            <a:gd name="adj" fmla="val 10000"/>
          </a:avLst>
        </a:prstGeom>
        <a:solidFill>
          <a:srgbClr val="C9CAE5"/>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874A4998-1E59-4565-96F1-3854B83A7F30}">
      <dsp:nvSpPr>
        <dsp:cNvPr id="0" name=""/>
        <dsp:cNvSpPr/>
      </dsp:nvSpPr>
      <dsp:spPr>
        <a:xfrm>
          <a:off x="2953146" y="754706"/>
          <a:ext cx="1518761" cy="964413"/>
        </a:xfrm>
        <a:prstGeom prst="roundRect">
          <a:avLst>
            <a:gd name="adj" fmla="val 10000"/>
          </a:avLst>
        </a:prstGeom>
        <a:solidFill>
          <a:schemeClr val="lt1">
            <a:alpha val="90000"/>
            <a:hueOff val="0"/>
            <a:satOff val="0"/>
            <a:lumOff val="0"/>
            <a:alphaOff val="0"/>
          </a:schemeClr>
        </a:solidFill>
        <a:ln w="6350" cap="flat" cmpd="sng" algn="ctr">
          <a:solidFill>
            <a:srgbClr val="B6A04C"/>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GB" sz="1200" b="1" kern="1200">
              <a:solidFill>
                <a:srgbClr val="B6A04C"/>
              </a:solidFill>
            </a:rPr>
            <a:t>Is the EU Charter applicable? </a:t>
          </a:r>
        </a:p>
        <a:p>
          <a:pPr marL="0" lvl="0" indent="0" algn="ctr" defTabSz="533400">
            <a:lnSpc>
              <a:spcPct val="90000"/>
            </a:lnSpc>
            <a:spcBef>
              <a:spcPct val="0"/>
            </a:spcBef>
            <a:spcAft>
              <a:spcPct val="35000"/>
            </a:spcAft>
            <a:buNone/>
          </a:pPr>
          <a:r>
            <a:rPr lang="en-GB" sz="1000" kern="1200">
              <a:solidFill>
                <a:srgbClr val="B6A04C"/>
              </a:solidFill>
            </a:rPr>
            <a:t>Within the meaning of Art. 51</a:t>
          </a:r>
        </a:p>
      </dsp:txBody>
      <dsp:txXfrm>
        <a:off x="2981393" y="782953"/>
        <a:ext cx="1462267" cy="907919"/>
      </dsp:txXfrm>
    </dsp:sp>
    <dsp:sp modelId="{F7FFA1C1-5CC4-4D7A-BBE5-85A642F02886}">
      <dsp:nvSpPr>
        <dsp:cNvPr id="0" name=""/>
        <dsp:cNvSpPr/>
      </dsp:nvSpPr>
      <dsp:spPr>
        <a:xfrm>
          <a:off x="1856263" y="2000512"/>
          <a:ext cx="1518761" cy="964413"/>
        </a:xfrm>
        <a:prstGeom prst="roundRect">
          <a:avLst>
            <a:gd name="adj" fmla="val 10000"/>
          </a:avLst>
        </a:prstGeom>
        <a:solidFill>
          <a:srgbClr val="C9CAE5"/>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0B79E909-E94B-4BDA-B150-829CC5CC8B2A}">
      <dsp:nvSpPr>
        <dsp:cNvPr id="0" name=""/>
        <dsp:cNvSpPr/>
      </dsp:nvSpPr>
      <dsp:spPr>
        <a:xfrm>
          <a:off x="2025014" y="2160826"/>
          <a:ext cx="1518761" cy="964413"/>
        </a:xfrm>
        <a:prstGeom prst="roundRect">
          <a:avLst>
            <a:gd name="adj" fmla="val 10000"/>
          </a:avLst>
        </a:prstGeom>
        <a:solidFill>
          <a:schemeClr val="lt1">
            <a:alpha val="90000"/>
            <a:hueOff val="0"/>
            <a:satOff val="0"/>
            <a:lumOff val="0"/>
            <a:alphaOff val="0"/>
          </a:schemeClr>
        </a:solidFill>
        <a:ln w="6350" cap="flat" cmpd="sng" algn="ctr">
          <a:solidFill>
            <a:srgbClr val="B6A04C"/>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GB" sz="1200" b="1" kern="1200">
              <a:solidFill>
                <a:srgbClr val="B6A04C"/>
              </a:solidFill>
            </a:rPr>
            <a:t>YES : </a:t>
          </a:r>
        </a:p>
        <a:p>
          <a:pPr marL="0" lvl="0" indent="0" algn="ctr" defTabSz="533400">
            <a:lnSpc>
              <a:spcPct val="90000"/>
            </a:lnSpc>
            <a:spcBef>
              <a:spcPct val="0"/>
            </a:spcBef>
            <a:spcAft>
              <a:spcPct val="35000"/>
            </a:spcAft>
            <a:buNone/>
          </a:pPr>
          <a:r>
            <a:rPr lang="en-GB" sz="1000" kern="1200"/>
            <a:t>The Member State is implementing EU Law so, the Charter can be "triggered" and applied </a:t>
          </a:r>
        </a:p>
      </dsp:txBody>
      <dsp:txXfrm>
        <a:off x="2053261" y="2189073"/>
        <a:ext cx="1462267" cy="907919"/>
      </dsp:txXfrm>
    </dsp:sp>
    <dsp:sp modelId="{7DD51BEF-DE78-4622-9C2E-C651CD1CB0B6}">
      <dsp:nvSpPr>
        <dsp:cNvPr id="0" name=""/>
        <dsp:cNvSpPr/>
      </dsp:nvSpPr>
      <dsp:spPr>
        <a:xfrm>
          <a:off x="0" y="3406632"/>
          <a:ext cx="1518761" cy="964413"/>
        </a:xfrm>
        <a:prstGeom prst="roundRect">
          <a:avLst>
            <a:gd name="adj" fmla="val 10000"/>
          </a:avLst>
        </a:prstGeom>
        <a:solidFill>
          <a:srgbClr val="C9CAE5"/>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012035D8-C946-4A7A-AB3A-3973FCA08607}">
      <dsp:nvSpPr>
        <dsp:cNvPr id="0" name=""/>
        <dsp:cNvSpPr/>
      </dsp:nvSpPr>
      <dsp:spPr>
        <a:xfrm>
          <a:off x="168751" y="3566945"/>
          <a:ext cx="1518761" cy="964413"/>
        </a:xfrm>
        <a:prstGeom prst="roundRect">
          <a:avLst>
            <a:gd name="adj" fmla="val 10000"/>
          </a:avLst>
        </a:prstGeom>
        <a:solidFill>
          <a:schemeClr val="lt1">
            <a:alpha val="90000"/>
            <a:hueOff val="0"/>
            <a:satOff val="0"/>
            <a:lumOff val="0"/>
            <a:alphaOff val="0"/>
          </a:schemeClr>
        </a:solidFill>
        <a:ln w="6350" cap="flat" cmpd="sng" algn="ctr">
          <a:solidFill>
            <a:srgbClr val="B6A04C"/>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l" defTabSz="444500">
            <a:lnSpc>
              <a:spcPct val="90000"/>
            </a:lnSpc>
            <a:spcBef>
              <a:spcPct val="0"/>
            </a:spcBef>
            <a:spcAft>
              <a:spcPct val="35000"/>
            </a:spcAft>
            <a:buNone/>
          </a:pPr>
          <a:r>
            <a:rPr lang="en-GB" sz="1000" b="1" kern="1200"/>
            <a:t>	</a:t>
          </a:r>
          <a:r>
            <a:rPr lang="en-GB" sz="1000" b="1" kern="1200">
              <a:solidFill>
                <a:srgbClr val="2C2D5B"/>
              </a:solidFill>
            </a:rPr>
            <a:t>Determine relevant CJEU case law </a:t>
          </a:r>
          <a:r>
            <a:rPr lang="en-GB" sz="1000" b="0" kern="1200">
              <a:solidFill>
                <a:srgbClr val="2C2D5B"/>
              </a:solidFill>
            </a:rPr>
            <a:t>: Reference any relevant case from the CJEU that interprets the provisions of the Charter related to the case </a:t>
          </a:r>
          <a:endParaRPr lang="en-GB" sz="1000" b="1" kern="1200">
            <a:solidFill>
              <a:srgbClr val="2C2D5B"/>
            </a:solidFill>
          </a:endParaRPr>
        </a:p>
      </dsp:txBody>
      <dsp:txXfrm>
        <a:off x="196998" y="3595192"/>
        <a:ext cx="1462267" cy="907919"/>
      </dsp:txXfrm>
    </dsp:sp>
    <dsp:sp modelId="{FF5FE86A-5926-49F8-B70C-955BBB1468A9}">
      <dsp:nvSpPr>
        <dsp:cNvPr id="0" name=""/>
        <dsp:cNvSpPr/>
      </dsp:nvSpPr>
      <dsp:spPr>
        <a:xfrm>
          <a:off x="1856263" y="3406632"/>
          <a:ext cx="1518761" cy="964413"/>
        </a:xfrm>
        <a:prstGeom prst="roundRect">
          <a:avLst>
            <a:gd name="adj" fmla="val 10000"/>
          </a:avLst>
        </a:prstGeom>
        <a:solidFill>
          <a:srgbClr val="C9CAE5"/>
        </a:solidFill>
        <a:ln>
          <a:solidFill>
            <a:srgbClr val="C9CAE5"/>
          </a:solid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B6CA155A-75D7-40F6-968D-938F4A4DAB20}">
      <dsp:nvSpPr>
        <dsp:cNvPr id="0" name=""/>
        <dsp:cNvSpPr/>
      </dsp:nvSpPr>
      <dsp:spPr>
        <a:xfrm>
          <a:off x="2025014" y="3566945"/>
          <a:ext cx="1518761" cy="964413"/>
        </a:xfrm>
        <a:prstGeom prst="roundRect">
          <a:avLst>
            <a:gd name="adj" fmla="val 10000"/>
          </a:avLst>
        </a:prstGeom>
        <a:solidFill>
          <a:schemeClr val="lt1">
            <a:alpha val="90000"/>
            <a:hueOff val="0"/>
            <a:satOff val="0"/>
            <a:lumOff val="0"/>
            <a:alphaOff val="0"/>
          </a:schemeClr>
        </a:solidFill>
        <a:ln w="6350" cap="flat" cmpd="sng" algn="ctr">
          <a:solidFill>
            <a:srgbClr val="B6A04C"/>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GB" sz="1000" b="1" kern="1200">
              <a:solidFill>
                <a:srgbClr val="2C2D5B"/>
              </a:solidFill>
            </a:rPr>
            <a:t>Identify which right(s) of the Charter is/are violated</a:t>
          </a:r>
        </a:p>
      </dsp:txBody>
      <dsp:txXfrm>
        <a:off x="2053261" y="3595192"/>
        <a:ext cx="1462267" cy="907919"/>
      </dsp:txXfrm>
    </dsp:sp>
    <dsp:sp modelId="{5395ACD1-FE27-4433-88DC-12965F11D73D}">
      <dsp:nvSpPr>
        <dsp:cNvPr id="0" name=""/>
        <dsp:cNvSpPr/>
      </dsp:nvSpPr>
      <dsp:spPr>
        <a:xfrm>
          <a:off x="3712527" y="3406632"/>
          <a:ext cx="1518761" cy="964413"/>
        </a:xfrm>
        <a:prstGeom prst="roundRect">
          <a:avLst>
            <a:gd name="adj" fmla="val 10000"/>
          </a:avLst>
        </a:prstGeom>
        <a:solidFill>
          <a:srgbClr val="C9CAE5"/>
        </a:solidFill>
        <a:ln>
          <a:solidFill>
            <a:srgbClr val="C9CAE5"/>
          </a:solid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63F91C20-5345-44A3-ACDE-A7FBD14C98F8}">
      <dsp:nvSpPr>
        <dsp:cNvPr id="0" name=""/>
        <dsp:cNvSpPr/>
      </dsp:nvSpPr>
      <dsp:spPr>
        <a:xfrm>
          <a:off x="3881278" y="3566945"/>
          <a:ext cx="1518761" cy="964413"/>
        </a:xfrm>
        <a:prstGeom prst="roundRect">
          <a:avLst>
            <a:gd name="adj" fmla="val 10000"/>
          </a:avLst>
        </a:prstGeom>
        <a:solidFill>
          <a:schemeClr val="lt1">
            <a:alpha val="90000"/>
            <a:hueOff val="0"/>
            <a:satOff val="0"/>
            <a:lumOff val="0"/>
            <a:alphaOff val="0"/>
          </a:schemeClr>
        </a:solidFill>
        <a:ln w="6350" cap="flat" cmpd="sng" algn="ctr">
          <a:solidFill>
            <a:srgbClr val="B6A04C"/>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38100" tIns="38100" rIns="38100" bIns="38100" numCol="1" spcCol="1270" anchor="ctr" anchorCtr="0">
          <a:noAutofit/>
        </a:bodyPr>
        <a:lstStyle/>
        <a:p>
          <a:pPr marL="0" lvl="0" indent="0" algn="ctr" defTabSz="444500">
            <a:lnSpc>
              <a:spcPct val="90000"/>
            </a:lnSpc>
            <a:spcBef>
              <a:spcPct val="0"/>
            </a:spcBef>
            <a:spcAft>
              <a:spcPct val="35000"/>
            </a:spcAft>
            <a:buNone/>
          </a:pPr>
          <a:r>
            <a:rPr lang="en-GB" sz="1000" b="1" kern="1200"/>
            <a:t> Art. 53 of the Charter </a:t>
          </a:r>
          <a:r>
            <a:rPr lang="en-GB" sz="1000" kern="1200"/>
            <a:t>: Lawyers should also refer to the ECHR and the ECtHR case law </a:t>
          </a:r>
        </a:p>
      </dsp:txBody>
      <dsp:txXfrm>
        <a:off x="3909525" y="3595192"/>
        <a:ext cx="1462267" cy="907919"/>
      </dsp:txXfrm>
    </dsp:sp>
    <dsp:sp modelId="{946C8CEA-672F-4EFD-A6AA-D611BA8687FB}">
      <dsp:nvSpPr>
        <dsp:cNvPr id="0" name=""/>
        <dsp:cNvSpPr/>
      </dsp:nvSpPr>
      <dsp:spPr>
        <a:xfrm>
          <a:off x="3712527" y="2000512"/>
          <a:ext cx="1518761" cy="964413"/>
        </a:xfrm>
        <a:prstGeom prst="roundRect">
          <a:avLst>
            <a:gd name="adj" fmla="val 10000"/>
          </a:avLst>
        </a:prstGeom>
        <a:solidFill>
          <a:srgbClr val="C9CAE5"/>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sp>
    <dsp:sp modelId="{704C7058-2454-43F4-BF9C-DA3C315461AC}">
      <dsp:nvSpPr>
        <dsp:cNvPr id="0" name=""/>
        <dsp:cNvSpPr/>
      </dsp:nvSpPr>
      <dsp:spPr>
        <a:xfrm>
          <a:off x="3881278" y="2160826"/>
          <a:ext cx="1518761" cy="964413"/>
        </a:xfrm>
        <a:prstGeom prst="roundRect">
          <a:avLst>
            <a:gd name="adj" fmla="val 10000"/>
          </a:avLst>
        </a:prstGeom>
        <a:solidFill>
          <a:srgbClr val="EDE7D3">
            <a:alpha val="89804"/>
          </a:srgbClr>
        </a:solidFill>
        <a:ln w="6350" cap="flat" cmpd="sng" algn="ctr">
          <a:solidFill>
            <a:srgbClr val="B6A04C"/>
          </a:solidFill>
          <a:prstDash val="solid"/>
          <a:miter lim="800000"/>
        </a:ln>
        <a:effectLst/>
      </dsp:spPr>
      <dsp:style>
        <a:lnRef idx="1">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marL="0" lvl="0" indent="0" algn="ctr" defTabSz="533400">
            <a:lnSpc>
              <a:spcPct val="90000"/>
            </a:lnSpc>
            <a:spcBef>
              <a:spcPct val="0"/>
            </a:spcBef>
            <a:spcAft>
              <a:spcPct val="35000"/>
            </a:spcAft>
            <a:buNone/>
          </a:pPr>
          <a:r>
            <a:rPr lang="en-GB" sz="1200" b="1" kern="1200">
              <a:solidFill>
                <a:srgbClr val="B6A04C"/>
              </a:solidFill>
            </a:rPr>
            <a:t>NO </a:t>
          </a:r>
          <a:r>
            <a:rPr lang="en-GB" sz="1800" kern="1200">
              <a:solidFill>
                <a:srgbClr val="B6A04C"/>
              </a:solidFill>
            </a:rPr>
            <a:t>: </a:t>
          </a:r>
        </a:p>
        <a:p>
          <a:pPr marL="0" lvl="0" indent="0" algn="ctr" defTabSz="533400">
            <a:lnSpc>
              <a:spcPct val="90000"/>
            </a:lnSpc>
            <a:spcBef>
              <a:spcPct val="0"/>
            </a:spcBef>
            <a:spcAft>
              <a:spcPct val="35000"/>
            </a:spcAft>
            <a:buNone/>
          </a:pPr>
          <a:r>
            <a:rPr lang="en-GB" sz="1000" kern="1200"/>
            <a:t>The Charter does not apply </a:t>
          </a:r>
        </a:p>
      </dsp:txBody>
      <dsp:txXfrm>
        <a:off x="3909525" y="2189073"/>
        <a:ext cx="1462267" cy="907919"/>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F4163DE-5DA9-40D4-B0C6-F97F7014F550}">
      <dsp:nvSpPr>
        <dsp:cNvPr id="0" name=""/>
        <dsp:cNvSpPr/>
      </dsp:nvSpPr>
      <dsp:spPr>
        <a:xfrm>
          <a:off x="1496525" y="4253292"/>
          <a:ext cx="1008139" cy="579319"/>
        </a:xfrm>
        <a:custGeom>
          <a:avLst/>
          <a:gdLst/>
          <a:ahLst/>
          <a:cxnLst/>
          <a:rect l="0" t="0" r="0" b="0"/>
          <a:pathLst>
            <a:path>
              <a:moveTo>
                <a:pt x="1008139" y="0"/>
              </a:moveTo>
              <a:lnTo>
                <a:pt x="1008139" y="579319"/>
              </a:lnTo>
              <a:lnTo>
                <a:pt x="0" y="579319"/>
              </a:lnTo>
            </a:path>
          </a:pathLst>
        </a:custGeom>
        <a:noFill/>
        <a:ln w="12700" cap="flat" cmpd="sng" algn="ctr">
          <a:solidFill>
            <a:srgbClr val="B6A04C"/>
          </a:solidFill>
          <a:prstDash val="solid"/>
          <a:miter lim="800000"/>
        </a:ln>
        <a:effectLst/>
      </dsp:spPr>
      <dsp:style>
        <a:lnRef idx="2">
          <a:scrgbClr r="0" g="0" b="0"/>
        </a:lnRef>
        <a:fillRef idx="0">
          <a:scrgbClr r="0" g="0" b="0"/>
        </a:fillRef>
        <a:effectRef idx="0">
          <a:scrgbClr r="0" g="0" b="0"/>
        </a:effectRef>
        <a:fontRef idx="minor"/>
      </dsp:style>
    </dsp:sp>
    <dsp:sp modelId="{D370DAFD-DFE1-4739-B7C1-5F3DA3313340}">
      <dsp:nvSpPr>
        <dsp:cNvPr id="0" name=""/>
        <dsp:cNvSpPr/>
      </dsp:nvSpPr>
      <dsp:spPr>
        <a:xfrm>
          <a:off x="2504664" y="4253292"/>
          <a:ext cx="1116842" cy="637701"/>
        </a:xfrm>
        <a:custGeom>
          <a:avLst/>
          <a:gdLst/>
          <a:ahLst/>
          <a:cxnLst/>
          <a:rect l="0" t="0" r="0" b="0"/>
          <a:pathLst>
            <a:path>
              <a:moveTo>
                <a:pt x="0" y="0"/>
              </a:moveTo>
              <a:lnTo>
                <a:pt x="0" y="637701"/>
              </a:lnTo>
              <a:lnTo>
                <a:pt x="1116842" y="637701"/>
              </a:lnTo>
            </a:path>
          </a:pathLst>
        </a:custGeom>
        <a:noFill/>
        <a:ln w="12700" cap="flat" cmpd="sng" algn="ctr">
          <a:solidFill>
            <a:srgbClr val="B6A04C"/>
          </a:solidFill>
          <a:prstDash val="solid"/>
          <a:miter lim="800000"/>
        </a:ln>
        <a:effectLst/>
      </dsp:spPr>
      <dsp:style>
        <a:lnRef idx="2">
          <a:scrgbClr r="0" g="0" b="0"/>
        </a:lnRef>
        <a:fillRef idx="0">
          <a:scrgbClr r="0" g="0" b="0"/>
        </a:fillRef>
        <a:effectRef idx="0">
          <a:scrgbClr r="0" g="0" b="0"/>
        </a:effectRef>
        <a:fontRef idx="minor"/>
      </dsp:style>
    </dsp:sp>
    <dsp:sp modelId="{5A48A316-8E22-40F0-BADB-759731FBB18A}">
      <dsp:nvSpPr>
        <dsp:cNvPr id="0" name=""/>
        <dsp:cNvSpPr/>
      </dsp:nvSpPr>
      <dsp:spPr>
        <a:xfrm>
          <a:off x="1368775" y="2399258"/>
          <a:ext cx="1135889" cy="882951"/>
        </a:xfrm>
        <a:custGeom>
          <a:avLst/>
          <a:gdLst/>
          <a:ahLst/>
          <a:cxnLst/>
          <a:rect l="0" t="0" r="0" b="0"/>
          <a:pathLst>
            <a:path>
              <a:moveTo>
                <a:pt x="0" y="0"/>
              </a:moveTo>
              <a:lnTo>
                <a:pt x="0" y="776188"/>
              </a:lnTo>
              <a:lnTo>
                <a:pt x="1135889" y="776188"/>
              </a:lnTo>
              <a:lnTo>
                <a:pt x="1135889" y="882951"/>
              </a:lnTo>
            </a:path>
          </a:pathLst>
        </a:custGeom>
        <a:noFill/>
        <a:ln w="12700" cap="flat" cmpd="sng" algn="ctr">
          <a:solidFill>
            <a:srgbClr val="B6A04C"/>
          </a:solidFill>
          <a:prstDash val="solid"/>
          <a:miter lim="800000"/>
        </a:ln>
        <a:effectLst/>
      </dsp:spPr>
      <dsp:style>
        <a:lnRef idx="2">
          <a:scrgbClr r="0" g="0" b="0"/>
        </a:lnRef>
        <a:fillRef idx="0">
          <a:scrgbClr r="0" g="0" b="0"/>
        </a:fillRef>
        <a:effectRef idx="0">
          <a:scrgbClr r="0" g="0" b="0"/>
        </a:effectRef>
        <a:fontRef idx="minor"/>
      </dsp:style>
    </dsp:sp>
    <dsp:sp modelId="{C664A0C3-E653-4DB4-B151-BABFE182EB4A}">
      <dsp:nvSpPr>
        <dsp:cNvPr id="0" name=""/>
        <dsp:cNvSpPr/>
      </dsp:nvSpPr>
      <dsp:spPr>
        <a:xfrm>
          <a:off x="1368775" y="1231910"/>
          <a:ext cx="127676" cy="221681"/>
        </a:xfrm>
        <a:custGeom>
          <a:avLst/>
          <a:gdLst/>
          <a:ahLst/>
          <a:cxnLst/>
          <a:rect l="0" t="0" r="0" b="0"/>
          <a:pathLst>
            <a:path>
              <a:moveTo>
                <a:pt x="127676" y="0"/>
              </a:moveTo>
              <a:lnTo>
                <a:pt x="127676" y="114917"/>
              </a:lnTo>
              <a:lnTo>
                <a:pt x="0" y="114917"/>
              </a:lnTo>
              <a:lnTo>
                <a:pt x="0" y="221681"/>
              </a:lnTo>
            </a:path>
          </a:pathLst>
        </a:custGeom>
        <a:noFill/>
        <a:ln w="12700" cap="flat" cmpd="sng" algn="ctr">
          <a:solidFill>
            <a:srgbClr val="B6A04C"/>
          </a:solidFill>
          <a:prstDash val="solid"/>
          <a:miter lim="800000"/>
        </a:ln>
        <a:effectLst/>
      </dsp:spPr>
      <dsp:style>
        <a:lnRef idx="2">
          <a:scrgbClr r="0" g="0" b="0"/>
        </a:lnRef>
        <a:fillRef idx="0">
          <a:scrgbClr r="0" g="0" b="0"/>
        </a:fillRef>
        <a:effectRef idx="0">
          <a:scrgbClr r="0" g="0" b="0"/>
        </a:effectRef>
        <a:fontRef idx="minor"/>
      </dsp:style>
    </dsp:sp>
    <dsp:sp modelId="{3E50783E-F364-4FD5-8542-EDC273228F1A}">
      <dsp:nvSpPr>
        <dsp:cNvPr id="0" name=""/>
        <dsp:cNvSpPr/>
      </dsp:nvSpPr>
      <dsp:spPr>
        <a:xfrm>
          <a:off x="1781158" y="915570"/>
          <a:ext cx="1730026" cy="165650"/>
        </a:xfrm>
        <a:custGeom>
          <a:avLst/>
          <a:gdLst/>
          <a:ahLst/>
          <a:cxnLst/>
          <a:rect l="0" t="0" r="0" b="0"/>
          <a:pathLst>
            <a:path>
              <a:moveTo>
                <a:pt x="1730026" y="0"/>
              </a:moveTo>
              <a:lnTo>
                <a:pt x="1730026" y="165650"/>
              </a:lnTo>
              <a:lnTo>
                <a:pt x="0" y="165650"/>
              </a:lnTo>
            </a:path>
          </a:pathLst>
        </a:custGeom>
        <a:noFill/>
        <a:ln w="12700" cap="flat" cmpd="sng" algn="ctr">
          <a:solidFill>
            <a:srgbClr val="B6A04C"/>
          </a:solidFill>
          <a:prstDash val="solid"/>
          <a:miter lim="800000"/>
        </a:ln>
        <a:effectLst/>
      </dsp:spPr>
      <dsp:style>
        <a:lnRef idx="2">
          <a:scrgbClr r="0" g="0" b="0"/>
        </a:lnRef>
        <a:fillRef idx="0">
          <a:scrgbClr r="0" g="0" b="0"/>
        </a:fillRef>
        <a:effectRef idx="0">
          <a:scrgbClr r="0" g="0" b="0"/>
        </a:effectRef>
        <a:fontRef idx="minor"/>
      </dsp:style>
    </dsp:sp>
    <dsp:sp modelId="{71C24FCD-356C-472C-A60B-AED0EC384510}">
      <dsp:nvSpPr>
        <dsp:cNvPr id="0" name=""/>
        <dsp:cNvSpPr/>
      </dsp:nvSpPr>
      <dsp:spPr>
        <a:xfrm>
          <a:off x="3511185" y="915570"/>
          <a:ext cx="1361688" cy="268544"/>
        </a:xfrm>
        <a:custGeom>
          <a:avLst/>
          <a:gdLst/>
          <a:ahLst/>
          <a:cxnLst/>
          <a:rect l="0" t="0" r="0" b="0"/>
          <a:pathLst>
            <a:path>
              <a:moveTo>
                <a:pt x="0" y="0"/>
              </a:moveTo>
              <a:lnTo>
                <a:pt x="0" y="161781"/>
              </a:lnTo>
              <a:lnTo>
                <a:pt x="1361688" y="161781"/>
              </a:lnTo>
              <a:lnTo>
                <a:pt x="1361688" y="268544"/>
              </a:lnTo>
            </a:path>
          </a:pathLst>
        </a:custGeom>
        <a:noFill/>
        <a:ln w="12700" cap="flat" cmpd="sng" algn="ctr">
          <a:solidFill>
            <a:srgbClr val="B6A04C"/>
          </a:solidFill>
          <a:prstDash val="solid"/>
          <a:miter lim="800000"/>
        </a:ln>
        <a:effectLst/>
      </dsp:spPr>
      <dsp:style>
        <a:lnRef idx="2">
          <a:scrgbClr r="0" g="0" b="0"/>
        </a:lnRef>
        <a:fillRef idx="0">
          <a:scrgbClr r="0" g="0" b="0"/>
        </a:fillRef>
        <a:effectRef idx="0">
          <a:scrgbClr r="0" g="0" b="0"/>
        </a:effectRef>
        <a:fontRef idx="minor"/>
      </dsp:style>
    </dsp:sp>
    <dsp:sp modelId="{20BFF484-1314-434B-BDB2-A2401CC020FE}">
      <dsp:nvSpPr>
        <dsp:cNvPr id="0" name=""/>
        <dsp:cNvSpPr/>
      </dsp:nvSpPr>
      <dsp:spPr>
        <a:xfrm>
          <a:off x="2780202" y="295"/>
          <a:ext cx="1461964" cy="915275"/>
        </a:xfrm>
        <a:prstGeom prst="ellipse">
          <a:avLst/>
        </a:prstGeom>
        <a:solidFill>
          <a:schemeClr val="bg1"/>
        </a:solidFill>
        <a:ln w="12700">
          <a:solidFill>
            <a:srgbClr val="B6A04C"/>
          </a:solid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1" kern="1200">
              <a:solidFill>
                <a:srgbClr val="B6A04C"/>
              </a:solidFill>
            </a:rPr>
            <a:t>Is there a conflict between national rules and the Charter ? </a:t>
          </a:r>
        </a:p>
      </dsp:txBody>
      <dsp:txXfrm>
        <a:off x="2994302" y="134334"/>
        <a:ext cx="1033764" cy="647197"/>
      </dsp:txXfrm>
    </dsp:sp>
    <dsp:sp modelId="{9C24378A-5308-4228-9469-538D050FB673}">
      <dsp:nvSpPr>
        <dsp:cNvPr id="0" name=""/>
        <dsp:cNvSpPr/>
      </dsp:nvSpPr>
      <dsp:spPr>
        <a:xfrm>
          <a:off x="4578659" y="1184115"/>
          <a:ext cx="588427" cy="308326"/>
        </a:xfrm>
        <a:prstGeom prst="rect">
          <a:avLst/>
        </a:prstGeom>
        <a:solidFill>
          <a:srgbClr val="EDE7D3"/>
        </a:solidFill>
        <a:ln>
          <a:solidFill>
            <a:srgbClr val="B6A04C"/>
          </a:solid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en-GB" sz="1200" b="1" kern="1200">
              <a:solidFill>
                <a:srgbClr val="B6A04C"/>
              </a:solidFill>
            </a:rPr>
            <a:t>NO</a:t>
          </a:r>
        </a:p>
      </dsp:txBody>
      <dsp:txXfrm>
        <a:off x="4578659" y="1184115"/>
        <a:ext cx="588427" cy="308326"/>
      </dsp:txXfrm>
    </dsp:sp>
    <dsp:sp modelId="{71B5978C-EFBE-45F5-B39D-4E6C986A8EDD}">
      <dsp:nvSpPr>
        <dsp:cNvPr id="0" name=""/>
        <dsp:cNvSpPr/>
      </dsp:nvSpPr>
      <dsp:spPr>
        <a:xfrm>
          <a:off x="1211745" y="930532"/>
          <a:ext cx="569413" cy="301377"/>
        </a:xfrm>
        <a:prstGeom prst="rect">
          <a:avLst/>
        </a:prstGeom>
        <a:noFill/>
        <a:ln>
          <a:solidFill>
            <a:srgbClr val="B6A04C"/>
          </a:solid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en-GB" sz="1200" b="1" kern="1200">
              <a:solidFill>
                <a:srgbClr val="B6A04C"/>
              </a:solidFill>
            </a:rPr>
            <a:t>YES</a:t>
          </a:r>
        </a:p>
      </dsp:txBody>
      <dsp:txXfrm>
        <a:off x="1211745" y="930532"/>
        <a:ext cx="569413" cy="301377"/>
      </dsp:txXfrm>
    </dsp:sp>
    <dsp:sp modelId="{19969D96-5AD4-4847-A227-323120127A02}">
      <dsp:nvSpPr>
        <dsp:cNvPr id="0" name=""/>
        <dsp:cNvSpPr/>
      </dsp:nvSpPr>
      <dsp:spPr>
        <a:xfrm>
          <a:off x="469265" y="1453591"/>
          <a:ext cx="1799020" cy="945667"/>
        </a:xfrm>
        <a:prstGeom prst="rect">
          <a:avLst/>
        </a:prstGeom>
        <a:solidFill>
          <a:schemeClr val="bg1"/>
        </a:solidFill>
        <a:ln>
          <a:solidFill>
            <a:srgbClr val="2C2D5B"/>
          </a:solid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endParaRPr lang="en-GB" sz="1000" b="1" kern="1200"/>
        </a:p>
        <a:p>
          <a:pPr marL="0" lvl="0" indent="0" algn="ctr" defTabSz="444500">
            <a:lnSpc>
              <a:spcPct val="90000"/>
            </a:lnSpc>
            <a:spcBef>
              <a:spcPct val="0"/>
            </a:spcBef>
            <a:spcAft>
              <a:spcPct val="35000"/>
            </a:spcAft>
            <a:buNone/>
          </a:pPr>
          <a:endParaRPr lang="en-GB" sz="1000" b="1" kern="1200"/>
        </a:p>
        <a:p>
          <a:pPr marL="0" lvl="0" indent="0" algn="ctr" defTabSz="444500">
            <a:lnSpc>
              <a:spcPct val="90000"/>
            </a:lnSpc>
            <a:spcBef>
              <a:spcPct val="0"/>
            </a:spcBef>
            <a:spcAft>
              <a:spcPct val="35000"/>
            </a:spcAft>
            <a:buNone/>
          </a:pPr>
          <a:r>
            <a:rPr lang="en-GB" sz="1000" b="1" kern="1200">
              <a:solidFill>
                <a:srgbClr val="2C2D5B"/>
              </a:solidFill>
            </a:rPr>
            <a:t>Consistent interpretation:</a:t>
          </a:r>
        </a:p>
        <a:p>
          <a:pPr marL="0" lvl="0" indent="0" algn="ctr" defTabSz="444500">
            <a:lnSpc>
              <a:spcPct val="90000"/>
            </a:lnSpc>
            <a:spcBef>
              <a:spcPct val="0"/>
            </a:spcBef>
            <a:spcAft>
              <a:spcPct val="35000"/>
            </a:spcAft>
            <a:buNone/>
          </a:pPr>
          <a:r>
            <a:rPr lang="en-GB" sz="1000" b="0" kern="1200">
              <a:solidFill>
                <a:srgbClr val="2C2D5B"/>
              </a:solidFill>
            </a:rPr>
            <a:t> Duty of National Courts: Interpret national law in light of EU legislation and the EU Charter </a:t>
          </a:r>
        </a:p>
        <a:p>
          <a:pPr marL="0" lvl="0" indent="0" algn="l" defTabSz="444500">
            <a:lnSpc>
              <a:spcPct val="90000"/>
            </a:lnSpc>
            <a:spcBef>
              <a:spcPct val="0"/>
            </a:spcBef>
            <a:spcAft>
              <a:spcPct val="35000"/>
            </a:spcAft>
            <a:buNone/>
          </a:pPr>
          <a:r>
            <a:rPr lang="en-GB" sz="1000" b="0" kern="1200"/>
            <a:t> </a:t>
          </a:r>
          <a:endParaRPr lang="en-GB" sz="1000" b="1" kern="1200"/>
        </a:p>
        <a:p>
          <a:pPr marL="0" lvl="0" indent="0" algn="ctr" defTabSz="444500">
            <a:lnSpc>
              <a:spcPct val="90000"/>
            </a:lnSpc>
            <a:spcBef>
              <a:spcPct val="0"/>
            </a:spcBef>
            <a:spcAft>
              <a:spcPct val="35000"/>
            </a:spcAft>
            <a:buNone/>
          </a:pPr>
          <a:r>
            <a:rPr lang="en-GB" sz="1600" kern="1200"/>
            <a:t> </a:t>
          </a:r>
        </a:p>
      </dsp:txBody>
      <dsp:txXfrm>
        <a:off x="469265" y="1453591"/>
        <a:ext cx="1799020" cy="945667"/>
      </dsp:txXfrm>
    </dsp:sp>
    <dsp:sp modelId="{45B52A89-B1D2-4D08-8680-794D112B9F49}">
      <dsp:nvSpPr>
        <dsp:cNvPr id="0" name=""/>
        <dsp:cNvSpPr/>
      </dsp:nvSpPr>
      <dsp:spPr>
        <a:xfrm>
          <a:off x="1553938" y="3282210"/>
          <a:ext cx="1901452" cy="971082"/>
        </a:xfrm>
        <a:prstGeom prst="rect">
          <a:avLst/>
        </a:prstGeom>
        <a:solidFill>
          <a:schemeClr val="bg1"/>
        </a:solidFill>
        <a:ln>
          <a:solidFill>
            <a:srgbClr val="2C2D5B"/>
          </a:solid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1" kern="1200">
              <a:solidFill>
                <a:srgbClr val="2C2D5B"/>
              </a:solidFill>
            </a:rPr>
            <a:t>Preliminary reference </a:t>
          </a:r>
          <a:r>
            <a:rPr lang="en-GB" sz="1000" kern="1200">
              <a:solidFill>
                <a:srgbClr val="2C2D5B"/>
              </a:solidFill>
            </a:rPr>
            <a:t>: </a:t>
          </a:r>
        </a:p>
        <a:p>
          <a:pPr marL="0" lvl="0" indent="0" algn="ctr" defTabSz="444500">
            <a:lnSpc>
              <a:spcPct val="90000"/>
            </a:lnSpc>
            <a:spcBef>
              <a:spcPct val="0"/>
            </a:spcBef>
            <a:spcAft>
              <a:spcPct val="35000"/>
            </a:spcAft>
            <a:buNone/>
          </a:pPr>
          <a:r>
            <a:rPr lang="en-GB" sz="1000" kern="1200">
              <a:solidFill>
                <a:srgbClr val="2C2D5B"/>
              </a:solidFill>
            </a:rPr>
            <a:t>National courts may refer the case to </a:t>
          </a:r>
          <a:r>
            <a:rPr lang="en-GB" sz="1000" b="1" kern="1200">
              <a:solidFill>
                <a:srgbClr val="2C2D5B"/>
              </a:solidFill>
            </a:rPr>
            <a:t>the CJEU </a:t>
          </a:r>
          <a:r>
            <a:rPr lang="en-GB" sz="1000" kern="1200">
              <a:solidFill>
                <a:srgbClr val="2C2D5B"/>
              </a:solidFill>
            </a:rPr>
            <a:t>for guidance </a:t>
          </a:r>
        </a:p>
      </dsp:txBody>
      <dsp:txXfrm>
        <a:off x="1553938" y="3282210"/>
        <a:ext cx="1901452" cy="971082"/>
      </dsp:txXfrm>
    </dsp:sp>
    <dsp:sp modelId="{4FDA5AF4-2594-4665-BB8E-EC7E523BB978}">
      <dsp:nvSpPr>
        <dsp:cNvPr id="0" name=""/>
        <dsp:cNvSpPr/>
      </dsp:nvSpPr>
      <dsp:spPr>
        <a:xfrm>
          <a:off x="3621506" y="4635937"/>
          <a:ext cx="1209006" cy="510114"/>
        </a:xfrm>
        <a:prstGeom prst="rect">
          <a:avLst/>
        </a:prstGeom>
        <a:solidFill>
          <a:schemeClr val="bg1"/>
        </a:solidFill>
        <a:ln>
          <a:solidFill>
            <a:srgbClr val="2C2D5B"/>
          </a:solid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1" kern="1200">
              <a:solidFill>
                <a:srgbClr val="2C2D5B"/>
              </a:solidFill>
            </a:rPr>
            <a:t>Ruling on the validity</a:t>
          </a:r>
          <a:r>
            <a:rPr lang="en-GB" sz="1000" kern="1200">
              <a:solidFill>
                <a:srgbClr val="2C2D5B"/>
              </a:solidFill>
            </a:rPr>
            <a:t> of the EU law provision </a:t>
          </a:r>
        </a:p>
      </dsp:txBody>
      <dsp:txXfrm>
        <a:off x="3621506" y="4635937"/>
        <a:ext cx="1209006" cy="510114"/>
      </dsp:txXfrm>
    </dsp:sp>
    <dsp:sp modelId="{7BB5B33B-0189-4992-827F-D4CCEFBDC689}">
      <dsp:nvSpPr>
        <dsp:cNvPr id="0" name=""/>
        <dsp:cNvSpPr/>
      </dsp:nvSpPr>
      <dsp:spPr>
        <a:xfrm>
          <a:off x="255327" y="4446798"/>
          <a:ext cx="1241198" cy="771628"/>
        </a:xfrm>
        <a:prstGeom prst="rect">
          <a:avLst/>
        </a:prstGeom>
        <a:solidFill>
          <a:schemeClr val="bg1"/>
        </a:solidFill>
        <a:ln>
          <a:solidFill>
            <a:srgbClr val="2C2D5B"/>
          </a:solid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1" kern="1200">
              <a:solidFill>
                <a:srgbClr val="2C2D5B"/>
              </a:solidFill>
            </a:rPr>
            <a:t>Interpretation ruling:</a:t>
          </a:r>
        </a:p>
        <a:p>
          <a:pPr marL="0" lvl="0" indent="0" algn="ctr" defTabSz="444500">
            <a:lnSpc>
              <a:spcPct val="90000"/>
            </a:lnSpc>
            <a:spcBef>
              <a:spcPct val="0"/>
            </a:spcBef>
            <a:spcAft>
              <a:spcPct val="35000"/>
            </a:spcAft>
            <a:buNone/>
          </a:pPr>
          <a:r>
            <a:rPr lang="en-GB" sz="1000" b="0" kern="1200">
              <a:solidFill>
                <a:srgbClr val="2C2D5B"/>
              </a:solidFill>
            </a:rPr>
            <a:t>about the content or scope of the EU law provision.  </a:t>
          </a:r>
        </a:p>
      </dsp:txBody>
      <dsp:txXfrm>
        <a:off x="255327" y="4446798"/>
        <a:ext cx="1241198" cy="771628"/>
      </dsp:txXfrm>
    </dsp:sp>
  </dsp:spTree>
</dsp:drawing>
</file>

<file path=word/diagrams/layout1.xml><?xml version="1.0" encoding="utf-8"?>
<dgm:layoutDef xmlns:dgm="http://schemas.openxmlformats.org/drawingml/2006/diagram" xmlns:a="http://schemas.openxmlformats.org/drawingml/2006/main" uniqueId="urn:microsoft.com/office/officeart/2005/8/layout/hList9">
  <dgm:title val=""/>
  <dgm:desc val=""/>
  <dgm:catLst>
    <dgm:cat type="list" pri="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3" srcId="0" destId="1" srcOrd="0" destOrd="0"/>
        <dgm:cxn modelId="4" srcId="0" destId="2" srcOrd="1" destOrd="0"/>
        <dgm:cxn modelId="13" srcId="1" destId="11" srcOrd="0" destOrd="0"/>
        <dgm:cxn modelId="14" srcId="1" destId="12" srcOrd="0" destOrd="0"/>
        <dgm:cxn modelId="23" srcId="2" destId="21" srcOrd="0" destOrd="0"/>
        <dgm:cxn modelId="24" srcId="2" destId="22" srcOrd="0" destOrd="0"/>
      </dgm:cxnLst>
      <dgm:bg/>
      <dgm:whole/>
    </dgm:dataModel>
  </dgm:sampData>
  <dgm:styleData>
    <dgm:dataModel>
      <dgm:ptLst>
        <dgm:pt modelId="0" type="doc"/>
        <dgm:pt modelId="1"/>
        <dgm:pt modelId="2"/>
      </dgm:ptLst>
      <dgm:cxnLst>
        <dgm:cxn modelId="3" srcId="0" destId="1" srcOrd="0" destOrd="0"/>
        <dgm:cxn modelId="4" srcId="1" destId="2" srcOrd="0" destOrd="0"/>
      </dgm:cxnLst>
      <dgm:bg/>
      <dgm:whole/>
    </dgm:dataModel>
  </dgm:styleData>
  <dgm:clrData>
    <dgm:dataModel>
      <dgm:ptLst>
        <dgm:pt modelId="0" type="doc"/>
        <dgm:pt modelId="1"/>
        <dgm:pt modelId="11"/>
        <dgm:pt modelId="12"/>
        <dgm:pt modelId="13"/>
        <dgm:pt modelId="14"/>
        <dgm:pt modelId="2"/>
        <dgm:pt modelId="21"/>
        <dgm:pt modelId="22"/>
        <dgm:pt modelId="23"/>
        <dgm:pt modelId="24"/>
        <dgm:pt modelId="3"/>
        <dgm:pt modelId="31"/>
        <dgm:pt modelId="32"/>
        <dgm:pt modelId="33"/>
        <dgm:pt modelId="34"/>
      </dgm:ptLst>
      <dgm:cxnLst>
        <dgm:cxn modelId="4" srcId="0" destId="1" srcOrd="0" destOrd="0"/>
        <dgm:cxn modelId="5" srcId="0" destId="2" srcOrd="1" destOrd="0"/>
        <dgm:cxn modelId="6" srcId="0" destId="3" srcOrd="1" destOrd="0"/>
        <dgm:cxn modelId="15" srcId="1" destId="11" srcOrd="0" destOrd="0"/>
        <dgm:cxn modelId="16" srcId="1" destId="12" srcOrd="0" destOrd="0"/>
        <dgm:cxn modelId="17" srcId="1" destId="13" srcOrd="0" destOrd="0"/>
        <dgm:cxn modelId="18" srcId="1" destId="14" srcOrd="0" destOrd="0"/>
        <dgm:cxn modelId="25" srcId="2" destId="21" srcOrd="0" destOrd="0"/>
        <dgm:cxn modelId="26" srcId="2" destId="22" srcOrd="0" destOrd="0"/>
        <dgm:cxn modelId="27" srcId="2" destId="23" srcOrd="0" destOrd="0"/>
        <dgm:cxn modelId="28" srcId="2" destId="24" srcOrd="0" destOrd="0"/>
        <dgm:cxn modelId="35" srcId="3" destId="31" srcOrd="0" destOrd="0"/>
        <dgm:cxn modelId="36" srcId="3" destId="32" srcOrd="0" destOrd="0"/>
        <dgm:cxn modelId="37" srcId="3" destId="33" srcOrd="0" destOrd="0"/>
        <dgm:cxn modelId="38" srcId="3" destId="34" srcOrd="0" destOrd="0"/>
      </dgm:cxnLst>
      <dgm:bg/>
      <dgm:whole/>
    </dgm:dataModel>
  </dgm:clrData>
  <dgm:layoutNode name="list">
    <dgm:varLst>
      <dgm:dir/>
      <dgm:animLvl val="lvl"/>
    </dgm:varLst>
    <dgm:choose name="Name0">
      <dgm:if name="Name1" func="var" arg="dir" op="equ" val="norm">
        <dgm:alg type="lin">
          <dgm:param type="linDir" val="fromL"/>
          <dgm:param type="fallback" val="2D"/>
          <dgm:param type="nodeVertAlign" val="t"/>
        </dgm:alg>
      </dgm:if>
      <dgm:else name="Name2">
        <dgm:alg type="lin">
          <dgm:param type="linDir" val="fromR"/>
          <dgm:param type="fallback" val="2D"/>
          <dgm:param type="nodeVertAlign" val="t"/>
        </dgm:alg>
      </dgm:else>
    </dgm:choose>
    <dgm:shape xmlns:r="http://schemas.openxmlformats.org/officeDocument/2006/relationships" r:blip="">
      <dgm:adjLst/>
    </dgm:shape>
    <dgm:presOf/>
    <dgm:constrLst>
      <dgm:constr type="w" for="ch" forName="circle" refType="w" fact="0.5"/>
      <dgm:constr type="w" for="ch" forName="vertFlow" refType="w" fact="0.75"/>
      <dgm:constr type="h" for="des" forName="firstComp" refType="w" refFor="ch" refForName="vertFlow" fact="0.667"/>
      <dgm:constr type="h" for="des" forName="comp" refType="h" refFor="des" refForName="firstComp" op="equ"/>
      <dgm:constr type="h" for="des" forName="topSpace" refType="w" refFor="ch" refForName="circle" op="equ" fact="0.4"/>
      <dgm:constr type="w" for="ch" forName="posSpace" refType="w" fact="0.4"/>
      <dgm:constr type="w" for="ch" forName="negSpace" refType="w" fact="-1.15"/>
      <dgm:constr type="w" for="ch" forName="transSpace" refType="w" fact="0.75"/>
      <dgm:constr type="primFontSz" for="ch" forName="circle" op="equ" val="65"/>
      <dgm:constr type="primFontSz" for="des" forName="firstChildTx" val="65"/>
      <dgm:constr type="primFontSz" for="des" forName="childTx" refType="primFontSz" refFor="des" refForName="firstChildTx" op="equ"/>
    </dgm:constrLst>
    <dgm:ruleLst/>
    <dgm:forEach name="Name3" axis="ch" ptType="node">
      <dgm:layoutNode name="posSpace">
        <dgm:alg type="sp"/>
        <dgm:shape xmlns:r="http://schemas.openxmlformats.org/officeDocument/2006/relationships" r:blip="">
          <dgm:adjLst/>
        </dgm:shape>
        <dgm:presOf/>
        <dgm:constrLst/>
        <dgm:ruleLst/>
      </dgm:layoutNode>
      <dgm:layoutNode name="vertFlow">
        <dgm:alg type="lin">
          <dgm:param type="linDir" val="fromT"/>
        </dgm:alg>
        <dgm:shape xmlns:r="http://schemas.openxmlformats.org/officeDocument/2006/relationships" r:blip="">
          <dgm:adjLst/>
        </dgm:shape>
        <dgm:presOf/>
        <dgm:constrLst>
          <dgm:constr type="w" for="ch" forName="firstComp" refType="w"/>
          <dgm:constr type="w" for="ch" forName="comp" refType="w"/>
        </dgm:constrLst>
        <dgm:ruleLst/>
        <dgm:layoutNode name="topSpace">
          <dgm:alg type="sp"/>
          <dgm:shape xmlns:r="http://schemas.openxmlformats.org/officeDocument/2006/relationships" r:blip="">
            <dgm:adjLst/>
          </dgm:shape>
          <dgm:presOf/>
          <dgm:constrLst/>
          <dgm:ruleLst/>
        </dgm:layoutNode>
        <dgm:layoutNode name="firstComp">
          <dgm:alg type="composite"/>
          <dgm:shape xmlns:r="http://schemas.openxmlformats.org/officeDocument/2006/relationships" r:blip="">
            <dgm:adjLst/>
          </dgm:shape>
          <dgm:presOf/>
          <dgm:choose name="Name4">
            <dgm:if name="Name5" func="var" arg="dir" op="equ" val="norm">
              <dgm:constrLst>
                <dgm:constr type="l" for="ch" forName="firstChild"/>
                <dgm:constr type="t" for="ch" forName="firstChild"/>
                <dgm:constr type="w" for="ch" forName="firstChild" refType="w"/>
                <dgm:constr type="h" for="ch" forName="firstChild" refType="h"/>
                <dgm:constr type="l" for="ch" forName="firstChildTx" refType="w" fact="0.16"/>
                <dgm:constr type="r" for="ch" forName="firstChildTx" refType="w"/>
                <dgm:constr type="h" for="ch" forName="firstChildTx" refFor="ch" refForName="firstChild" op="equ"/>
              </dgm:constrLst>
            </dgm:if>
            <dgm:else name="Name6">
              <dgm:constrLst>
                <dgm:constr type="l" for="ch" forName="firstChild"/>
                <dgm:constr type="t" for="ch" forName="firstChild"/>
                <dgm:constr type="w" for="ch" forName="firstChild" refType="w"/>
                <dgm:constr type="h" for="ch" forName="firstChild" refType="h"/>
                <dgm:constr type="l" for="ch" forName="firstChildTx"/>
                <dgm:constr type="r" for="ch" forName="firstChildTx" refType="w" fact="0.825"/>
                <dgm:constr type="h" for="ch" forName="firstChildTx" refFor="ch" refForName="firstChild" op="equ"/>
              </dgm:constrLst>
            </dgm:else>
          </dgm:choose>
          <dgm:ruleLst/>
          <dgm:layoutNode name="firstChild" styleLbl="bgAccFollowNode1">
            <dgm:alg type="sp"/>
            <dgm:shape xmlns:r="http://schemas.openxmlformats.org/officeDocument/2006/relationships" type="rect" r:blip="">
              <dgm:adjLst/>
            </dgm:shape>
            <dgm:presOf axis="ch desOrSelf" ptType="node node" cnt="1 0"/>
            <dgm:constrLst/>
            <dgm:ruleLst/>
          </dgm:layoutNode>
          <dgm:layoutNode name="firstChildTx" styleLbl="bgAccFollowNode1">
            <dgm:varLst>
              <dgm:bulletEnabled val="1"/>
            </dgm:varLst>
            <dgm:alg type="tx">
              <dgm:param type="parTxLTRAlign" val="l"/>
            </dgm:alg>
            <dgm:shape xmlns:r="http://schemas.openxmlformats.org/officeDocument/2006/relationships" type="rect" r:blip="" hideGeom="1">
              <dgm:adjLst/>
            </dgm:shape>
            <dgm:presOf axis="ch desOrSelf" ptType="node node" cnt="1 0"/>
            <dgm:choose name="Name7">
              <dgm:if name="Name8" func="var" arg="dir" op="equ" val="norm">
                <dgm:constrLst>
                  <dgm:constr type="primFontSz" val="65"/>
                  <dgm:constr type="lMarg"/>
                </dgm:constrLst>
              </dgm:if>
              <dgm:else name="Name9">
                <dgm:constrLst>
                  <dgm:constr type="primFontSz" val="65"/>
                  <dgm:constr type="rMarg"/>
                </dgm:constrLst>
              </dgm:else>
            </dgm:choose>
            <dgm:ruleLst>
              <dgm:rule type="primFontSz" val="5" fact="NaN" max="NaN"/>
            </dgm:ruleLst>
          </dgm:layoutNode>
        </dgm:layoutNode>
        <dgm:forEach name="Name10" axis="ch" ptType="node" st="2">
          <dgm:layoutNode name="comp">
            <dgm:alg type="composite"/>
            <dgm:shape xmlns:r="http://schemas.openxmlformats.org/officeDocument/2006/relationships" r:blip="">
              <dgm:adjLst/>
            </dgm:shape>
            <dgm:presOf/>
            <dgm:choose name="Name11">
              <dgm:if name="Name12" func="var" arg="dir" op="equ" val="norm">
                <dgm:constrLst>
                  <dgm:constr type="l" for="ch" forName="child"/>
                  <dgm:constr type="t" for="ch" forName="child"/>
                  <dgm:constr type="w" for="ch" forName="child" refType="w"/>
                  <dgm:constr type="h" for="ch" forName="child" refType="h"/>
                  <dgm:constr type="l" for="ch" forName="childTx" refType="w" fact="0.16"/>
                  <dgm:constr type="r" for="ch" forName="childTx" refType="w"/>
                  <dgm:constr type="h" for="ch" forName="childTx" refFor="ch" refForName="child" op="equ"/>
                </dgm:constrLst>
              </dgm:if>
              <dgm:else name="Name13">
                <dgm:constrLst>
                  <dgm:constr type="l" for="ch" forName="child"/>
                  <dgm:constr type="t" for="ch" forName="child"/>
                  <dgm:constr type="w" for="ch" forName="child" refType="w"/>
                  <dgm:constr type="h" for="ch" forName="child" refType="h"/>
                  <dgm:constr type="l" for="ch" forName="childTx"/>
                  <dgm:constr type="r" for="ch" forName="childTx" refType="w" fact="0.825"/>
                  <dgm:constr type="h" for="ch" forName="childTx" refFor="ch" refForName="child" op="equ"/>
                </dgm:constrLst>
              </dgm:else>
            </dgm:choose>
            <dgm:ruleLst/>
            <dgm:layoutNode name="child" styleLbl="bgAccFollowNode1">
              <dgm:alg type="sp"/>
              <dgm:shape xmlns:r="http://schemas.openxmlformats.org/officeDocument/2006/relationships" type="rect" r:blip="">
                <dgm:adjLst/>
              </dgm:shape>
              <dgm:presOf axis="desOrSelf" ptType="node"/>
              <dgm:constrLst/>
              <dgm:ruleLst/>
            </dgm:layoutNode>
            <dgm:layoutNode name="childTx" styleLbl="bgAccFollowNode1">
              <dgm:varLst>
                <dgm:bulletEnabled val="1"/>
              </dgm:varLst>
              <dgm:alg type="tx">
                <dgm:param type="parTxLTRAlign" val="l"/>
              </dgm:alg>
              <dgm:shape xmlns:r="http://schemas.openxmlformats.org/officeDocument/2006/relationships" type="rect" r:blip="" hideGeom="1">
                <dgm:adjLst/>
              </dgm:shape>
              <dgm:presOf axis="desOrSelf" ptType="node"/>
              <dgm:choose name="Name14">
                <dgm:if name="Name15" func="var" arg="dir" op="equ" val="norm">
                  <dgm:constrLst>
                    <dgm:constr type="primFontSz" val="65"/>
                    <dgm:constr type="lMarg"/>
                  </dgm:constrLst>
                </dgm:if>
                <dgm:else name="Name16">
                  <dgm:constrLst>
                    <dgm:constr type="primFontSz" val="65"/>
                    <dgm:constr type="rMarg"/>
                  </dgm:constrLst>
                </dgm:else>
              </dgm:choose>
              <dgm:ruleLst>
                <dgm:rule type="primFontSz" val="5" fact="NaN" max="NaN"/>
              </dgm:ruleLst>
            </dgm:layoutNode>
          </dgm:layoutNode>
        </dgm:forEach>
      </dgm:layoutNode>
      <dgm:layoutNode name="negSpace">
        <dgm:alg type="sp"/>
        <dgm:shape xmlns:r="http://schemas.openxmlformats.org/officeDocument/2006/relationships" r:blip="">
          <dgm:adjLst/>
        </dgm:shape>
        <dgm:presOf/>
        <dgm:constrLst/>
        <dgm:ruleLst/>
      </dgm:layoutNode>
      <dgm:layoutNode name="circle" styleLbl="node1">
        <dgm:alg type="tx"/>
        <dgm:shape xmlns:r="http://schemas.openxmlformats.org/officeDocument/2006/relationships" type="ellipse" r:blip="">
          <dgm:adjLst/>
        </dgm:shape>
        <dgm:presOf axis="self"/>
        <dgm:constrLst>
          <dgm:constr type="lMarg"/>
          <dgm:constr type="rMarg"/>
          <dgm:constr type="tMarg"/>
          <dgm:constr type="bMarg"/>
          <dgm:constr type="h" refType="w"/>
        </dgm:constrLst>
        <dgm:ruleLst>
          <dgm:rule type="primFontSz" val="5" fact="NaN" max="NaN"/>
        </dgm:ruleLst>
      </dgm:layoutNode>
      <dgm:forEach name="Name17" axis="followSib" ptType="sibTrans" cnt="1">
        <dgm:layoutNode name="transSpace">
          <dgm:alg type="sp"/>
          <dgm:shape xmlns:r="http://schemas.openxmlformats.org/officeDocument/2006/relationships" r:blip="">
            <dgm:adjLst/>
          </dgm:shape>
          <dgm:presO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1">
  <dgm:title val=""/>
  <dgm:desc val=""/>
  <dgm:catLst>
    <dgm:cat type="hierarchy" pri="2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hierChild1">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ptType="node" op="equ" val="65"/>
      <dgm:constr type="w" for="des" forName="composite" refType="w"/>
      <dgm:constr type="h" for="des" forName="composite" refType="w" refFor="des" refForName="composite" fact="0.667"/>
      <dgm:constr type="w" for="des" forName="composite2" refType="w" refFor="des" refForName="composite"/>
      <dgm:constr type="h" for="des" forName="composite2" refType="h" refFor="des" refForName="composite"/>
      <dgm:constr type="w" for="des" forName="composite3" refType="w" refFor="des" refForName="composite"/>
      <dgm:constr type="h" for="des" forName="composite3" refType="h" refFor="des" refForName="composite"/>
      <dgm:constr type="w" for="des" forName="composite4" refType="w" refFor="des" refForName="composite"/>
      <dgm:constr type="h" for="des" forName="composite4" refType="h" refFor="des" refForName="composite"/>
      <dgm:constr type="w" for="des" forName="composite5" refType="w" refFor="des" refForName="composite"/>
      <dgm:constr type="h" for="des" forName="composite5" refType="h" refFor="des" refForName="composite"/>
      <dgm:constr type="sibSp" refType="w" refFor="des" refForName="composite" fact="0.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p" for="des" forName="hierRoot1" refType="h" refFor="des" refForName="composite" fact="0.25"/>
      <dgm:constr type="sp" for="des" forName="hierRoot2" refType="sp" refFor="des" refForName="hierRoot1"/>
      <dgm:constr type="sp" for="des" forName="hierRoot3" refType="sp" refFor="des" refForName="hierRoot1"/>
      <dgm:constr type="sp" for="des" forName="hierRoot4" refType="sp" refFor="des" refForName="hierRoot1"/>
      <dgm:constr type="sp" for="des" forName="hierRoot5" refType="sp" refFor="des" refForName="hierRoot1"/>
    </dgm:constrLst>
    <dgm:ruleLst/>
    <dgm:forEach name="Name3" axis="ch">
      <dgm:forEach name="Name4" axis="self" ptType="node">
        <dgm:layoutNode name="hierRoot1">
          <dgm:alg type="hierRoot"/>
          <dgm:shape xmlns:r="http://schemas.openxmlformats.org/officeDocument/2006/relationships" r:blip="">
            <dgm:adjLst/>
          </dgm:shape>
          <dgm:presOf/>
          <dgm:constrLst>
            <dgm:constr type="bendDist" for="des" ptType="parTrans" refType="sp" fact="0.5"/>
          </dgm:constrLst>
          <dgm:ruleLst/>
          <dgm:layoutNode name="composite">
            <dgm:alg type="composite"/>
            <dgm:shape xmlns:r="http://schemas.openxmlformats.org/officeDocument/2006/relationships" r:blip="">
              <dgm:adjLst/>
            </dgm:shape>
            <dgm:presOf/>
            <dgm:constrLst>
              <dgm:constr type="w" for="ch" forName="background" refType="w" fact="0.9"/>
              <dgm:constr type="h" for="ch" forName="background" refType="w" refFor="ch" refForName="background" fact="0.635"/>
              <dgm:constr type="t" for="ch" forName="background"/>
              <dgm:constr type="l" for="ch" forName="background"/>
              <dgm:constr type="w" for="ch" forName="text" refType="w" fact="0.9"/>
              <dgm:constr type="h" for="ch" forName="text" refType="w" refFor="ch" refForName="text" fact="0.635"/>
              <dgm:constr type="t" for="ch" forName="text" refType="w" fact="0.095"/>
              <dgm:constr type="l" for="ch" forName="text" refType="w" fact="0.1"/>
            </dgm:constrLst>
            <dgm:ruleLst/>
            <dgm:layoutNode name="background" styleLbl="node0" moveWith="text">
              <dgm:alg type="sp"/>
              <dgm:shape xmlns:r="http://schemas.openxmlformats.org/officeDocument/2006/relationships" type="roundRect" r:blip="">
                <dgm:adjLst>
                  <dgm:adj idx="1" val="0.1"/>
                </dgm:adjLst>
              </dgm:shape>
              <dgm:presOf/>
              <dgm:constrLst/>
              <dgm:ruleLst/>
            </dgm:layoutNode>
            <dgm:layoutNode name="text" styleLbl="fgAcc0">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2">
            <dgm:choose name="Name5">
              <dgm:if name="Name6" func="var" arg="dir" op="equ" val="norm">
                <dgm:alg type="hierChild">
                  <dgm:param type="linDir" val="fromL"/>
                </dgm:alg>
              </dgm:if>
              <dgm:else name="Name7">
                <dgm:alg type="hierChild">
                  <dgm:param type="linDir" val="fromR"/>
                </dgm:alg>
              </dgm:else>
            </dgm:choose>
            <dgm:shape xmlns:r="http://schemas.openxmlformats.org/officeDocument/2006/relationships" r:blip="">
              <dgm:adjLst/>
            </dgm:shape>
            <dgm:presOf/>
            <dgm:constrLst/>
            <dgm:ruleLst/>
            <dgm:forEach name="Name8" axis="ch">
              <dgm:forEach name="Name9" axis="self" ptType="parTrans" cnt="1">
                <dgm:layoutNode name="Name10">
                  <dgm:alg type="conn">
                    <dgm:param type="dim" val="1D"/>
                    <dgm:param type="endSty" val="noArr"/>
                    <dgm:param type="connRout" val="bend"/>
                    <dgm:param type="bendPt" val="end"/>
                    <dgm:param type="begPts" val="bCtr"/>
                    <dgm:param type="endPts" val="tCtr"/>
                    <dgm:param type="srcNode" val="background"/>
                    <dgm:param type="dstNode" val="background2"/>
                  </dgm:alg>
                  <dgm:shape xmlns:r="http://schemas.openxmlformats.org/officeDocument/2006/relationships" type="conn" r:blip="" zOrderOff="-999">
                    <dgm:adjLst/>
                  </dgm:shape>
                  <dgm:presOf axis="self"/>
                  <dgm:constrLst>
                    <dgm:constr type="begPad"/>
                    <dgm:constr type="endPad"/>
                  </dgm:constrLst>
                  <dgm:ruleLst/>
                </dgm:layoutNode>
              </dgm:forEach>
              <dgm:forEach name="Name11" axis="self" ptType="node">
                <dgm:layoutNode name="hierRoot2">
                  <dgm:alg type="hierRoot"/>
                  <dgm:shape xmlns:r="http://schemas.openxmlformats.org/officeDocument/2006/relationships" r:blip="">
                    <dgm:adjLst/>
                  </dgm:shape>
                  <dgm:presOf/>
                  <dgm:constrLst>
                    <dgm:constr type="bendDist" for="des" ptType="parTrans" refType="sp" fact="0.5"/>
                  </dgm:constrLst>
                  <dgm:ruleLst/>
                  <dgm:layoutNode name="composite2">
                    <dgm:alg type="composite"/>
                    <dgm:shape xmlns:r="http://schemas.openxmlformats.org/officeDocument/2006/relationships" r:blip="">
                      <dgm:adjLst/>
                    </dgm:shape>
                    <dgm:presOf/>
                    <dgm:constrLst>
                      <dgm:constr type="w" for="ch" forName="background2" refType="w" fact="0.9"/>
                      <dgm:constr type="h" for="ch" forName="background2" refType="w" refFor="ch" refForName="background2" fact="0.635"/>
                      <dgm:constr type="t" for="ch" forName="background2"/>
                      <dgm:constr type="l" for="ch" forName="background2"/>
                      <dgm:constr type="w" for="ch" forName="text2" refType="w" fact="0.9"/>
                      <dgm:constr type="h" for="ch" forName="text2" refType="w" refFor="ch" refForName="text2" fact="0.635"/>
                      <dgm:constr type="t" for="ch" forName="text2" refType="w" fact="0.095"/>
                      <dgm:constr type="l" for="ch" forName="text2" refType="w" fact="0.1"/>
                    </dgm:constrLst>
                    <dgm:ruleLst/>
                    <dgm:layoutNode name="background2" moveWith="text2">
                      <dgm:alg type="sp"/>
                      <dgm:shape xmlns:r="http://schemas.openxmlformats.org/officeDocument/2006/relationships" type="roundRect" r:blip="">
                        <dgm:adjLst>
                          <dgm:adj idx="1" val="0.1"/>
                        </dgm:adjLst>
                      </dgm:shape>
                      <dgm:presOf/>
                      <dgm:constrLst/>
                      <dgm:ruleLst/>
                    </dgm:layoutNode>
                    <dgm:layoutNode name="text2" styleLbl="fgAcc2">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3">
                    <dgm:choose name="Name12">
                      <dgm:if name="Name13" func="var" arg="dir" op="equ" val="norm">
                        <dgm:alg type="hierChild">
                          <dgm:param type="linDir" val="fromL"/>
                        </dgm:alg>
                      </dgm:if>
                      <dgm:else name="Name14">
                        <dgm:alg type="hierChild">
                          <dgm:param type="linDir" val="fromR"/>
                        </dgm:alg>
                      </dgm:else>
                    </dgm:choose>
                    <dgm:shape xmlns:r="http://schemas.openxmlformats.org/officeDocument/2006/relationships" r:blip="">
                      <dgm:adjLst/>
                    </dgm:shape>
                    <dgm:presOf/>
                    <dgm:constrLst/>
                    <dgm:ruleLst/>
                    <dgm:forEach name="Name15" axis="ch">
                      <dgm:forEach name="Name16" axis="self" ptType="parTrans" cnt="1">
                        <dgm:layoutNode name="Name17">
                          <dgm:alg type="conn">
                            <dgm:param type="dim" val="1D"/>
                            <dgm:param type="endSty" val="noArr"/>
                            <dgm:param type="connRout" val="bend"/>
                            <dgm:param type="bendPt" val="end"/>
                            <dgm:param type="begPts" val="bCtr"/>
                            <dgm:param type="endPts" val="tCtr"/>
                            <dgm:param type="srcNode" val="background2"/>
                            <dgm:param type="dstNode" val="background3"/>
                          </dgm:alg>
                          <dgm:shape xmlns:r="http://schemas.openxmlformats.org/officeDocument/2006/relationships" type="conn" r:blip="" zOrderOff="-999">
                            <dgm:adjLst/>
                          </dgm:shape>
                          <dgm:presOf axis="self"/>
                          <dgm:constrLst>
                            <dgm:constr type="begPad"/>
                            <dgm:constr type="endPad"/>
                          </dgm:constrLst>
                          <dgm:ruleLst/>
                        </dgm:layoutNode>
                      </dgm:forEach>
                      <dgm:forEach name="Name18" axis="self" ptType="node">
                        <dgm:layoutNode name="hierRoot3">
                          <dgm:alg type="hierRoot"/>
                          <dgm:shape xmlns:r="http://schemas.openxmlformats.org/officeDocument/2006/relationships" r:blip="">
                            <dgm:adjLst/>
                          </dgm:shape>
                          <dgm:presOf/>
                          <dgm:constrLst>
                            <dgm:constr type="bendDist" for="des" ptType="parTrans" refType="sp" fact="0.5"/>
                          </dgm:constrLst>
                          <dgm:ruleLst/>
                          <dgm:layoutNode name="composite3">
                            <dgm:alg type="composite"/>
                            <dgm:shape xmlns:r="http://schemas.openxmlformats.org/officeDocument/2006/relationships" r:blip="">
                              <dgm:adjLst/>
                            </dgm:shape>
                            <dgm:presOf/>
                            <dgm:constrLst>
                              <dgm:constr type="w" for="ch" forName="background3" refType="w" fact="0.9"/>
                              <dgm:constr type="h" for="ch" forName="background3" refType="w" refFor="ch" refForName="background3" fact="0.635"/>
                              <dgm:constr type="t" for="ch" forName="background3"/>
                              <dgm:constr type="l" for="ch" forName="background3"/>
                              <dgm:constr type="w" for="ch" forName="text3" refType="w" fact="0.9"/>
                              <dgm:constr type="h" for="ch" forName="text3" refType="w" refFor="ch" refForName="text3" fact="0.635"/>
                              <dgm:constr type="t" for="ch" forName="text3" refType="w" fact="0.095"/>
                              <dgm:constr type="l" for="ch" forName="text3" refType="w" fact="0.1"/>
                            </dgm:constrLst>
                            <dgm:ruleLst/>
                            <dgm:layoutNode name="background3" moveWith="text3">
                              <dgm:alg type="sp"/>
                              <dgm:shape xmlns:r="http://schemas.openxmlformats.org/officeDocument/2006/relationships" type="roundRect" r:blip="">
                                <dgm:adjLst>
                                  <dgm:adj idx="1" val="0.1"/>
                                </dgm:adjLst>
                              </dgm:shape>
                              <dgm:presOf/>
                              <dgm:constrLst/>
                              <dgm:ruleLst/>
                            </dgm:layoutNode>
                            <dgm:layoutNode name="text3" styleLbl="fgAcc3">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4">
                            <dgm:choose name="Name19">
                              <dgm:if name="Name20" func="var" arg="dir" op="equ" val="norm">
                                <dgm:alg type="hierChild">
                                  <dgm:param type="linDir" val="fromL"/>
                                </dgm:alg>
                              </dgm:if>
                              <dgm:else name="Name21">
                                <dgm:alg type="hierChild">
                                  <dgm:param type="linDir" val="fromR"/>
                                </dgm:alg>
                              </dgm:else>
                            </dgm:choose>
                            <dgm:shape xmlns:r="http://schemas.openxmlformats.org/officeDocument/2006/relationships" r:blip="">
                              <dgm:adjLst/>
                            </dgm:shape>
                            <dgm:presOf/>
                            <dgm:constrLst/>
                            <dgm:ruleLst/>
                            <dgm:forEach name="repeat" axis="ch">
                              <dgm:forEach name="Name22" axis="self" ptType="parTrans" cnt="1">
                                <dgm:layoutNode name="Name23">
                                  <dgm:choose name="Name24">
                                    <dgm:if name="Name25" axis="self" func="depth" op="lte" val="4">
                                      <dgm:alg type="conn">
                                        <dgm:param type="dim" val="1D"/>
                                        <dgm:param type="endSty" val="noArr"/>
                                        <dgm:param type="connRout" val="bend"/>
                                        <dgm:param type="bendPt" val="end"/>
                                        <dgm:param type="begPts" val="bCtr"/>
                                        <dgm:param type="endPts" val="tCtr"/>
                                        <dgm:param type="srcNode" val="background3"/>
                                        <dgm:param type="dstNode" val="background4"/>
                                      </dgm:alg>
                                    </dgm:if>
                                    <dgm:else name="Name26">
                                      <dgm:alg type="conn">
                                        <dgm:param type="dim" val="1D"/>
                                        <dgm:param type="endSty" val="noArr"/>
                                        <dgm:param type="connRout" val="bend"/>
                                        <dgm:param type="bendPt" val="end"/>
                                        <dgm:param type="begPts" val="bCtr"/>
                                        <dgm:param type="endPts" val="tCtr"/>
                                        <dgm:param type="srcNode" val="background4"/>
                                        <dgm:param type="dstNode" val="background4"/>
                                      </dgm:alg>
                                    </dgm:else>
                                  </dgm:choose>
                                  <dgm:shape xmlns:r="http://schemas.openxmlformats.org/officeDocument/2006/relationships" type="conn" r:blip="" zOrderOff="-999">
                                    <dgm:adjLst/>
                                  </dgm:shape>
                                  <dgm:presOf axis="self"/>
                                  <dgm:constrLst>
                                    <dgm:constr type="begPad"/>
                                    <dgm:constr type="endPad"/>
                                  </dgm:constrLst>
                                  <dgm:ruleLst/>
                                </dgm:layoutNode>
                              </dgm:forEach>
                              <dgm:forEach name="Name27" axis="self" ptType="node">
                                <dgm:layoutNode name="hierRoot4">
                                  <dgm:alg type="hierRoot"/>
                                  <dgm:shape xmlns:r="http://schemas.openxmlformats.org/officeDocument/2006/relationships" r:blip="">
                                    <dgm:adjLst/>
                                  </dgm:shape>
                                  <dgm:presOf/>
                                  <dgm:constrLst>
                                    <dgm:constr type="bendDist" for="des" ptType="parTrans" refType="sp" fact="0.5"/>
                                  </dgm:constrLst>
                                  <dgm:ruleLst/>
                                  <dgm:layoutNode name="composite4">
                                    <dgm:alg type="composite"/>
                                    <dgm:shape xmlns:r="http://schemas.openxmlformats.org/officeDocument/2006/relationships" r:blip="">
                                      <dgm:adjLst/>
                                    </dgm:shape>
                                    <dgm:presOf/>
                                    <dgm:constrLst>
                                      <dgm:constr type="w" for="ch" forName="background4" refType="w" fact="0.9"/>
                                      <dgm:constr type="h" for="ch" forName="background4" refType="w" refFor="ch" refForName="background4" fact="0.635"/>
                                      <dgm:constr type="t" for="ch" forName="background4"/>
                                      <dgm:constr type="l" for="ch" forName="background4"/>
                                      <dgm:constr type="w" for="ch" forName="text4" refType="w" fact="0.9"/>
                                      <dgm:constr type="h" for="ch" forName="text4" refType="w" refFor="ch" refForName="text4" fact="0.635"/>
                                      <dgm:constr type="t" for="ch" forName="text4" refType="w" fact="0.095"/>
                                      <dgm:constr type="l" for="ch" forName="text4" refType="w" fact="0.1"/>
                                    </dgm:constrLst>
                                    <dgm:ruleLst/>
                                    <dgm:layoutNode name="background4" moveWith="text4">
                                      <dgm:alg type="sp"/>
                                      <dgm:shape xmlns:r="http://schemas.openxmlformats.org/officeDocument/2006/relationships" type="roundRect" r:blip="">
                                        <dgm:adjLst>
                                          <dgm:adj idx="1" val="0.1"/>
                                        </dgm:adjLst>
                                      </dgm:shape>
                                      <dgm:presOf/>
                                      <dgm:constrLst/>
                                      <dgm:ruleLst/>
                                    </dgm:layoutNode>
                                    <dgm:layoutNode name="text4" styleLbl="fgAcc4">
                                      <dgm:varLst>
                                        <dgm:chPref val="3"/>
                                      </dgm:varLst>
                                      <dgm:alg type="tx"/>
                                      <dgm:shape xmlns:r="http://schemas.openxmlformats.org/officeDocument/2006/relationships" type="roundRect" r:blip="">
                                        <dgm:adjLst>
                                          <dgm:adj idx="1" val="0.1"/>
                                        </dgm:adjLst>
                                      </dgm:shape>
                                      <dgm:presOf axis="self"/>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layoutNode name="hierChild5">
                                    <dgm:choose name="Name28">
                                      <dgm:if name="Name29" func="var" arg="dir" op="equ" val="norm">
                                        <dgm:alg type="hierChild">
                                          <dgm:param type="linDir" val="fromL"/>
                                        </dgm:alg>
                                      </dgm:if>
                                      <dgm:else name="Name30">
                                        <dgm:alg type="hierChild">
                                          <dgm:param type="linDir" val="fromR"/>
                                        </dgm:alg>
                                      </dgm:else>
                                    </dgm:choose>
                                    <dgm:shape xmlns:r="http://schemas.openxmlformats.org/officeDocument/2006/relationships" r:blip="">
                                      <dgm:adjLst/>
                                    </dgm:shape>
                                    <dgm:presOf/>
                                    <dgm:constrLst/>
                                    <dgm:ruleLst/>
                                    <dgm:forEach name="Name31" ref="repeat"/>
                                  </dgm:layoutNode>
                                </dgm:layoutNode>
                              </dgm:forEach>
                            </dgm:forEach>
                          </dgm:layoutNode>
                        </dgm:layoutNode>
                      </dgm:forEach>
                    </dgm:forEach>
                  </dgm:layoutNode>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5">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06D0831A-EFCD-432F-BC92-A7D9F8FF9506}">
  <we:reference id="wa200005826" version="1.8.0.0" store="fr-FR" storeType="OMEX"/>
  <we:alternateReferences>
    <we:reference id="wa200005826" version="1.8.0.0" store="wa200005826"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BA6931C9968D945AA277EDB8A218FCF" ma:contentTypeVersion="18" ma:contentTypeDescription="Crée un document." ma:contentTypeScope="" ma:versionID="24a6dd99d959a29c0d19094bcaf9ef26">
  <xsd:schema xmlns:xsd="http://www.w3.org/2001/XMLSchema" xmlns:xs="http://www.w3.org/2001/XMLSchema" xmlns:p="http://schemas.microsoft.com/office/2006/metadata/properties" xmlns:ns2="78e59776-a062-41eb-82f2-f1f2863a73d1" xmlns:ns3="ad12b6c1-4208-40cd-a392-0a6ade77a50b" targetNamespace="http://schemas.microsoft.com/office/2006/metadata/properties" ma:root="true" ma:fieldsID="debb7080613cca79a2740f0018dcdbfd" ns2:_="" ns3:_="">
    <xsd:import namespace="78e59776-a062-41eb-82f2-f1f2863a73d1"/>
    <xsd:import namespace="ad12b6c1-4208-40cd-a392-0a6ade77a50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e59776-a062-41eb-82f2-f1f2863a73d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1dd0a826-c279-4889-a048-289124af91c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2b6c1-4208-40cd-a392-0a6ade77a50b" elementFormDefault="qualified">
    <xsd:import namespace="http://schemas.microsoft.com/office/2006/documentManagement/types"/>
    <xsd:import namespace="http://schemas.microsoft.com/office/infopath/2007/PartnerControls"/>
    <xsd:element name="SharedWithUsers" ma:index="14"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0b1e8af4-1589-49b2-806b-a7aa26539a7b}" ma:internalName="TaxCatchAll" ma:showField="CatchAllData" ma:web="ad12b6c1-4208-40cd-a392-0a6ade77a50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ad12b6c1-4208-40cd-a392-0a6ade77a50b" xsi:nil="true"/>
    <lcf76f155ced4ddcb4097134ff3c332f xmlns="78e59776-a062-41eb-82f2-f1f2863a73d1">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82F1CC6-7ABB-4A36-8FB7-7ECE227EDA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8e59776-a062-41eb-82f2-f1f2863a73d1"/>
    <ds:schemaRef ds:uri="ad12b6c1-4208-40cd-a392-0a6ade77a5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926D87C-3FA7-488F-9500-6322F2967EB7}">
  <ds:schemaRefs>
    <ds:schemaRef ds:uri="http://schemas.microsoft.com/office/2006/metadata/properties"/>
    <ds:schemaRef ds:uri="http://schemas.microsoft.com/office/infopath/2007/PartnerControls"/>
    <ds:schemaRef ds:uri="ad12b6c1-4208-40cd-a392-0a6ade77a50b"/>
    <ds:schemaRef ds:uri="78e59776-a062-41eb-82f2-f1f2863a73d1"/>
  </ds:schemaRefs>
</ds:datastoreItem>
</file>

<file path=customXml/itemProps3.xml><?xml version="1.0" encoding="utf-8"?>
<ds:datastoreItem xmlns:ds="http://schemas.openxmlformats.org/officeDocument/2006/customXml" ds:itemID="{F7641196-7DE0-49DD-8B1D-7A2237710F86}">
  <ds:schemaRefs>
    <ds:schemaRef ds:uri="http://schemas.microsoft.com/sharepoint/v3/contenttype/forms"/>
  </ds:schemaRefs>
</ds:datastoreItem>
</file>

<file path=customXml/itemProps4.xml><?xml version="1.0" encoding="utf-8"?>
<ds:datastoreItem xmlns:ds="http://schemas.openxmlformats.org/officeDocument/2006/customXml" ds:itemID="{DDA2E2F7-FCDE-4FB6-9EB7-A54C9E9E9A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71</TotalTime>
  <Pages>76</Pages>
  <Words>13576</Words>
  <Characters>80104</Characters>
  <Application>Microsoft Office Word</Application>
  <DocSecurity>0</DocSecurity>
  <Lines>667</Lines>
  <Paragraphs>186</Paragraphs>
  <ScaleCrop>false</ScaleCrop>
  <HeadingPairs>
    <vt:vector size="6" baseType="variant">
      <vt:variant>
        <vt:lpstr>Titre</vt:lpstr>
      </vt:variant>
      <vt:variant>
        <vt:i4>1</vt:i4>
      </vt:variant>
      <vt:variant>
        <vt:lpstr>Título</vt:lpstr>
      </vt:variant>
      <vt:variant>
        <vt:i4>1</vt:i4>
      </vt:variant>
      <vt:variant>
        <vt:lpstr>Títol</vt:lpstr>
      </vt:variant>
      <vt:variant>
        <vt:i4>1</vt:i4>
      </vt:variant>
    </vt:vector>
  </HeadingPairs>
  <TitlesOfParts>
    <vt:vector size="3" baseType="lpstr">
      <vt:lpstr/>
      <vt:lpstr/>
      <vt:lpstr/>
    </vt:vector>
  </TitlesOfParts>
  <Company/>
  <LinksUpToDate>false</LinksUpToDate>
  <CharactersWithSpaces>93494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Maria Esther Jordana Santiago</dc:creator>
  <cp:keywords/>
  <dc:description/>
  <cp:lastModifiedBy>MEZ</cp:lastModifiedBy>
  <cp:revision>60</cp:revision>
  <cp:lastPrinted>2025-02-04T17:24:00Z</cp:lastPrinted>
  <dcterms:created xsi:type="dcterms:W3CDTF">2025-01-23T11:28:00Z</dcterms:created>
  <dcterms:modified xsi:type="dcterms:W3CDTF">2025-04-15T07:10:00Z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0x0101004BA6931C9968D945AA277EDB8A218FCF</vt:lpwstr>
  </property>
  <property fmtid="{D5CDD505-2E9C-101B-9397-08002B2CF9AE}" pid="3" name="MediaServiceImageTags">
    <vt:lpwstr/>
  </property>
</Properties>
</file>